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cs="宋体"/>
          <w:color w:val="auto"/>
          <w:kern w:val="0"/>
          <w:sz w:val="32"/>
          <w:szCs w:val="32"/>
          <w:highlight w:val="none"/>
          <w:lang w:val="en-US" w:eastAsia="zh-CN"/>
        </w:rPr>
      </w:pPr>
      <w:r>
        <w:rPr>
          <w:rFonts w:hint="eastAsia" w:ascii="宋体" w:hAnsi="宋体" w:cs="宋体"/>
          <w:color w:val="auto"/>
          <w:kern w:val="0"/>
          <w:sz w:val="32"/>
          <w:szCs w:val="32"/>
          <w:highlight w:val="none"/>
          <w:lang w:eastAsia="zh-CN"/>
        </w:rPr>
        <w:t>通吕泵站进出水池混凝土防护及节制闸桥安全防护提升项目</w:t>
      </w:r>
      <w:r>
        <w:rPr>
          <w:rFonts w:hint="eastAsia" w:ascii="宋体" w:hAnsi="宋体" w:cs="宋体"/>
          <w:color w:val="auto"/>
          <w:kern w:val="0"/>
          <w:sz w:val="32"/>
          <w:szCs w:val="32"/>
          <w:highlight w:val="none"/>
          <w:lang w:val="en-US" w:eastAsia="zh-CN"/>
        </w:rPr>
        <w:t>招标公告</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Fonts w:hint="eastAsia" w:ascii="宋体" w:hAnsi="宋体" w:eastAsia="宋体" w:cs="宋体"/>
          <w:i w:val="0"/>
          <w:iCs w:val="0"/>
          <w:caps w:val="0"/>
          <w:color w:val="333333"/>
          <w:spacing w:val="0"/>
          <w:sz w:val="24"/>
          <w:szCs w:val="24"/>
          <w:shd w:val="clear" w:fill="FFFFFF"/>
          <w:lang w:eastAsia="zh-CN"/>
        </w:rPr>
        <w:t>江苏建博工程管理咨询有限公司</w:t>
      </w:r>
      <w:r>
        <w:rPr>
          <w:rFonts w:hint="eastAsia" w:ascii="宋体" w:hAnsi="宋体" w:eastAsia="宋体" w:cs="宋体"/>
          <w:i w:val="0"/>
          <w:iCs w:val="0"/>
          <w:caps w:val="0"/>
          <w:color w:val="333333"/>
          <w:spacing w:val="0"/>
          <w:sz w:val="24"/>
          <w:szCs w:val="24"/>
          <w:shd w:val="clear" w:fill="FFFFFF"/>
        </w:rPr>
        <w:t>受招标人委托具体负责</w:t>
      </w:r>
      <w:r>
        <w:rPr>
          <w:rFonts w:hint="eastAsia" w:ascii="宋体" w:hAnsi="宋体" w:eastAsia="宋体" w:cs="宋体"/>
          <w:i w:val="0"/>
          <w:iCs w:val="0"/>
          <w:caps w:val="0"/>
          <w:color w:val="333333"/>
          <w:spacing w:val="0"/>
          <w:sz w:val="24"/>
          <w:szCs w:val="24"/>
          <w:u w:val="single"/>
          <w:shd w:val="clear" w:fill="FFFFFF"/>
          <w:lang w:eastAsia="zh-CN"/>
        </w:rPr>
        <w:t>通吕泵站进出水池混凝土防护及节制闸桥安全防护提升项目</w:t>
      </w:r>
      <w:r>
        <w:rPr>
          <w:rFonts w:hint="eastAsia" w:ascii="宋体" w:hAnsi="宋体" w:eastAsia="宋体" w:cs="宋体"/>
          <w:i w:val="0"/>
          <w:iCs w:val="0"/>
          <w:caps w:val="0"/>
          <w:color w:val="333333"/>
          <w:spacing w:val="0"/>
          <w:sz w:val="24"/>
          <w:szCs w:val="24"/>
          <w:shd w:val="clear" w:fill="FFFFFF"/>
        </w:rPr>
        <w:t>的招标事宜。现对该项目进行公开招标，邀请合格的潜在投标人参加本工程的资格后审。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、工程概况:</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shd w:val="clear" w:fill="FFFFFF"/>
        </w:rPr>
        <w:t>（1）工程地点：</w:t>
      </w:r>
      <w:r>
        <w:rPr>
          <w:rFonts w:hint="eastAsia" w:ascii="宋体" w:hAnsi="宋体" w:eastAsia="宋体" w:cs="宋体"/>
          <w:i w:val="0"/>
          <w:iCs w:val="0"/>
          <w:caps w:val="0"/>
          <w:color w:val="333333"/>
          <w:spacing w:val="0"/>
          <w:sz w:val="24"/>
          <w:szCs w:val="24"/>
          <w:shd w:val="clear" w:fill="FFFFFF"/>
          <w:lang w:val="en-US" w:eastAsia="zh-CN"/>
        </w:rPr>
        <w:t>南通市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（2）工程规模：工程造价约</w:t>
      </w:r>
      <w:r>
        <w:rPr>
          <w:rFonts w:hint="eastAsia" w:ascii="宋体" w:hAnsi="宋体" w:eastAsia="宋体" w:cs="宋体"/>
          <w:i w:val="0"/>
          <w:iCs w:val="0"/>
          <w:caps w:val="0"/>
          <w:color w:val="333333"/>
          <w:spacing w:val="0"/>
          <w:sz w:val="24"/>
          <w:szCs w:val="24"/>
          <w:shd w:val="clear" w:fill="FFFFFF"/>
          <w:lang w:val="en-US" w:eastAsia="zh-CN"/>
        </w:rPr>
        <w:t>43.84</w:t>
      </w:r>
      <w:r>
        <w:rPr>
          <w:rFonts w:hint="eastAsia" w:ascii="宋体" w:hAnsi="宋体" w:eastAsia="宋体" w:cs="宋体"/>
          <w:i w:val="0"/>
          <w:iCs w:val="0"/>
          <w:caps w:val="0"/>
          <w:color w:val="333333"/>
          <w:spacing w:val="0"/>
          <w:sz w:val="24"/>
          <w:szCs w:val="24"/>
          <w:shd w:val="clear" w:fill="FFFFFF"/>
        </w:rPr>
        <w:t>万元。</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（3）计划工期：施工总工期</w:t>
      </w:r>
      <w:r>
        <w:rPr>
          <w:rFonts w:hint="eastAsia" w:ascii="宋体" w:hAnsi="宋体" w:eastAsia="宋体" w:cs="宋体"/>
          <w:i w:val="0"/>
          <w:iCs w:val="0"/>
          <w:caps w:val="0"/>
          <w:color w:val="333333"/>
          <w:spacing w:val="0"/>
          <w:sz w:val="24"/>
          <w:szCs w:val="24"/>
          <w:shd w:val="clear" w:fill="FFFFFF"/>
          <w:lang w:val="en-US" w:eastAsia="zh-CN"/>
        </w:rPr>
        <w:t>45</w:t>
      </w:r>
      <w:r>
        <w:rPr>
          <w:rFonts w:hint="eastAsia" w:ascii="宋体" w:hAnsi="宋体" w:eastAsia="宋体" w:cs="宋体"/>
          <w:i w:val="0"/>
          <w:iCs w:val="0"/>
          <w:caps w:val="0"/>
          <w:color w:val="333333"/>
          <w:spacing w:val="0"/>
          <w:sz w:val="24"/>
          <w:szCs w:val="24"/>
          <w:shd w:val="clear" w:fill="FFFFFF"/>
        </w:rPr>
        <w:t>日历天，具体开工时间以发包人签发的开工通知书为准。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、本次招标工程共分壹个标段，招标内容为</w:t>
      </w:r>
      <w:r>
        <w:rPr>
          <w:rFonts w:hint="eastAsia" w:ascii="宋体" w:hAnsi="宋体" w:eastAsia="宋体" w:cs="宋体"/>
          <w:i w:val="0"/>
          <w:iCs w:val="0"/>
          <w:caps w:val="0"/>
          <w:color w:val="333333"/>
          <w:spacing w:val="0"/>
          <w:sz w:val="24"/>
          <w:szCs w:val="24"/>
          <w:shd w:val="clear" w:fill="FFFFFF"/>
          <w:lang w:eastAsia="zh-CN"/>
        </w:rPr>
        <w:t>通吕泵站进出水池混凝土防护及节制闸桥安全防护提升项目，详见施工图及工程量清单所示所有内容。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、申请人应当具备的主要资格条件：</w:t>
      </w:r>
    </w:p>
    <w:p>
      <w:pPr>
        <w:keepNext w:val="0"/>
        <w:keepLines w:val="0"/>
        <w:pageBreakBefore w:val="0"/>
        <w:numPr>
          <w:ilvl w:val="0"/>
          <w:numId w:val="1"/>
        </w:numPr>
        <w:kinsoku/>
        <w:wordWrap/>
        <w:overflowPunct/>
        <w:topLinePunct w:val="0"/>
        <w:autoSpaceDE/>
        <w:autoSpaceDN/>
        <w:bidi w:val="0"/>
        <w:spacing w:line="360" w:lineRule="auto"/>
        <w:ind w:left="0" w:leftChars="0" w:right="0" w:rightChars="0" w:firstLine="480" w:firstLineChars="200"/>
        <w:textAlignment w:val="auto"/>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snapToGrid w:val="0"/>
          <w:color w:val="000000" w:themeColor="text1"/>
          <w:kern w:val="0"/>
          <w:sz w:val="24"/>
          <w:highlight w:val="none"/>
          <w14:textFill>
            <w14:solidFill>
              <w14:schemeClr w14:val="tx1"/>
            </w14:solidFill>
          </w14:textFill>
        </w:rPr>
        <w:t>企业资质条件：</w:t>
      </w:r>
      <w:r>
        <w:rPr>
          <w:rFonts w:hint="eastAsia" w:ascii="宋体" w:hAnsi="宋体" w:cs="宋体"/>
          <w:color w:val="000000" w:themeColor="text1"/>
          <w:sz w:val="24"/>
          <w:highlight w:val="none"/>
          <w14:textFill>
            <w14:solidFill>
              <w14:schemeClr w14:val="tx1"/>
            </w14:solidFill>
          </w14:textFill>
        </w:rPr>
        <w:t>具有独立法人资格和</w:t>
      </w:r>
      <w:r>
        <w:rPr>
          <w:rFonts w:hint="eastAsia" w:ascii="宋体" w:hAnsi="宋体" w:cs="宋体"/>
          <w:b/>
          <w:bCs/>
          <w:color w:val="000000" w:themeColor="text1"/>
          <w:sz w:val="24"/>
          <w:highlight w:val="none"/>
          <w:u w:val="single"/>
          <w:lang w:eastAsia="zh-CN"/>
          <w14:textFill>
            <w14:solidFill>
              <w14:schemeClr w14:val="tx1"/>
            </w14:solidFill>
          </w14:textFill>
        </w:rPr>
        <w:t>防水防腐保温工程专业承包二</w:t>
      </w:r>
      <w:r>
        <w:rPr>
          <w:rFonts w:hint="eastAsia" w:ascii="宋体" w:hAnsi="宋体" w:cs="宋体"/>
          <w:b/>
          <w:bCs/>
          <w:color w:val="000000" w:themeColor="text1"/>
          <w:sz w:val="24"/>
          <w:highlight w:val="none"/>
          <w:u w:val="single"/>
          <w14:textFill>
            <w14:solidFill>
              <w14:schemeClr w14:val="tx1"/>
            </w14:solidFill>
          </w14:textFill>
        </w:rPr>
        <w:t>级及以上资质；</w:t>
      </w:r>
    </w:p>
    <w:p>
      <w:pPr>
        <w:widowControl/>
        <w:tabs>
          <w:tab w:val="left" w:pos="0"/>
          <w:tab w:val="left" w:pos="993"/>
          <w:tab w:val="left" w:pos="1135"/>
        </w:tabs>
        <w:adjustRightInd w:val="0"/>
        <w:snapToGrid w:val="0"/>
        <w:spacing w:line="360" w:lineRule="auto"/>
        <w:ind w:firstLine="482" w:firstLineChars="200"/>
        <w:jc w:val="left"/>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b/>
          <w:bCs/>
          <w:snapToGrid w:val="0"/>
          <w:color w:val="000000" w:themeColor="text1"/>
          <w:sz w:val="24"/>
          <w:szCs w:val="24"/>
          <w:highlight w:val="none"/>
          <w14:textFill>
            <w14:solidFill>
              <w14:schemeClr w14:val="tx1"/>
            </w14:solidFill>
          </w14:textFill>
        </w:rPr>
        <w:t>根据《省住房城乡建设关于开展建筑业企业资质动态监管工作的公告》(〔2018〕第 6 号)、《关于在我省国有资金投资工程建设项目招标投标中应用建筑企业资质动态监管结果有关要求的通知》（苏建招办【2022】2号）文件要求，投标人在投标文件递交截止时间当日，资质动态监管结果处于不合格状态的，将作为资格审查不通过处理。(企业动态资质查询信息以“江苏省建筑市场监管与诚信信息一体化平台”发布的信息为准)。资质动态监管执行苏建函建管〔2019〕233 号“对资质核查结果为不达标的企业，不能参加招投标、合同备案等经营活动”的规定，仅对企业某项被核查为不达标的资质进行限制，不影响该企业其他核查达标的资质参加招投标、合同备案等经营活动。</w:t>
      </w:r>
    </w:p>
    <w:p>
      <w:pPr>
        <w:keepNext w:val="0"/>
        <w:keepLines w:val="0"/>
        <w:pageBreakBefore w:val="0"/>
        <w:kinsoku/>
        <w:wordWrap/>
        <w:overflowPunct/>
        <w:topLinePunct w:val="0"/>
        <w:autoSpaceDE/>
        <w:autoSpaceDN/>
        <w:bidi w:val="0"/>
        <w:spacing w:line="360" w:lineRule="auto"/>
        <w:ind w:left="0" w:leftChars="0" w:right="0" w:rightChars="0" w:firstLine="480" w:firstLineChars="200"/>
        <w:textAlignment w:val="auto"/>
        <w:rPr>
          <w:rFonts w:hint="eastAsia" w:ascii="宋体" w:hAnsi="宋体" w:cs="宋体"/>
          <w:b/>
          <w:color w:val="000000" w:themeColor="text1"/>
          <w:kern w:val="0"/>
          <w:sz w:val="24"/>
          <w:highlight w:val="none"/>
          <w:u w:val="singl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（2）项目经理（项目负责人）资格：</w:t>
      </w:r>
      <w:r>
        <w:rPr>
          <w:rFonts w:hint="eastAsia" w:ascii="宋体" w:hAnsi="宋体" w:cs="宋体"/>
          <w:b/>
          <w:color w:val="000000" w:themeColor="text1"/>
          <w:kern w:val="0"/>
          <w:sz w:val="24"/>
          <w:highlight w:val="none"/>
          <w:u w:val="single"/>
          <w14:textFill>
            <w14:solidFill>
              <w14:schemeClr w14:val="tx1"/>
            </w14:solidFill>
          </w14:textFill>
        </w:rPr>
        <w:t>建筑工程专业</w:t>
      </w:r>
      <w:r>
        <w:rPr>
          <w:rFonts w:hint="eastAsia" w:ascii="宋体" w:hAnsi="宋体" w:cs="宋体"/>
          <w:b/>
          <w:color w:val="000000" w:themeColor="text1"/>
          <w:kern w:val="0"/>
          <w:sz w:val="24"/>
          <w:highlight w:val="none"/>
          <w:u w:val="single"/>
          <w:lang w:eastAsia="zh-CN"/>
          <w14:textFill>
            <w14:solidFill>
              <w14:schemeClr w14:val="tx1"/>
            </w14:solidFill>
          </w14:textFill>
        </w:rPr>
        <w:t>或水利水电工程专业</w:t>
      </w:r>
      <w:r>
        <w:rPr>
          <w:rFonts w:hint="eastAsia" w:ascii="宋体" w:hAnsi="宋体" w:cs="宋体"/>
          <w:b/>
          <w:color w:val="000000" w:themeColor="text1"/>
          <w:kern w:val="0"/>
          <w:sz w:val="24"/>
          <w:highlight w:val="none"/>
          <w:u w:val="single"/>
          <w14:textFill>
            <w14:solidFill>
              <w14:schemeClr w14:val="tx1"/>
            </w14:solidFill>
          </w14:textFill>
        </w:rPr>
        <w:t>二级及以上注册建造师资格，并具备安全考核合格证书(B证)；且项目负责人为企业正式人员。</w:t>
      </w:r>
    </w:p>
    <w:p>
      <w:pPr>
        <w:keepNext w:val="0"/>
        <w:keepLines w:val="0"/>
        <w:pageBreakBefore w:val="0"/>
        <w:widowControl/>
        <w:tabs>
          <w:tab w:val="left" w:pos="0"/>
          <w:tab w:val="left" w:pos="993"/>
          <w:tab w:val="left" w:pos="1135"/>
        </w:tabs>
        <w:kinsoku/>
        <w:wordWrap/>
        <w:overflowPunct/>
        <w:topLinePunct w:val="0"/>
        <w:autoSpaceDE/>
        <w:autoSpaceDN/>
        <w:bidi w:val="0"/>
        <w:adjustRightInd w:val="0"/>
        <w:snapToGrid w:val="0"/>
        <w:spacing w:line="360" w:lineRule="auto"/>
        <w:ind w:left="0" w:leftChars="0" w:right="0" w:rightChars="0" w:firstLine="482" w:firstLineChars="200"/>
        <w:jc w:val="left"/>
        <w:textAlignment w:val="auto"/>
        <w:rPr>
          <w:rFonts w:ascii="宋体" w:hAnsi="宋体" w:cs="宋体"/>
          <w:b/>
          <w:bCs/>
          <w:snapToGrid w:val="0"/>
          <w:color w:val="000000" w:themeColor="text1"/>
          <w:sz w:val="24"/>
          <w:szCs w:val="24"/>
          <w:highlight w:val="none"/>
          <w14:textFill>
            <w14:solidFill>
              <w14:schemeClr w14:val="tx1"/>
            </w14:solidFill>
          </w14:textFill>
        </w:rPr>
      </w:pPr>
      <w:r>
        <w:rPr>
          <w:rFonts w:hint="eastAsia" w:ascii="宋体" w:hAnsi="宋体" w:cs="宋体"/>
          <w:b/>
          <w:bCs/>
          <w:snapToGrid w:val="0"/>
          <w:color w:val="000000" w:themeColor="text1"/>
          <w:sz w:val="24"/>
          <w:szCs w:val="24"/>
          <w:highlight w:val="none"/>
          <w14:textFill>
            <w14:solidFill>
              <w14:schemeClr w14:val="tx1"/>
            </w14:solidFill>
          </w14:textFill>
        </w:rPr>
        <w:t>特别提醒：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pPr>
        <w:keepNext w:val="0"/>
        <w:keepLines w:val="0"/>
        <w:pageBreakBefore w:val="0"/>
        <w:widowControl/>
        <w:tabs>
          <w:tab w:val="left" w:pos="0"/>
          <w:tab w:val="left" w:pos="993"/>
          <w:tab w:val="left" w:pos="1135"/>
        </w:tabs>
        <w:kinsoku/>
        <w:wordWrap/>
        <w:overflowPunct/>
        <w:topLinePunct w:val="0"/>
        <w:autoSpaceDE/>
        <w:autoSpaceDN/>
        <w:bidi w:val="0"/>
        <w:adjustRightInd w:val="0"/>
        <w:snapToGrid w:val="0"/>
        <w:spacing w:line="360" w:lineRule="auto"/>
        <w:ind w:left="0" w:leftChars="0" w:right="0" w:rightChars="0" w:firstLine="482" w:firstLineChars="200"/>
        <w:jc w:val="left"/>
        <w:textAlignment w:val="auto"/>
        <w:rPr>
          <w:rFonts w:hint="eastAsia" w:ascii="宋体" w:hAnsi="宋体" w:cs="宋体"/>
          <w:b/>
          <w:color w:val="000000" w:themeColor="text1"/>
          <w:kern w:val="0"/>
          <w:sz w:val="24"/>
          <w:highlight w:val="none"/>
          <w:u w:val="single"/>
          <w14:textFill>
            <w14:solidFill>
              <w14:schemeClr w14:val="tx1"/>
            </w14:solidFill>
          </w14:textFill>
        </w:rPr>
      </w:pPr>
      <w:r>
        <w:rPr>
          <w:rFonts w:hint="eastAsia" w:ascii="宋体" w:hAnsi="宋体" w:cs="宋体"/>
          <w:b/>
          <w:bCs/>
          <w:snapToGrid w:val="0"/>
          <w:color w:val="000000" w:themeColor="text1"/>
          <w:sz w:val="24"/>
          <w:szCs w:val="24"/>
          <w:highlight w:val="none"/>
          <w14:textFill>
            <w14:solidFill>
              <w14:schemeClr w14:val="tx1"/>
            </w14:solidFill>
          </w14:textFill>
        </w:rPr>
        <w:t>②本工程投标人拟派的项目负责人如为一级注册建造师，必须根据《住房和城乡建设部办公厅关于全面实行一级建造师电子注册证书的通知》（建办市〔2021〕40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pPr>
        <w:pageBreakBefore w:val="0"/>
        <w:kinsoku/>
        <w:overflowPunct/>
        <w:topLinePunct w:val="0"/>
        <w:bidi w:val="0"/>
        <w:spacing w:line="360" w:lineRule="auto"/>
        <w:ind w:left="0" w:leftChars="0" w:right="0" w:rightChars="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（3）企业具备安全生产条件，并取得有效安全生产许可证。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、以下条件属于资格后审的必要合格条件：</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（1）具有独立订立合同的能力；</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（2）企业的资质类别、等级和项目负责人注册专业、资格等级符合国家有关规定；</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（3）企业具备安全生产条件，并取得安全生产许可证；</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（4）项目负责人必须满足下列条件：</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①项目负责人不得同时在两个或者两个以上单位受聘或者执业：</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A、不得同时在两个及以上单位签订劳动合同或交纳社会保险；</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B、不得将本人执（职）业资格证书同时注册在两个及以上单位。</w:t>
      </w:r>
    </w:p>
    <w:p>
      <w:pPr>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（5）资格预审申请人或者投标人不得存在下列情形之一：</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①为招标人不具有独立法人资格的附属机构（单位）；</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②为本招标项目的监理人、代建人、项目管理人，以及为本招标项目提供招标代理、设计服务的；</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③与本招标项目的监理人、代建人、招标代理机构同为一个法定代表人的，或者相互控股、参股的；</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④与招标人存在厉害关系可能影响招标公正性的；</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⑤单位负责人为同一人或者存在控股、管理关系的不同单位；</w:t>
      </w:r>
    </w:p>
    <w:p>
      <w:pPr>
        <w:widowControl/>
        <w:spacing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⑥处于被责令停业、财产被接管、冻结和破产状态，以及投标资格被取消或者被暂停且在暂停期内的；</w:t>
      </w:r>
    </w:p>
    <w:p>
      <w:pPr>
        <w:widowControl/>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⑦因拖欠工人工资或者因发生质量安全事故被有关部门限制在招标项目所在地承接工程的；</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7</w:t>
      </w:r>
      <w:r>
        <w:rPr>
          <w:rFonts w:hint="eastAsia" w:ascii="宋体" w:hAnsi="宋体" w:eastAsia="宋体" w:cs="宋体"/>
          <w:i w:val="0"/>
          <w:iCs w:val="0"/>
          <w:caps w:val="0"/>
          <w:color w:val="333333"/>
          <w:spacing w:val="0"/>
          <w:sz w:val="24"/>
          <w:szCs w:val="24"/>
          <w:shd w:val="clear" w:fill="FFFFFF"/>
        </w:rPr>
        <w:t>）本工程不接受联合体投标。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具体要求详见本工程招标文件第二章中《资格审查标准汇总表》表。提供的资格审查材料及审查标准，前后不一致的以《资格审查标准汇总表》为准。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、如发现投标人递交的资格后审材料有弄虚作假行为，该投标人将记入不良记录。如已中标，招标人有权取消其中标资格，并由该投标人承担一切责任和损失。</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7</w:t>
      </w:r>
      <w:r>
        <w:rPr>
          <w:rFonts w:hint="eastAsia" w:ascii="宋体" w:hAnsi="宋体" w:eastAsia="宋体" w:cs="宋体"/>
          <w:i w:val="0"/>
          <w:iCs w:val="0"/>
          <w:caps w:val="0"/>
          <w:color w:val="333333"/>
          <w:spacing w:val="0"/>
          <w:sz w:val="24"/>
          <w:szCs w:val="24"/>
          <w:shd w:val="clear" w:fill="FFFFFF"/>
        </w:rPr>
        <w:t>、本工程投标申请人的资格审查采用资格后审的方式，无需另行进行网上报名，各投标人须于2025年</w:t>
      </w:r>
      <w:r>
        <w:rPr>
          <w:rFonts w:hint="eastAsia" w:ascii="宋体" w:hAnsi="宋体" w:eastAsia="宋体" w:cs="宋体"/>
          <w:i w:val="0"/>
          <w:iCs w:val="0"/>
          <w:caps w:val="0"/>
          <w:color w:val="333333"/>
          <w:spacing w:val="0"/>
          <w:sz w:val="24"/>
          <w:szCs w:val="24"/>
          <w:shd w:val="clear" w:fill="FFFFFF"/>
          <w:lang w:val="en-US" w:eastAsia="zh-CN"/>
        </w:rPr>
        <w:t>10</w:t>
      </w:r>
      <w:r>
        <w:rPr>
          <w:rFonts w:hint="eastAsia" w:ascii="宋体" w:hAnsi="宋体" w:eastAsia="宋体" w:cs="宋体"/>
          <w:i w:val="0"/>
          <w:iCs w:val="0"/>
          <w:caps w:val="0"/>
          <w:color w:val="333333"/>
          <w:spacing w:val="0"/>
          <w:sz w:val="24"/>
          <w:szCs w:val="24"/>
          <w:shd w:val="clear" w:fill="FFFFFF"/>
        </w:rPr>
        <w:t>月</w:t>
      </w:r>
      <w:r>
        <w:rPr>
          <w:rFonts w:hint="eastAsia" w:ascii="宋体" w:hAnsi="宋体" w:eastAsia="宋体" w:cs="宋体"/>
          <w:i w:val="0"/>
          <w:iCs w:val="0"/>
          <w:caps w:val="0"/>
          <w:color w:val="333333"/>
          <w:spacing w:val="0"/>
          <w:sz w:val="24"/>
          <w:szCs w:val="24"/>
          <w:shd w:val="clear" w:fill="FFFFFF"/>
          <w:lang w:val="en-US" w:eastAsia="zh-CN"/>
        </w:rPr>
        <w:t>20</w:t>
      </w:r>
      <w:r>
        <w:rPr>
          <w:rFonts w:hint="eastAsia" w:ascii="宋体" w:hAnsi="宋体" w:eastAsia="宋体" w:cs="宋体"/>
          <w:i w:val="0"/>
          <w:iCs w:val="0"/>
          <w:caps w:val="0"/>
          <w:color w:val="333333"/>
          <w:spacing w:val="0"/>
          <w:sz w:val="24"/>
          <w:szCs w:val="24"/>
          <w:shd w:val="clear" w:fill="FFFFFF"/>
        </w:rPr>
        <w:t>日14时00分以前将投标文件提交至南通市通吕运河水利工程管理所（外环西路397号）三楼会议室，并在2025年</w:t>
      </w:r>
      <w:r>
        <w:rPr>
          <w:rFonts w:hint="eastAsia" w:ascii="宋体" w:hAnsi="宋体" w:eastAsia="宋体" w:cs="宋体"/>
          <w:i w:val="0"/>
          <w:iCs w:val="0"/>
          <w:caps w:val="0"/>
          <w:color w:val="333333"/>
          <w:spacing w:val="0"/>
          <w:sz w:val="24"/>
          <w:szCs w:val="24"/>
          <w:shd w:val="clear" w:fill="FFFFFF"/>
          <w:lang w:val="en-US" w:eastAsia="zh-CN"/>
        </w:rPr>
        <w:t>10</w:t>
      </w:r>
      <w:r>
        <w:rPr>
          <w:rFonts w:hint="eastAsia" w:ascii="宋体" w:hAnsi="宋体" w:eastAsia="宋体" w:cs="宋体"/>
          <w:i w:val="0"/>
          <w:iCs w:val="0"/>
          <w:caps w:val="0"/>
          <w:color w:val="333333"/>
          <w:spacing w:val="0"/>
          <w:sz w:val="24"/>
          <w:szCs w:val="24"/>
          <w:shd w:val="clear" w:fill="FFFFFF"/>
        </w:rPr>
        <w:t>月</w:t>
      </w:r>
      <w:r>
        <w:rPr>
          <w:rFonts w:hint="eastAsia" w:ascii="宋体" w:hAnsi="宋体" w:eastAsia="宋体" w:cs="宋体"/>
          <w:i w:val="0"/>
          <w:iCs w:val="0"/>
          <w:caps w:val="0"/>
          <w:color w:val="333333"/>
          <w:spacing w:val="0"/>
          <w:sz w:val="24"/>
          <w:szCs w:val="24"/>
          <w:shd w:val="clear" w:fill="FFFFFF"/>
          <w:lang w:val="en-US" w:eastAsia="zh-CN"/>
        </w:rPr>
        <w:t>20</w:t>
      </w:r>
      <w:r>
        <w:rPr>
          <w:rFonts w:hint="eastAsia" w:ascii="宋体" w:hAnsi="宋体" w:eastAsia="宋体" w:cs="宋体"/>
          <w:i w:val="0"/>
          <w:iCs w:val="0"/>
          <w:caps w:val="0"/>
          <w:color w:val="333333"/>
          <w:spacing w:val="0"/>
          <w:sz w:val="24"/>
          <w:szCs w:val="24"/>
          <w:shd w:val="clear" w:fill="FFFFFF"/>
        </w:rPr>
        <w:t>日14时00分开标。逾期送达的投标文件将被拒绝。</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8</w:t>
      </w:r>
      <w:r>
        <w:rPr>
          <w:rFonts w:hint="eastAsia" w:ascii="宋体" w:hAnsi="宋体" w:eastAsia="宋体" w:cs="宋体"/>
          <w:i w:val="0"/>
          <w:iCs w:val="0"/>
          <w:caps w:val="0"/>
          <w:color w:val="333333"/>
          <w:spacing w:val="0"/>
          <w:sz w:val="24"/>
          <w:szCs w:val="24"/>
          <w:shd w:val="clear" w:fill="FFFFFF"/>
        </w:rPr>
        <w:t>、招标文件、工程量清单等材料从本公告附件下载；招标文件、修改、补充、招标控制价公布</w:t>
      </w:r>
      <w:r>
        <w:rPr>
          <w:rFonts w:hint="eastAsia" w:ascii="宋体" w:hAnsi="宋体" w:eastAsia="宋体" w:cs="宋体"/>
          <w:i w:val="0"/>
          <w:iCs w:val="0"/>
          <w:caps w:val="0"/>
          <w:color w:val="333333"/>
          <w:spacing w:val="0"/>
          <w:sz w:val="24"/>
          <w:szCs w:val="24"/>
          <w:shd w:val="clear" w:fill="FFFFFF"/>
          <w:lang w:eastAsia="zh-CN"/>
        </w:rPr>
        <w:t>的</w:t>
      </w:r>
      <w:r>
        <w:rPr>
          <w:rFonts w:hint="eastAsia" w:ascii="宋体" w:hAnsi="宋体" w:eastAsia="宋体" w:cs="宋体"/>
          <w:i w:val="0"/>
          <w:iCs w:val="0"/>
          <w:caps w:val="0"/>
          <w:color w:val="333333"/>
          <w:spacing w:val="0"/>
          <w:sz w:val="24"/>
          <w:szCs w:val="24"/>
          <w:shd w:val="clear" w:fill="FFFFFF"/>
        </w:rPr>
        <w:t>栏目：“</w:t>
      </w:r>
      <w:r>
        <w:rPr>
          <w:rFonts w:hint="eastAsia" w:ascii="宋体" w:hAnsi="宋体"/>
          <w:color w:val="auto"/>
          <w:sz w:val="24"/>
          <w:highlight w:val="none"/>
          <w:lang w:eastAsia="zh-CN"/>
        </w:rPr>
        <w:t>南通市水利局-公告公示栏</w:t>
      </w:r>
      <w:r>
        <w:rPr>
          <w:rFonts w:hint="eastAsia" w:ascii="宋体" w:hAnsi="宋体" w:eastAsia="宋体" w:cs="宋体"/>
          <w:i w:val="0"/>
          <w:iCs w:val="0"/>
          <w:caps w:val="0"/>
          <w:color w:val="333333"/>
          <w:spacing w:val="0"/>
          <w:sz w:val="24"/>
          <w:szCs w:val="24"/>
          <w:shd w:val="clear" w:fill="FFFFFF"/>
        </w:rPr>
        <w:t>”。请各投标人自行关注，否则，引起的所有损失由投标人自行承担。</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9</w:t>
      </w:r>
      <w:r>
        <w:rPr>
          <w:rFonts w:hint="eastAsia" w:ascii="宋体" w:hAnsi="宋体" w:eastAsia="宋体" w:cs="宋体"/>
          <w:i w:val="0"/>
          <w:iCs w:val="0"/>
          <w:caps w:val="0"/>
          <w:color w:val="333333"/>
          <w:spacing w:val="0"/>
          <w:sz w:val="24"/>
          <w:szCs w:val="24"/>
          <w:shd w:val="clear" w:fill="FFFFFF"/>
        </w:rPr>
        <w:t>、主要资格审查标准和评标细则详见招标文件中第二章。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shd w:val="clear" w:fill="FFFFFF"/>
        </w:rPr>
        <w:t>招标人：</w:t>
      </w:r>
      <w:r>
        <w:rPr>
          <w:rFonts w:hint="eastAsia" w:ascii="宋体" w:hAnsi="宋体" w:eastAsia="宋体" w:cs="宋体"/>
          <w:i w:val="0"/>
          <w:iCs w:val="0"/>
          <w:caps w:val="0"/>
          <w:color w:val="333333"/>
          <w:spacing w:val="0"/>
          <w:sz w:val="24"/>
          <w:szCs w:val="24"/>
          <w:shd w:val="clear" w:fill="FFFFFF"/>
          <w:lang w:eastAsia="zh-CN"/>
        </w:rPr>
        <w:t>南通市通吕运河水利工程管理所</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联系人： 张先生</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联系电话：</w:t>
      </w:r>
      <w:r>
        <w:rPr>
          <w:rFonts w:hint="eastAsia" w:ascii="宋体" w:hAnsi="宋体" w:cs="宋体"/>
          <w:color w:val="auto"/>
          <w:kern w:val="0"/>
          <w:sz w:val="24"/>
          <w:szCs w:val="24"/>
          <w:highlight w:val="none"/>
        </w:rPr>
        <w:t>0513-83530190</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shd w:val="clear" w:fill="FFFFFF"/>
        </w:rPr>
        <w:t>招标代理机构：</w:t>
      </w:r>
      <w:r>
        <w:rPr>
          <w:rFonts w:hint="eastAsia" w:ascii="宋体" w:hAnsi="宋体" w:eastAsia="宋体" w:cs="宋体"/>
          <w:i w:val="0"/>
          <w:iCs w:val="0"/>
          <w:caps w:val="0"/>
          <w:color w:val="333333"/>
          <w:spacing w:val="0"/>
          <w:sz w:val="24"/>
          <w:szCs w:val="24"/>
          <w:shd w:val="clear" w:fill="FFFFFF"/>
          <w:lang w:eastAsia="zh-CN"/>
        </w:rPr>
        <w:t>江苏建博工程管理咨询有限公司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地址：</w:t>
      </w:r>
      <w:r>
        <w:rPr>
          <w:rFonts w:hint="eastAsia" w:ascii="宋体" w:hAnsi="宋体" w:cs="宋体"/>
          <w:color w:val="auto"/>
          <w:kern w:val="0"/>
          <w:sz w:val="24"/>
          <w:szCs w:val="24"/>
          <w:highlight w:val="none"/>
        </w:rPr>
        <w:t>南通市崇川区</w:t>
      </w:r>
      <w:r>
        <w:rPr>
          <w:rFonts w:hint="eastAsia" w:ascii="宋体" w:hAnsi="宋体" w:cs="宋体"/>
          <w:color w:val="auto"/>
          <w:kern w:val="0"/>
          <w:sz w:val="24"/>
          <w:szCs w:val="24"/>
          <w:highlight w:val="none"/>
          <w:lang w:val="en-US" w:eastAsia="zh-CN"/>
        </w:rPr>
        <w:t>新胜路北同济科技园B7座4楼</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shd w:val="clear" w:fill="FFFFFF"/>
        </w:rPr>
        <w:t>联系人：</w:t>
      </w:r>
      <w:r>
        <w:rPr>
          <w:rFonts w:hint="eastAsia" w:ascii="宋体" w:hAnsi="宋体" w:eastAsia="宋体" w:cs="宋体"/>
          <w:i w:val="0"/>
          <w:iCs w:val="0"/>
          <w:caps w:val="0"/>
          <w:color w:val="333333"/>
          <w:spacing w:val="0"/>
          <w:sz w:val="24"/>
          <w:szCs w:val="24"/>
          <w:shd w:val="clear" w:fill="FFFFFF"/>
          <w:lang w:val="en-US" w:eastAsia="zh-CN"/>
        </w:rPr>
        <w:t>刘丽敏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default"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shd w:val="clear" w:fill="FFFFFF"/>
        </w:rPr>
        <w:t>联系电话：</w:t>
      </w:r>
      <w:r>
        <w:rPr>
          <w:rFonts w:hint="eastAsia" w:ascii="宋体" w:hAnsi="宋体" w:eastAsia="宋体" w:cs="宋体"/>
          <w:i w:val="0"/>
          <w:iCs w:val="0"/>
          <w:caps w:val="0"/>
          <w:color w:val="333333"/>
          <w:spacing w:val="0"/>
          <w:sz w:val="24"/>
          <w:szCs w:val="24"/>
          <w:shd w:val="clear" w:fill="FFFFFF"/>
          <w:lang w:val="en-US" w:eastAsia="zh-CN"/>
        </w:rPr>
        <w:t>18251304156</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2025年0</w:t>
      </w:r>
      <w:r>
        <w:rPr>
          <w:rFonts w:hint="eastAsia" w:ascii="宋体" w:hAnsi="宋体" w:eastAsia="宋体" w:cs="宋体"/>
          <w:i w:val="0"/>
          <w:iCs w:val="0"/>
          <w:caps w:val="0"/>
          <w:color w:val="333333"/>
          <w:spacing w:val="0"/>
          <w:sz w:val="24"/>
          <w:szCs w:val="24"/>
          <w:shd w:val="clear" w:fill="FFFFFF"/>
          <w:lang w:val="en-US" w:eastAsia="zh-CN"/>
        </w:rPr>
        <w:t>9</w:t>
      </w:r>
      <w:r>
        <w:rPr>
          <w:rFonts w:hint="eastAsia" w:ascii="宋体" w:hAnsi="宋体" w:eastAsia="宋体" w:cs="宋体"/>
          <w:i w:val="0"/>
          <w:iCs w:val="0"/>
          <w:caps w:val="0"/>
          <w:color w:val="333333"/>
          <w:spacing w:val="0"/>
          <w:sz w:val="24"/>
          <w:szCs w:val="24"/>
          <w:shd w:val="clear" w:fill="FFFFFF"/>
        </w:rPr>
        <w:t>月</w:t>
      </w:r>
      <w:r>
        <w:rPr>
          <w:rFonts w:hint="eastAsia" w:ascii="宋体" w:hAnsi="宋体" w:eastAsia="宋体" w:cs="宋体"/>
          <w:i w:val="0"/>
          <w:iCs w:val="0"/>
          <w:caps w:val="0"/>
          <w:color w:val="333333"/>
          <w:spacing w:val="0"/>
          <w:sz w:val="24"/>
          <w:szCs w:val="24"/>
          <w:shd w:val="clear" w:fill="FFFFFF"/>
          <w:lang w:val="en-US" w:eastAsia="zh-CN"/>
        </w:rPr>
        <w:t>19</w:t>
      </w:r>
      <w:bookmarkStart w:id="0" w:name="_GoBack"/>
      <w:bookmarkEnd w:id="0"/>
      <w:r>
        <w:rPr>
          <w:rFonts w:hint="eastAsia" w:ascii="宋体" w:hAnsi="宋体" w:eastAsia="宋体" w:cs="宋体"/>
          <w:i w:val="0"/>
          <w:iCs w:val="0"/>
          <w:caps w:val="0"/>
          <w:color w:val="333333"/>
          <w:spacing w:val="0"/>
          <w:sz w:val="24"/>
          <w:szCs w:val="24"/>
          <w:shd w:val="clear" w:fill="FFFFFF"/>
        </w:rPr>
        <w:t>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FF0539"/>
    <w:multiLevelType w:val="singleLevel"/>
    <w:tmpl w:val="28FF053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86716BF"/>
    <w:rsid w:val="19620013"/>
    <w:rsid w:val="1F46180D"/>
    <w:rsid w:val="27E84283"/>
    <w:rsid w:val="35642DEF"/>
    <w:rsid w:val="393408EF"/>
    <w:rsid w:val="39ED7FCB"/>
    <w:rsid w:val="446A3BBB"/>
    <w:rsid w:val="4FC475ED"/>
    <w:rsid w:val="58AE337F"/>
    <w:rsid w:val="5CE36509"/>
    <w:rsid w:val="651F0531"/>
    <w:rsid w:val="695A13CD"/>
    <w:rsid w:val="7117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b/>
      <w:kern w:val="44"/>
      <w:sz w:val="28"/>
    </w:rPr>
  </w:style>
  <w:style w:type="paragraph" w:styleId="6">
    <w:name w:val="heading 2"/>
    <w:basedOn w:val="1"/>
    <w:next w:val="1"/>
    <w:semiHidden/>
    <w:unhideWhenUsed/>
    <w:qFormat/>
    <w:uiPriority w:val="0"/>
    <w:pPr>
      <w:keepNext/>
      <w:keepLines/>
      <w:spacing w:beforeLines="0" w:beforeAutospacing="0" w:afterLines="0" w:afterAutospacing="0" w:line="360" w:lineRule="auto"/>
      <w:jc w:val="left"/>
      <w:outlineLvl w:val="1"/>
    </w:pPr>
    <w:rPr>
      <w:rFonts w:ascii="Arial" w:hAnsi="Arial" w:eastAsia="宋体"/>
      <w:sz w:val="24"/>
    </w:rPr>
  </w:style>
  <w:style w:type="paragraph" w:styleId="7">
    <w:name w:val="heading 3"/>
    <w:basedOn w:val="1"/>
    <w:next w:val="1"/>
    <w:semiHidden/>
    <w:unhideWhenUsed/>
    <w:qFormat/>
    <w:uiPriority w:val="0"/>
    <w:pPr>
      <w:keepNext/>
      <w:keepLines/>
      <w:spacing w:beforeLines="0" w:beforeAutospacing="0" w:afterLines="0" w:afterAutospacing="0" w:line="360" w:lineRule="auto"/>
      <w:jc w:val="left"/>
      <w:outlineLvl w:val="2"/>
    </w:pPr>
    <w:rPr>
      <w:rFonts w:eastAsia="宋体" w:asciiTheme="minorAscii" w:hAnsiTheme="minorAscii"/>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spacing w:after="120" w:line="240" w:lineRule="auto"/>
      <w:ind w:left="420" w:leftChars="200" w:firstLine="420"/>
    </w:pPr>
    <w:rPr>
      <w:sz w:val="21"/>
      <w:szCs w:val="21"/>
    </w:rPr>
  </w:style>
  <w:style w:type="paragraph" w:styleId="3">
    <w:name w:val="Body Text Indent"/>
    <w:basedOn w:val="1"/>
    <w:next w:val="4"/>
    <w:qFormat/>
    <w:uiPriority w:val="0"/>
    <w:pPr>
      <w:spacing w:line="360" w:lineRule="auto"/>
      <w:ind w:firstLine="500" w:firstLineChars="200"/>
    </w:pPr>
    <w:rPr>
      <w:rFonts w:ascii="Tahoma" w:hAnsi="Tahoma" w:eastAsia="仿宋_GB2312" w:cs="Tahoma"/>
      <w:sz w:val="24"/>
      <w:szCs w:val="24"/>
    </w:rPr>
  </w:style>
  <w:style w:type="paragraph" w:styleId="4">
    <w:name w:val="envelope return"/>
    <w:basedOn w:val="1"/>
    <w:qFormat/>
    <w:uiPriority w:val="0"/>
    <w:pPr>
      <w:snapToGrid w:val="0"/>
    </w:pPr>
    <w:rPr>
      <w:rFonts w:ascii="Arial" w:hAnsi="Arial" w:eastAsia="宋体" w:cs="Times New Roman"/>
      <w:lang w:bidi="ar-SA"/>
    </w:rPr>
  </w:style>
  <w:style w:type="paragraph" w:styleId="8">
    <w:name w:val="footnote text"/>
    <w:basedOn w:val="1"/>
    <w:next w:val="2"/>
    <w:qFormat/>
    <w:uiPriority w:val="0"/>
    <w:pPr>
      <w:adjustRightInd w:val="0"/>
      <w:spacing w:line="312" w:lineRule="atLeast"/>
      <w:jc w:val="left"/>
      <w:textAlignment w:val="baseline"/>
    </w:pPr>
    <w:rPr>
      <w:kern w:val="0"/>
      <w:sz w:val="18"/>
      <w:szCs w:val="20"/>
      <w:lang w:val="zh-C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1983</Words>
  <Characters>2062</Characters>
  <Lines>0</Lines>
  <Paragraphs>0</Paragraphs>
  <TotalTime>2</TotalTime>
  <ScaleCrop>false</ScaleCrop>
  <LinksUpToDate>false</LinksUpToDate>
  <CharactersWithSpaces>2067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蛋壳里De小妖怪。</cp:lastModifiedBy>
  <dcterms:modified xsi:type="dcterms:W3CDTF">2025-09-19T06:17:59Z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EDBBD9C8F8A74CB493413AFC855891DB</vt:lpwstr>
  </property>
</Properties>
</file>