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b/>
          <w:bCs/>
          <w:w w:val="90"/>
          <w:kern w:val="0"/>
          <w:sz w:val="44"/>
          <w:szCs w:val="44"/>
        </w:rPr>
      </w:pPr>
      <w:r>
        <w:rPr>
          <w:b/>
          <w:bCs/>
          <w:w w:val="90"/>
          <w:kern w:val="0"/>
          <w:sz w:val="44"/>
          <w:szCs w:val="44"/>
        </w:rPr>
        <w:t>2025年拦污栅清理维护项目</w:t>
      </w:r>
    </w:p>
    <w:p w14:paraId="49492189">
      <w:pPr>
        <w:jc w:val="center"/>
        <w:rPr>
          <w:sz w:val="28"/>
          <w:szCs w:val="21"/>
        </w:rPr>
      </w:pPr>
    </w:p>
    <w:p w14:paraId="47835097">
      <w:pPr>
        <w:pStyle w:val="60"/>
        <w:ind w:firstLine="280"/>
        <w:rPr>
          <w:rFonts w:ascii="Times New Roman" w:hAnsi="Times New Roman"/>
          <w:color w:val="auto"/>
        </w:rPr>
      </w:pPr>
    </w:p>
    <w:p w14:paraId="1E015D04">
      <w:pPr>
        <w:pStyle w:val="60"/>
        <w:ind w:firstLine="280"/>
        <w:rPr>
          <w:rFonts w:ascii="Times New Roman" w:hAnsi="Times New Roman"/>
          <w:color w:val="auto"/>
        </w:rPr>
      </w:pPr>
    </w:p>
    <w:p w14:paraId="151F0DAB">
      <w:pPr>
        <w:pStyle w:val="60"/>
        <w:ind w:firstLine="280"/>
        <w:rPr>
          <w:rFonts w:ascii="Times New Roman" w:hAnsi="Times New Roman"/>
          <w:color w:val="auto"/>
        </w:rPr>
      </w:pPr>
    </w:p>
    <w:p w14:paraId="22FB7309">
      <w:pPr>
        <w:pStyle w:val="60"/>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60"/>
        <w:ind w:firstLine="280"/>
        <w:rPr>
          <w:rFonts w:ascii="Times New Roman" w:hAnsi="Times New Roman" w:eastAsia="宋体"/>
          <w:color w:val="auto"/>
        </w:rPr>
      </w:pPr>
    </w:p>
    <w:p w14:paraId="6206F6EF">
      <w:pPr>
        <w:pStyle w:val="60"/>
        <w:ind w:firstLine="280"/>
        <w:rPr>
          <w:rFonts w:ascii="Times New Roman" w:hAnsi="Times New Roman" w:eastAsia="宋体"/>
          <w:color w:val="auto"/>
        </w:rPr>
      </w:pPr>
    </w:p>
    <w:p w14:paraId="659AD9FA">
      <w:pPr>
        <w:pStyle w:val="60"/>
        <w:ind w:firstLine="280"/>
        <w:rPr>
          <w:rFonts w:ascii="Times New Roman" w:hAnsi="Times New Roman" w:eastAsia="宋体"/>
          <w:color w:val="auto"/>
        </w:rPr>
      </w:pPr>
    </w:p>
    <w:p w14:paraId="68F9C1FE">
      <w:pPr>
        <w:pStyle w:val="60"/>
        <w:ind w:firstLine="280"/>
        <w:rPr>
          <w:rFonts w:ascii="Times New Roman" w:hAnsi="Times New Roman" w:eastAsia="宋体"/>
          <w:color w:val="auto"/>
        </w:rPr>
      </w:pPr>
    </w:p>
    <w:p w14:paraId="06C7F434">
      <w:pPr>
        <w:spacing w:line="360" w:lineRule="auto"/>
        <w:ind w:firstLine="640" w:firstLineChars="200"/>
        <w:rPr>
          <w:b/>
          <w:sz w:val="32"/>
          <w:szCs w:val="32"/>
        </w:rPr>
      </w:pPr>
      <w:bookmarkStart w:id="0" w:name="_Toc241913651"/>
      <w:bookmarkStart w:id="1" w:name="_Toc312608845"/>
      <w:bookmarkStart w:id="2" w:name="_Toc257275442"/>
    </w:p>
    <w:p w14:paraId="0FFD9F97">
      <w:pPr>
        <w:spacing w:line="360" w:lineRule="auto"/>
        <w:ind w:firstLine="964" w:firstLineChars="200"/>
        <w:rPr>
          <w:b/>
          <w:sz w:val="32"/>
          <w:szCs w:val="32"/>
        </w:rPr>
      </w:pPr>
      <w:r>
        <w:rPr>
          <w:b/>
          <w:spacing w:val="81"/>
          <w:kern w:val="0"/>
          <w:sz w:val="32"/>
          <w:fitText w:val="1284" w:id="711331971"/>
        </w:rPr>
        <w:t>采购</w:t>
      </w:r>
      <w:r>
        <w:rPr>
          <w:b/>
          <w:spacing w:val="0"/>
          <w:kern w:val="0"/>
          <w:sz w:val="32"/>
          <w:szCs w:val="32"/>
          <w:fitText w:val="1284" w:id="711331971"/>
        </w:rPr>
        <w:t>人</w:t>
      </w:r>
      <w:r>
        <w:rPr>
          <w:b/>
          <w:sz w:val="32"/>
          <w:szCs w:val="32"/>
        </w:rPr>
        <w:t>：</w:t>
      </w:r>
      <w:r>
        <w:rPr>
          <w:b/>
          <w:kern w:val="0"/>
          <w:sz w:val="32"/>
          <w:szCs w:val="32"/>
        </w:rPr>
        <w:t>南通市市区涵闸管理中心</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rPr>
        <w:t>3</w:t>
      </w:r>
      <w:r>
        <w:rPr>
          <w:b/>
          <w:sz w:val="32"/>
          <w:szCs w:val="32"/>
        </w:rPr>
        <w:t>月</w:t>
      </w:r>
    </w:p>
    <w:p w14:paraId="768E87B6">
      <w:pPr>
        <w:pStyle w:val="60"/>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4"/>
      <w:bookmarkStart w:id="5" w:name="OLE_LINK3"/>
      <w:bookmarkStart w:id="6" w:name="OLE_LINK2"/>
      <w:bookmarkStart w:id="7" w:name="OLE_LINK1"/>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sz w:val="24"/>
                <w:u w:val="single"/>
              </w:rPr>
              <w:t>2025年拦污栅清理维护项目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rPr>
              <w:t>4</w:t>
            </w:r>
            <w:r>
              <w:rPr>
                <w:sz w:val="24"/>
              </w:rPr>
              <w:t>月</w:t>
            </w:r>
            <w:r>
              <w:rPr>
                <w:rFonts w:hint="eastAsia"/>
                <w:sz w:val="24"/>
                <w:u w:val="single"/>
              </w:rPr>
              <w:t>9</w:t>
            </w:r>
            <w:r>
              <w:rPr>
                <w:sz w:val="24"/>
              </w:rPr>
              <w:t>日</w:t>
            </w:r>
            <w:r>
              <w:rPr>
                <w:sz w:val="24"/>
                <w:u w:val="single"/>
              </w:rPr>
              <w:t>14</w:t>
            </w:r>
            <w:r>
              <w:rPr>
                <w:sz w:val="24"/>
              </w:rPr>
              <w:t>时</w:t>
            </w:r>
            <w:r>
              <w:rPr>
                <w:sz w:val="24"/>
                <w:u w:val="single"/>
              </w:rPr>
              <w:t>00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1、项目名称：2025年拦污栅清理维护项目。</w:t>
      </w:r>
    </w:p>
    <w:p w14:paraId="2102BCD8">
      <w:pPr>
        <w:widowControl/>
        <w:snapToGrid w:val="0"/>
        <w:spacing w:line="440" w:lineRule="exact"/>
        <w:ind w:firstLine="480" w:firstLineChars="200"/>
        <w:jc w:val="left"/>
        <w:rPr>
          <w:sz w:val="24"/>
        </w:rPr>
      </w:pPr>
      <w:r>
        <w:rPr>
          <w:sz w:val="24"/>
        </w:rPr>
        <w:t>2、预算金额：7.82万元。</w:t>
      </w:r>
    </w:p>
    <w:p w14:paraId="3397E2FA">
      <w:pPr>
        <w:widowControl/>
        <w:snapToGrid w:val="0"/>
        <w:spacing w:line="440" w:lineRule="exact"/>
        <w:ind w:firstLine="480" w:firstLineChars="200"/>
        <w:jc w:val="left"/>
        <w:rPr>
          <w:sz w:val="24"/>
        </w:rPr>
      </w:pPr>
      <w:r>
        <w:rPr>
          <w:sz w:val="24"/>
        </w:rPr>
        <w:t>3、最高限价：7.82万元，报价超过最高限价的为无效响应文件。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5、合同履行期限：实施自2025年4月1</w:t>
      </w:r>
      <w:r>
        <w:rPr>
          <w:rFonts w:hint="eastAsia"/>
          <w:sz w:val="24"/>
        </w:rPr>
        <w:t>1</w:t>
      </w:r>
      <w:r>
        <w:rPr>
          <w:sz w:val="24"/>
        </w:rPr>
        <w:t>日至2026年</w:t>
      </w:r>
      <w:r>
        <w:rPr>
          <w:rFonts w:hint="eastAsia"/>
          <w:sz w:val="24"/>
        </w:rPr>
        <w:t>4</w:t>
      </w:r>
      <w:r>
        <w:rPr>
          <w:sz w:val="24"/>
        </w:rPr>
        <w:t>月</w:t>
      </w:r>
      <w:r>
        <w:rPr>
          <w:rFonts w:hint="eastAsia"/>
          <w:sz w:val="24"/>
        </w:rPr>
        <w:t>10</w:t>
      </w:r>
      <w:r>
        <w:rPr>
          <w:sz w:val="24"/>
        </w:rPr>
        <w:t>日，各闸站每次清理维护时间需控制在5天内，具体实施时间由采购人安排。本项目验收</w:t>
      </w:r>
      <w:r>
        <w:rPr>
          <w:sz w:val="24"/>
          <w:lang w:val="zh-CN"/>
        </w:rPr>
        <w:t>合格</w:t>
      </w:r>
      <w:r>
        <w:rPr>
          <w:sz w:val="24"/>
        </w:rPr>
        <w:t>并经双方同意</w:t>
      </w:r>
      <w:r>
        <w:rPr>
          <w:sz w:val="24"/>
          <w:lang w:val="zh-CN"/>
        </w:rPr>
        <w:t>后可续签</w:t>
      </w:r>
      <w:r>
        <w:rPr>
          <w:sz w:val="24"/>
        </w:rPr>
        <w:t>下一年度合同</w:t>
      </w:r>
      <w:r>
        <w:rPr>
          <w:sz w:val="24"/>
          <w:lang w:val="zh-CN"/>
        </w:rPr>
        <w:t>，最多续签两次。</w:t>
      </w:r>
    </w:p>
    <w:p w14:paraId="2EF77C8B">
      <w:pPr>
        <w:pStyle w:val="60"/>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68E5494A">
      <w:pPr>
        <w:widowControl/>
        <w:snapToGrid w:val="0"/>
        <w:spacing w:line="440" w:lineRule="exact"/>
        <w:ind w:firstLine="480" w:firstLineChars="200"/>
        <w:jc w:val="left"/>
        <w:rPr>
          <w:sz w:val="24"/>
        </w:rPr>
      </w:pPr>
      <w:r>
        <w:rPr>
          <w:bCs/>
          <w:sz w:val="24"/>
        </w:rPr>
        <w:t>2、</w:t>
      </w:r>
      <w:r>
        <w:rPr>
          <w:sz w:val="24"/>
        </w:rPr>
        <w:t>本项目的特定资格要求：</w:t>
      </w:r>
      <w:r>
        <w:rPr>
          <w:sz w:val="24"/>
          <w:u w:val="single"/>
        </w:rPr>
        <w:t xml:space="preserve"> </w:t>
      </w:r>
      <w:r>
        <w:rPr>
          <w:bCs/>
          <w:sz w:val="24"/>
          <w:u w:val="single"/>
        </w:rPr>
        <w:t xml:space="preserve">/ </w:t>
      </w:r>
      <w:r>
        <w:rPr>
          <w:bCs/>
          <w:sz w:val="24"/>
        </w:rPr>
        <w:t>。</w:t>
      </w:r>
    </w:p>
    <w:p w14:paraId="1BB07659">
      <w:pPr>
        <w:widowControl/>
        <w:snapToGrid w:val="0"/>
        <w:spacing w:line="440" w:lineRule="exact"/>
        <w:ind w:firstLine="480" w:firstLineChars="200"/>
        <w:jc w:val="left"/>
        <w:rPr>
          <w:sz w:val="24"/>
        </w:rPr>
      </w:pPr>
      <w:r>
        <w:rPr>
          <w:sz w:val="24"/>
        </w:rPr>
        <w:t>3、落实政府采购政策需满足的资格要求：</w:t>
      </w:r>
      <w:r>
        <w:rPr>
          <w:b/>
          <w:bCs/>
          <w:sz w:val="24"/>
          <w:u w:val="double" w:color="FF0000"/>
        </w:rPr>
        <w:t>本项目专门面向中小微企业采购,供应商应为中小微企业、监狱企业或残疾人福利性单位，并按照采购文件要求提供《中小企业声明函》或《残疾人福利性单位声明函》或监狱和戒毒企业证明材料。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369"/>
      <w:bookmarkStart w:id="11" w:name="_Toc387526277"/>
      <w:bookmarkStart w:id="12" w:name="_Toc387526173"/>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rPr>
        <w:t>4</w:t>
      </w:r>
      <w:r>
        <w:rPr>
          <w:sz w:val="24"/>
          <w:u w:val="single"/>
        </w:rPr>
        <w:t>月</w:t>
      </w:r>
      <w:r>
        <w:rPr>
          <w:rFonts w:hint="eastAsia"/>
          <w:sz w:val="24"/>
          <w:u w:val="single"/>
        </w:rPr>
        <w:t>9</w:t>
      </w:r>
      <w:r>
        <w:rPr>
          <w:sz w:val="24"/>
          <w:u w:val="single"/>
        </w:rPr>
        <w:t>日14时00分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60"/>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sz w:val="24"/>
        </w:rPr>
      </w:pPr>
      <w:r>
        <w:rPr>
          <w:sz w:val="24"/>
        </w:rPr>
        <w:t>联系人：张先生</w:t>
      </w:r>
    </w:p>
    <w:p w14:paraId="7884E698">
      <w:pPr>
        <w:widowControl/>
        <w:snapToGrid w:val="0"/>
        <w:spacing w:line="440" w:lineRule="exact"/>
        <w:ind w:firstLine="480" w:firstLineChars="200"/>
        <w:jc w:val="left"/>
        <w:rPr>
          <w:sz w:val="24"/>
        </w:rPr>
      </w:pPr>
      <w:r>
        <w:rPr>
          <w:sz w:val="24"/>
        </w:rPr>
        <w:t>联系电话：0513-83552203</w:t>
      </w:r>
    </w:p>
    <w:p w14:paraId="2088B924">
      <w:pPr>
        <w:widowControl/>
        <w:snapToGrid w:val="0"/>
        <w:spacing w:line="440" w:lineRule="exact"/>
        <w:ind w:firstLine="480" w:firstLineChars="200"/>
        <w:jc w:val="left"/>
        <w:rPr>
          <w:sz w:val="24"/>
        </w:rPr>
      </w:pPr>
      <w:r>
        <w:rPr>
          <w:sz w:val="24"/>
        </w:rPr>
        <w:t xml:space="preserve">　　　　　　　　　　　        </w:t>
      </w:r>
    </w:p>
    <w:p w14:paraId="6D25926E">
      <w:pPr>
        <w:pStyle w:val="60"/>
        <w:ind w:firstLine="280"/>
        <w:rPr>
          <w:rFonts w:ascii="Times New Roman" w:hAnsi="Times New Roman" w:eastAsia="宋体"/>
          <w:color w:val="auto"/>
        </w:rPr>
      </w:pPr>
    </w:p>
    <w:p w14:paraId="2124F8F0">
      <w:pPr>
        <w:pStyle w:val="60"/>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w:t>
      </w:r>
      <w:r>
        <w:rPr>
          <w:rFonts w:hint="eastAsia"/>
          <w:sz w:val="24"/>
          <w:lang w:val="en-US" w:eastAsia="zh-CN"/>
        </w:rPr>
        <w:t>采购人</w:t>
      </w:r>
      <w:r>
        <w:rPr>
          <w:sz w:val="24"/>
        </w:rPr>
        <w:t>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sz w:val="24"/>
        </w:rPr>
      </w:pPr>
      <w:r>
        <w:rPr>
          <w:sz w:val="24"/>
        </w:rPr>
        <w:t>4、投标报价采用</w:t>
      </w:r>
      <w:r>
        <w:rPr>
          <w:b/>
          <w:bCs/>
          <w:sz w:val="24"/>
        </w:rPr>
        <w:t>固定总价</w:t>
      </w:r>
      <w:r>
        <w:rPr>
          <w:sz w:val="24"/>
        </w:rPr>
        <w:t>报价，投标报价应包括人工费、材料费（含辅材）、机械费、安装费、管理费、利润、各项措施费、规费、税金、技术指导费、风险费及其他（如施工安全防护措施费、垃圾清理费等一切费用）等完成本项目所需的全部费用。</w:t>
      </w:r>
    </w:p>
    <w:p w14:paraId="60725BC9">
      <w:pPr>
        <w:snapToGrid w:val="0"/>
        <w:spacing w:line="360" w:lineRule="auto"/>
        <w:ind w:firstLine="470" w:firstLineChars="196"/>
        <w:rPr>
          <w:sz w:val="24"/>
        </w:rPr>
      </w:pPr>
      <w:r>
        <w:rPr>
          <w:sz w:val="24"/>
        </w:rPr>
        <w:t>5、采购人设定投标最高限价为人民币7.82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lang w:val="en-US" w:eastAsia="zh-CN"/>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第三章 项目需求</w:t>
      </w:r>
    </w:p>
    <w:p w14:paraId="3625B35A">
      <w:pPr>
        <w:snapToGrid w:val="0"/>
        <w:spacing w:line="360" w:lineRule="auto"/>
        <w:ind w:firstLine="480" w:firstLineChars="200"/>
        <w:outlineLvl w:val="1"/>
        <w:rPr>
          <w:b/>
          <w:sz w:val="24"/>
        </w:rPr>
      </w:pPr>
      <w:r>
        <w:rPr>
          <w:b/>
          <w:sz w:val="24"/>
        </w:rPr>
        <w:t>一、项目名称</w:t>
      </w:r>
    </w:p>
    <w:p w14:paraId="6C86CD02">
      <w:pPr>
        <w:snapToGrid w:val="0"/>
        <w:spacing w:line="360" w:lineRule="auto"/>
        <w:ind w:firstLine="480" w:firstLineChars="200"/>
        <w:outlineLvl w:val="1"/>
        <w:rPr>
          <w:bCs/>
          <w:sz w:val="24"/>
        </w:rPr>
      </w:pPr>
      <w:r>
        <w:rPr>
          <w:sz w:val="24"/>
        </w:rPr>
        <w:t>2025年拦污栅清理维护项目</w:t>
      </w:r>
      <w:r>
        <w:rPr>
          <w:bCs/>
          <w:sz w:val="24"/>
        </w:rPr>
        <w:t>。</w:t>
      </w:r>
    </w:p>
    <w:p w14:paraId="7925FA51">
      <w:pPr>
        <w:snapToGrid w:val="0"/>
        <w:spacing w:line="360" w:lineRule="auto"/>
        <w:ind w:firstLine="480" w:firstLineChars="200"/>
        <w:outlineLvl w:val="1"/>
        <w:rPr>
          <w:b/>
          <w:sz w:val="24"/>
        </w:rPr>
      </w:pPr>
      <w:r>
        <w:rPr>
          <w:b/>
          <w:sz w:val="24"/>
        </w:rPr>
        <w:t>二、项目地点</w:t>
      </w:r>
    </w:p>
    <w:p w14:paraId="695B235B">
      <w:pPr>
        <w:snapToGrid w:val="0"/>
        <w:spacing w:line="360" w:lineRule="auto"/>
        <w:ind w:firstLine="480" w:firstLineChars="200"/>
        <w:outlineLvl w:val="1"/>
        <w:rPr>
          <w:bCs/>
          <w:sz w:val="24"/>
        </w:rPr>
      </w:pPr>
      <w:r>
        <w:rPr>
          <w:rFonts w:eastAsiaTheme="majorEastAsia"/>
          <w:kern w:val="0"/>
          <w:sz w:val="24"/>
        </w:rPr>
        <w:t>任港闸站、幸福河闸站、郭里头闸站、兴石河闸站、运料河北闸站、海港南闸站。</w:t>
      </w:r>
    </w:p>
    <w:p w14:paraId="7B32B607">
      <w:pPr>
        <w:snapToGrid w:val="0"/>
        <w:spacing w:line="360" w:lineRule="auto"/>
        <w:ind w:firstLine="480" w:firstLineChars="200"/>
        <w:outlineLvl w:val="1"/>
        <w:rPr>
          <w:b/>
          <w:sz w:val="24"/>
        </w:rPr>
      </w:pPr>
      <w:r>
        <w:rPr>
          <w:b/>
          <w:sz w:val="24"/>
        </w:rPr>
        <w:t>三、项目内容</w:t>
      </w:r>
    </w:p>
    <w:p w14:paraId="1C3488F6">
      <w:pPr>
        <w:snapToGrid w:val="0"/>
        <w:spacing w:line="360" w:lineRule="auto"/>
        <w:ind w:firstLine="480" w:firstLineChars="200"/>
        <w:outlineLvl w:val="1"/>
        <w:rPr>
          <w:bCs/>
          <w:sz w:val="24"/>
        </w:rPr>
      </w:pPr>
      <w:r>
        <w:rPr>
          <w:bCs/>
          <w:sz w:val="24"/>
        </w:rPr>
        <w:t>1、任港闸站拦污栅清理维护2次（每6个月1次）；</w:t>
      </w:r>
    </w:p>
    <w:p w14:paraId="4B99BE2A">
      <w:pPr>
        <w:snapToGrid w:val="0"/>
        <w:spacing w:line="360" w:lineRule="auto"/>
        <w:ind w:firstLine="480" w:firstLineChars="200"/>
        <w:outlineLvl w:val="1"/>
        <w:rPr>
          <w:bCs/>
          <w:sz w:val="24"/>
        </w:rPr>
      </w:pPr>
      <w:r>
        <w:rPr>
          <w:bCs/>
          <w:sz w:val="24"/>
        </w:rPr>
        <w:t>2、</w:t>
      </w:r>
      <w:r>
        <w:rPr>
          <w:sz w:val="24"/>
        </w:rPr>
        <w:t>幸福河闸站拦污栅清理维护3次</w:t>
      </w:r>
      <w:r>
        <w:rPr>
          <w:bCs/>
          <w:sz w:val="24"/>
        </w:rPr>
        <w:t>（每4个月1次）；</w:t>
      </w:r>
    </w:p>
    <w:p w14:paraId="6E3BFE2F">
      <w:pPr>
        <w:snapToGrid w:val="0"/>
        <w:spacing w:line="360" w:lineRule="auto"/>
        <w:ind w:firstLine="480" w:firstLineChars="200"/>
        <w:outlineLvl w:val="1"/>
        <w:rPr>
          <w:bCs/>
          <w:sz w:val="24"/>
        </w:rPr>
      </w:pPr>
      <w:r>
        <w:rPr>
          <w:bCs/>
          <w:sz w:val="24"/>
        </w:rPr>
        <w:t>3、</w:t>
      </w:r>
      <w:r>
        <w:rPr>
          <w:sz w:val="24"/>
        </w:rPr>
        <w:t>郭里头闸站拦污栅清理维护6次</w:t>
      </w:r>
      <w:r>
        <w:rPr>
          <w:bCs/>
          <w:sz w:val="24"/>
        </w:rPr>
        <w:t>（每2个月1次）；</w:t>
      </w:r>
    </w:p>
    <w:p w14:paraId="2871E846">
      <w:pPr>
        <w:snapToGrid w:val="0"/>
        <w:spacing w:line="360" w:lineRule="auto"/>
        <w:ind w:firstLine="480" w:firstLineChars="200"/>
        <w:outlineLvl w:val="1"/>
        <w:rPr>
          <w:bCs/>
          <w:sz w:val="24"/>
        </w:rPr>
      </w:pPr>
      <w:r>
        <w:rPr>
          <w:bCs/>
          <w:sz w:val="24"/>
        </w:rPr>
        <w:t>4、</w:t>
      </w:r>
      <w:r>
        <w:rPr>
          <w:sz w:val="24"/>
        </w:rPr>
        <w:t>兴石河闸站拦污栅清理维护1次</w:t>
      </w:r>
      <w:r>
        <w:rPr>
          <w:bCs/>
          <w:sz w:val="24"/>
        </w:rPr>
        <w:t>；</w:t>
      </w:r>
    </w:p>
    <w:p w14:paraId="22EC3946">
      <w:pPr>
        <w:snapToGrid w:val="0"/>
        <w:spacing w:line="360" w:lineRule="auto"/>
        <w:ind w:firstLine="480" w:firstLineChars="200"/>
        <w:outlineLvl w:val="1"/>
        <w:rPr>
          <w:bCs/>
          <w:sz w:val="24"/>
        </w:rPr>
      </w:pPr>
      <w:r>
        <w:rPr>
          <w:bCs/>
          <w:sz w:val="24"/>
        </w:rPr>
        <w:t>5、</w:t>
      </w:r>
      <w:r>
        <w:rPr>
          <w:sz w:val="24"/>
        </w:rPr>
        <w:t>运料河北闸站拦污栅清理维护1次；</w:t>
      </w:r>
    </w:p>
    <w:p w14:paraId="3E9DD20C">
      <w:pPr>
        <w:snapToGrid w:val="0"/>
        <w:spacing w:line="360" w:lineRule="auto"/>
        <w:ind w:firstLine="480" w:firstLineChars="200"/>
        <w:outlineLvl w:val="1"/>
        <w:rPr>
          <w:bCs/>
          <w:sz w:val="24"/>
        </w:rPr>
      </w:pPr>
      <w:r>
        <w:rPr>
          <w:bCs/>
          <w:sz w:val="24"/>
        </w:rPr>
        <w:t>6、</w:t>
      </w:r>
      <w:r>
        <w:rPr>
          <w:sz w:val="24"/>
        </w:rPr>
        <w:t>海港南闸站水泵进水池垃圾打捞6次</w:t>
      </w:r>
      <w:r>
        <w:rPr>
          <w:bCs/>
          <w:sz w:val="24"/>
        </w:rPr>
        <w:t>（每2个月1次）；</w:t>
      </w:r>
    </w:p>
    <w:p w14:paraId="7576B19A">
      <w:pPr>
        <w:snapToGrid w:val="0"/>
        <w:spacing w:line="360" w:lineRule="auto"/>
        <w:ind w:firstLine="480" w:firstLineChars="200"/>
        <w:outlineLvl w:val="1"/>
        <w:rPr>
          <w:kern w:val="0"/>
          <w:sz w:val="24"/>
        </w:rPr>
      </w:pPr>
      <w:r>
        <w:rPr>
          <w:bCs/>
          <w:sz w:val="24"/>
        </w:rPr>
        <w:t>等。</w:t>
      </w:r>
    </w:p>
    <w:p w14:paraId="119F2ED7">
      <w:pPr>
        <w:snapToGrid w:val="0"/>
        <w:spacing w:line="360" w:lineRule="auto"/>
        <w:ind w:firstLine="480" w:firstLineChars="200"/>
        <w:outlineLvl w:val="1"/>
        <w:rPr>
          <w:b/>
          <w:sz w:val="24"/>
        </w:rPr>
      </w:pPr>
      <w:r>
        <w:rPr>
          <w:b/>
          <w:sz w:val="24"/>
        </w:rPr>
        <w:t>四、时间要求</w:t>
      </w:r>
    </w:p>
    <w:p w14:paraId="38F1884B">
      <w:pPr>
        <w:snapToGrid w:val="0"/>
        <w:spacing w:line="360" w:lineRule="auto"/>
        <w:ind w:firstLine="480" w:firstLineChars="200"/>
        <w:outlineLvl w:val="1"/>
        <w:rPr>
          <w:b/>
          <w:sz w:val="24"/>
        </w:rPr>
      </w:pPr>
      <w:r>
        <w:rPr>
          <w:rFonts w:eastAsiaTheme="majorEastAsia"/>
          <w:bCs/>
          <w:kern w:val="0"/>
          <w:sz w:val="24"/>
        </w:rPr>
        <w:t>实施自2025年4月</w:t>
      </w:r>
      <w:r>
        <w:rPr>
          <w:rFonts w:hint="eastAsia" w:eastAsiaTheme="majorEastAsia"/>
          <w:bCs/>
          <w:kern w:val="0"/>
          <w:sz w:val="24"/>
        </w:rPr>
        <w:t>1</w:t>
      </w:r>
      <w:r>
        <w:rPr>
          <w:rFonts w:eastAsiaTheme="majorEastAsia"/>
          <w:bCs/>
          <w:kern w:val="0"/>
          <w:sz w:val="24"/>
        </w:rPr>
        <w:t>1日至2026年</w:t>
      </w:r>
      <w:r>
        <w:rPr>
          <w:rFonts w:hint="eastAsia" w:eastAsiaTheme="majorEastAsia"/>
          <w:bCs/>
          <w:kern w:val="0"/>
          <w:sz w:val="24"/>
        </w:rPr>
        <w:t>4</w:t>
      </w:r>
      <w:r>
        <w:rPr>
          <w:rFonts w:eastAsiaTheme="majorEastAsia"/>
          <w:bCs/>
          <w:kern w:val="0"/>
          <w:sz w:val="24"/>
        </w:rPr>
        <w:t>月</w:t>
      </w:r>
      <w:r>
        <w:rPr>
          <w:rFonts w:hint="eastAsia" w:eastAsiaTheme="majorEastAsia"/>
          <w:bCs/>
          <w:kern w:val="0"/>
          <w:sz w:val="24"/>
        </w:rPr>
        <w:t>10</w:t>
      </w:r>
      <w:r>
        <w:rPr>
          <w:rFonts w:eastAsiaTheme="majorEastAsia"/>
          <w:bCs/>
          <w:kern w:val="0"/>
          <w:sz w:val="24"/>
        </w:rPr>
        <w:t>日，各闸站每次清理维护时间需控制在5天内，具体实施时间由采购人安排。</w:t>
      </w:r>
    </w:p>
    <w:p w14:paraId="24394883">
      <w:pPr>
        <w:snapToGrid w:val="0"/>
        <w:spacing w:line="360" w:lineRule="auto"/>
        <w:ind w:firstLine="480" w:firstLineChars="200"/>
        <w:outlineLvl w:val="1"/>
        <w:rPr>
          <w:b/>
          <w:sz w:val="24"/>
        </w:rPr>
      </w:pPr>
      <w:r>
        <w:rPr>
          <w:b/>
          <w:sz w:val="24"/>
        </w:rPr>
        <w:t>五、注意事项</w:t>
      </w:r>
    </w:p>
    <w:p w14:paraId="3AA0407C">
      <w:pPr>
        <w:snapToGrid w:val="0"/>
        <w:spacing w:line="360" w:lineRule="auto"/>
        <w:ind w:firstLine="480" w:firstLineChars="200"/>
        <w:outlineLvl w:val="1"/>
        <w:rPr>
          <w:b/>
          <w:sz w:val="24"/>
        </w:rPr>
      </w:pPr>
      <w:r>
        <w:rPr>
          <w:rFonts w:eastAsiaTheme="majorEastAsia"/>
          <w:sz w:val="24"/>
        </w:rPr>
        <w:t>采购人向中标人交代实施的有关内容和注意事项，清理过程中必须确保不损坏拦污栅，因中标人现场实施导致拦污栅或其他设备有损坏的，由中标人承担其维修或更换费用，并承担连带损失；因运行而破损的拦污栅网片应及时向采购人汇报，如需更换费用另计。中标人应提供清理维护前后及过程图片。中标人安排有经验的技术人员参加实施，在实施项目的过程中应严格遵守安全操作规范和维保要求，安全使用移动起吊设备，注意人身安全，在实施期间发生任何安全问题由中标人自行负责，采购人不承担任何责任。</w:t>
      </w:r>
    </w:p>
    <w:p w14:paraId="3206685D">
      <w:pPr>
        <w:snapToGrid w:val="0"/>
        <w:spacing w:line="360" w:lineRule="auto"/>
        <w:ind w:firstLine="480" w:firstLineChars="200"/>
        <w:outlineLvl w:val="1"/>
        <w:rPr>
          <w:b/>
          <w:sz w:val="24"/>
        </w:rPr>
      </w:pPr>
      <w:r>
        <w:rPr>
          <w:b/>
          <w:sz w:val="24"/>
        </w:rPr>
        <w:t>六、标准及要求</w:t>
      </w:r>
    </w:p>
    <w:p w14:paraId="1660B8CF">
      <w:pPr>
        <w:snapToGrid w:val="0"/>
        <w:spacing w:line="360" w:lineRule="auto"/>
        <w:ind w:firstLine="480" w:firstLineChars="200"/>
        <w:outlineLvl w:val="1"/>
        <w:rPr>
          <w:rFonts w:eastAsiaTheme="majorEastAsia"/>
          <w:sz w:val="24"/>
        </w:rPr>
      </w:pPr>
      <w:r>
        <w:rPr>
          <w:rFonts w:eastAsiaTheme="majorEastAsia"/>
          <w:sz w:val="24"/>
        </w:rPr>
        <w:t>中标人对各闸站拦污栅进行清理维护时必须将附着的淤泥、水生物、漂浮物及垃圾等清理干净。清理出的垃圾必须外运，严禁入河，对变形的拦污栅必须进行整修。各闸站每片拦污栅清理维护完成后必须经采购人现场检查确认后方可吊装就位。</w:t>
      </w:r>
    </w:p>
    <w:p w14:paraId="6835015E">
      <w:pPr>
        <w:snapToGrid w:val="0"/>
        <w:spacing w:line="360" w:lineRule="auto"/>
        <w:ind w:firstLine="480" w:firstLineChars="200"/>
        <w:outlineLvl w:val="1"/>
        <w:rPr>
          <w:b/>
          <w:sz w:val="24"/>
        </w:rPr>
      </w:pPr>
      <w:r>
        <w:rPr>
          <w:b/>
          <w:sz w:val="24"/>
        </w:rPr>
        <w:t>七、支付方式</w:t>
      </w:r>
    </w:p>
    <w:p w14:paraId="1473B8F4">
      <w:pPr>
        <w:snapToGrid w:val="0"/>
        <w:spacing w:line="360" w:lineRule="auto"/>
        <w:ind w:firstLine="480" w:firstLineChars="200"/>
        <w:outlineLvl w:val="1"/>
        <w:rPr>
          <w:rFonts w:eastAsiaTheme="majorEastAsia"/>
          <w:sz w:val="24"/>
        </w:rPr>
      </w:pPr>
      <w:r>
        <w:rPr>
          <w:sz w:val="24"/>
        </w:rPr>
        <w:t>合同签订后，拦污栅清理维护完成工程量的60%时，付至合同价的50%；清理维护全部完成，经采购人验收认可后，一次性付清余款</w:t>
      </w:r>
      <w:r>
        <w:rPr>
          <w:rFonts w:eastAsiaTheme="majorEastAsia"/>
          <w:sz w:val="24"/>
        </w:rPr>
        <w:t>。</w:t>
      </w: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1"/>
      <w:bookmarkStart w:id="15" w:name="OLE_LINK65"/>
      <w:r>
        <w:rPr>
          <w:b/>
          <w:sz w:val="24"/>
        </w:rPr>
        <w:t>一、采购人组织开标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1、采购人主持开标并记录，及时处理投标人代表提出的询问或者回避申请。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2、采购人负责组织评标工作，并履行下列职责：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27C720A9">
      <w:pPr>
        <w:snapToGrid w:val="0"/>
        <w:spacing w:line="360" w:lineRule="auto"/>
        <w:ind w:firstLine="484" w:firstLineChars="202"/>
        <w:rPr>
          <w:b/>
          <w:bCs/>
          <w:sz w:val="24"/>
        </w:rPr>
      </w:pPr>
    </w:p>
    <w:p w14:paraId="45B40BB1">
      <w:pPr>
        <w:snapToGrid w:val="0"/>
        <w:spacing w:line="360" w:lineRule="auto"/>
        <w:ind w:firstLine="484" w:firstLineChars="202"/>
        <w:rPr>
          <w:b/>
          <w:bCs/>
          <w:sz w:val="24"/>
        </w:rPr>
      </w:pPr>
    </w:p>
    <w:p w14:paraId="00457612">
      <w:pPr>
        <w:snapToGrid w:val="0"/>
        <w:spacing w:line="360" w:lineRule="auto"/>
        <w:ind w:firstLine="484" w:firstLineChars="202"/>
        <w:rPr>
          <w:b/>
          <w:bCs/>
          <w:sz w:val="24"/>
        </w:rPr>
      </w:pPr>
    </w:p>
    <w:p w14:paraId="6BF63C38">
      <w:pPr>
        <w:snapToGrid w:val="0"/>
        <w:spacing w:line="360" w:lineRule="auto"/>
        <w:ind w:firstLine="484" w:firstLineChars="202"/>
        <w:rPr>
          <w:b/>
          <w:bCs/>
          <w:sz w:val="24"/>
        </w:rPr>
      </w:pPr>
    </w:p>
    <w:p w14:paraId="10D471D5">
      <w:pPr>
        <w:pStyle w:val="2"/>
      </w:pPr>
    </w:p>
    <w:p w14:paraId="49A782BB">
      <w:pPr>
        <w:snapToGrid w:val="0"/>
        <w:spacing w:line="360" w:lineRule="auto"/>
        <w:ind w:firstLine="484" w:firstLineChars="202"/>
        <w:rPr>
          <w:b/>
          <w:bCs/>
          <w:sz w:val="24"/>
        </w:rPr>
      </w:pPr>
    </w:p>
    <w:p w14:paraId="4411BB3E">
      <w:pPr>
        <w:pStyle w:val="2"/>
      </w:pPr>
      <w:bookmarkStart w:id="34" w:name="_GoBack"/>
      <w:bookmarkEnd w:id="34"/>
    </w:p>
    <w:p w14:paraId="7510912F">
      <w:pPr>
        <w:snapToGrid w:val="0"/>
        <w:spacing w:line="360" w:lineRule="auto"/>
        <w:ind w:firstLine="484" w:firstLineChars="202"/>
        <w:rPr>
          <w:b/>
          <w:bCs/>
          <w:sz w:val="24"/>
        </w:rPr>
      </w:pPr>
    </w:p>
    <w:p w14:paraId="5303CF20">
      <w:pPr>
        <w:snapToGrid w:val="0"/>
        <w:spacing w:line="360" w:lineRule="auto"/>
        <w:ind w:firstLine="484" w:firstLineChars="202"/>
        <w:rPr>
          <w:b/>
          <w:bCs/>
          <w:sz w:val="24"/>
        </w:rPr>
      </w:pPr>
    </w:p>
    <w:p w14:paraId="47DFFED6">
      <w:pPr>
        <w:snapToGrid w:val="0"/>
        <w:spacing w:line="360" w:lineRule="auto"/>
        <w:ind w:firstLine="484" w:firstLineChars="202"/>
        <w:rPr>
          <w:b/>
          <w:bCs/>
          <w:sz w:val="24"/>
        </w:rPr>
      </w:pPr>
      <w:r>
        <w:rPr>
          <w:b/>
          <w:bCs/>
          <w:sz w:val="24"/>
        </w:rPr>
        <w:t>（一）技术标（70分）</w:t>
      </w:r>
    </w:p>
    <w:bookmarkEnd w:id="14"/>
    <w:bookmarkEnd w:id="15"/>
    <w:tbl>
      <w:tblPr>
        <w:tblStyle w:val="62"/>
        <w:tblW w:w="8974" w:type="dxa"/>
        <w:tblInd w:w="93" w:type="dxa"/>
        <w:tblLayout w:type="autofit"/>
        <w:tblCellMar>
          <w:top w:w="0" w:type="dxa"/>
          <w:left w:w="108" w:type="dxa"/>
          <w:bottom w:w="0" w:type="dxa"/>
          <w:right w:w="108" w:type="dxa"/>
        </w:tblCellMar>
      </w:tblPr>
      <w:tblGrid>
        <w:gridCol w:w="760"/>
        <w:gridCol w:w="1540"/>
        <w:gridCol w:w="860"/>
        <w:gridCol w:w="5814"/>
      </w:tblGrid>
      <w:tr w14:paraId="5EF54011">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7211">
            <w:pPr>
              <w:jc w:val="center"/>
              <w:rPr>
                <w:rFonts w:eastAsiaTheme="minorEastAsia"/>
                <w:kern w:val="0"/>
                <w:sz w:val="24"/>
              </w:rPr>
            </w:pPr>
            <w:bookmarkStart w:id="16" w:name="RANGE!A1:D12"/>
            <w:r>
              <w:rPr>
                <w:rFonts w:eastAsiaTheme="minorEastAsia"/>
                <w:kern w:val="0"/>
                <w:sz w:val="24"/>
              </w:rPr>
              <w:t xml:space="preserve">序号 </w:t>
            </w:r>
            <w:bookmarkEnd w:id="16"/>
          </w:p>
        </w:tc>
        <w:tc>
          <w:tcPr>
            <w:tcW w:w="1540" w:type="dxa"/>
            <w:tcBorders>
              <w:top w:val="single" w:color="000000" w:sz="4" w:space="0"/>
              <w:left w:val="nil"/>
              <w:bottom w:val="single" w:color="000000" w:sz="4" w:space="0"/>
              <w:right w:val="single" w:color="000000" w:sz="4" w:space="0"/>
            </w:tcBorders>
            <w:shd w:val="clear" w:color="auto" w:fill="auto"/>
            <w:vAlign w:val="center"/>
          </w:tcPr>
          <w:p w14:paraId="35DE302E">
            <w:pPr>
              <w:jc w:val="center"/>
              <w:rPr>
                <w:rFonts w:eastAsiaTheme="minorEastAsia"/>
                <w:kern w:val="0"/>
                <w:sz w:val="24"/>
              </w:rPr>
            </w:pPr>
            <w:r>
              <w:rPr>
                <w:rFonts w:eastAsiaTheme="minorEastAsia"/>
                <w:kern w:val="0"/>
                <w:sz w:val="24"/>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76F23D55">
            <w:pPr>
              <w:jc w:val="center"/>
              <w:rPr>
                <w:rFonts w:eastAsiaTheme="minorEastAsia"/>
                <w:kern w:val="0"/>
                <w:sz w:val="24"/>
              </w:rPr>
            </w:pPr>
            <w:r>
              <w:rPr>
                <w:rFonts w:eastAsiaTheme="minorEastAsia"/>
                <w:kern w:val="0"/>
                <w:sz w:val="24"/>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2432EFDD">
            <w:pPr>
              <w:spacing w:line="320" w:lineRule="exact"/>
              <w:jc w:val="center"/>
              <w:rPr>
                <w:rFonts w:eastAsiaTheme="minorEastAsia"/>
                <w:kern w:val="0"/>
                <w:sz w:val="24"/>
              </w:rPr>
            </w:pPr>
            <w:r>
              <w:rPr>
                <w:rFonts w:eastAsiaTheme="minorEastAsia"/>
                <w:kern w:val="0"/>
                <w:sz w:val="24"/>
              </w:rPr>
              <w:t>评审标准</w:t>
            </w:r>
          </w:p>
        </w:tc>
      </w:tr>
      <w:tr w14:paraId="69A83D33">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270">
            <w:pPr>
              <w:jc w:val="center"/>
              <w:rPr>
                <w:rFonts w:eastAsiaTheme="minorEastAsia"/>
                <w:kern w:val="0"/>
                <w:sz w:val="24"/>
              </w:rPr>
            </w:pPr>
            <w:r>
              <w:rPr>
                <w:rFonts w:eastAsiaTheme="minorEastAsia"/>
                <w:kern w:val="0"/>
                <w:sz w:val="24"/>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08436D95">
            <w:pPr>
              <w:spacing w:line="320" w:lineRule="exact"/>
              <w:jc w:val="center"/>
              <w:rPr>
                <w:rFonts w:eastAsiaTheme="minorEastAsia"/>
                <w:kern w:val="0"/>
                <w:sz w:val="24"/>
              </w:rPr>
            </w:pPr>
            <w:r>
              <w:rPr>
                <w:rFonts w:eastAsiaTheme="minorEastAsia"/>
                <w:kern w:val="0"/>
                <w:sz w:val="24"/>
              </w:rPr>
              <w:t>技术能力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6C75A938">
            <w:pPr>
              <w:jc w:val="center"/>
              <w:rPr>
                <w:rFonts w:eastAsiaTheme="minorEastAsia"/>
                <w:kern w:val="0"/>
                <w:sz w:val="24"/>
              </w:rPr>
            </w:pPr>
            <w:r>
              <w:rPr>
                <w:rFonts w:eastAsiaTheme="minorEastAsia"/>
                <w:kern w:val="0"/>
                <w:sz w:val="24"/>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4A428277">
            <w:pPr>
              <w:spacing w:line="320" w:lineRule="exact"/>
              <w:ind w:firstLine="480" w:firstLineChars="200"/>
              <w:jc w:val="left"/>
              <w:rPr>
                <w:kern w:val="0"/>
                <w:sz w:val="24"/>
              </w:rPr>
            </w:pPr>
            <w:r>
              <w:rPr>
                <w:kern w:val="0"/>
                <w:sz w:val="24"/>
              </w:rPr>
              <w:t>投标人经营范围包含建筑安装工程施工，得10分。</w:t>
            </w:r>
          </w:p>
          <w:p w14:paraId="0EE4546E">
            <w:pPr>
              <w:spacing w:line="320" w:lineRule="exact"/>
              <w:ind w:firstLine="480" w:firstLineChars="200"/>
              <w:jc w:val="left"/>
              <w:rPr>
                <w:kern w:val="0"/>
                <w:sz w:val="24"/>
              </w:rPr>
            </w:pPr>
            <w:r>
              <w:rPr>
                <w:kern w:val="0"/>
                <w:sz w:val="24"/>
              </w:rPr>
              <w:t>注：提供经营范围证明材料复印件，并加盖公章。</w:t>
            </w:r>
          </w:p>
        </w:tc>
      </w:tr>
      <w:tr w14:paraId="69BC2AF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8E7">
            <w:pPr>
              <w:jc w:val="center"/>
              <w:rPr>
                <w:rFonts w:eastAsiaTheme="minorEastAsia"/>
                <w:kern w:val="0"/>
                <w:sz w:val="24"/>
              </w:rPr>
            </w:pPr>
            <w:r>
              <w:rPr>
                <w:rFonts w:eastAsiaTheme="minorEastAsia"/>
                <w:kern w:val="0"/>
                <w:sz w:val="24"/>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144A5DB5">
            <w:pPr>
              <w:jc w:val="center"/>
              <w:rPr>
                <w:rFonts w:eastAsiaTheme="minorEastAsia"/>
                <w:kern w:val="0"/>
                <w:sz w:val="24"/>
              </w:rPr>
            </w:pPr>
            <w:r>
              <w:rPr>
                <w:rFonts w:eastAsiaTheme="minorEastAsia"/>
                <w:kern w:val="0"/>
                <w:sz w:val="24"/>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3E49574E">
            <w:pPr>
              <w:jc w:val="center"/>
              <w:rPr>
                <w:rFonts w:eastAsiaTheme="minorEastAsia"/>
                <w:kern w:val="0"/>
                <w:sz w:val="24"/>
              </w:rPr>
            </w:pPr>
            <w:r>
              <w:rPr>
                <w:rFonts w:eastAsiaTheme="minorEastAsia"/>
                <w:kern w:val="0"/>
                <w:sz w:val="24"/>
              </w:rPr>
              <w:t>15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A02C2C1">
            <w:pPr>
              <w:spacing w:line="320" w:lineRule="exact"/>
              <w:ind w:firstLine="480" w:firstLineChars="200"/>
              <w:jc w:val="left"/>
              <w:rPr>
                <w:rFonts w:eastAsiaTheme="minorEastAsia"/>
                <w:kern w:val="0"/>
                <w:sz w:val="24"/>
              </w:rPr>
            </w:pPr>
            <w:r>
              <w:rPr>
                <w:kern w:val="0"/>
                <w:sz w:val="24"/>
              </w:rPr>
              <w:t>投标人</w:t>
            </w:r>
            <w:r>
              <w:rPr>
                <w:rFonts w:eastAsiaTheme="minorEastAsia"/>
                <w:kern w:val="0"/>
                <w:sz w:val="24"/>
              </w:rPr>
              <w:t>202</w:t>
            </w:r>
            <w:r>
              <w:rPr>
                <w:rFonts w:hint="eastAsia" w:eastAsiaTheme="minorEastAsia"/>
                <w:kern w:val="0"/>
                <w:sz w:val="24"/>
              </w:rPr>
              <w:t>2</w:t>
            </w:r>
            <w:r>
              <w:rPr>
                <w:rFonts w:eastAsiaTheme="minorEastAsia"/>
                <w:kern w:val="0"/>
                <w:sz w:val="24"/>
              </w:rPr>
              <w:t>年3月1日</w:t>
            </w:r>
            <w:r>
              <w:rPr>
                <w:kern w:val="0"/>
                <w:sz w:val="24"/>
              </w:rPr>
              <w:t>（以合同签订时间为准）以来</w:t>
            </w:r>
            <w:r>
              <w:rPr>
                <w:rFonts w:hint="eastAsia"/>
                <w:kern w:val="0"/>
                <w:sz w:val="24"/>
              </w:rPr>
              <w:t>，</w:t>
            </w:r>
            <w:r>
              <w:rPr>
                <w:sz w:val="24"/>
              </w:rPr>
              <w:t>具有闸站拦污栅清理维护业绩</w:t>
            </w:r>
            <w:r>
              <w:rPr>
                <w:kern w:val="0"/>
                <w:sz w:val="24"/>
              </w:rPr>
              <w:t>（以合同为准），有1个得</w:t>
            </w:r>
            <w:r>
              <w:rPr>
                <w:rFonts w:eastAsiaTheme="minorEastAsia"/>
                <w:kern w:val="0"/>
                <w:sz w:val="24"/>
              </w:rPr>
              <w:t>5</w:t>
            </w:r>
            <w:r>
              <w:rPr>
                <w:kern w:val="0"/>
                <w:sz w:val="24"/>
              </w:rPr>
              <w:t>分，本项最多得</w:t>
            </w:r>
            <w:r>
              <w:rPr>
                <w:rFonts w:eastAsiaTheme="minorEastAsia"/>
                <w:kern w:val="0"/>
                <w:sz w:val="24"/>
              </w:rPr>
              <w:t>15</w:t>
            </w:r>
            <w:r>
              <w:rPr>
                <w:kern w:val="0"/>
                <w:sz w:val="24"/>
              </w:rPr>
              <w:t>分。</w:t>
            </w:r>
            <w:r>
              <w:rPr>
                <w:kern w:val="0"/>
                <w:sz w:val="24"/>
              </w:rPr>
              <w:br w:type="textWrapping"/>
            </w:r>
            <w:r>
              <w:rPr>
                <w:kern w:val="0"/>
                <w:sz w:val="24"/>
              </w:rPr>
              <w:t xml:space="preserve">    注：提供合同复印件，并加盖公章。</w:t>
            </w:r>
          </w:p>
        </w:tc>
      </w:tr>
      <w:tr w14:paraId="3121819D">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665C">
            <w:pPr>
              <w:jc w:val="center"/>
              <w:rPr>
                <w:rFonts w:eastAsiaTheme="minorEastAsia"/>
                <w:kern w:val="0"/>
                <w:sz w:val="24"/>
              </w:rPr>
            </w:pPr>
            <w:r>
              <w:rPr>
                <w:rFonts w:eastAsiaTheme="minorEastAsia"/>
                <w:kern w:val="0"/>
                <w:sz w:val="24"/>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7805221D">
            <w:pPr>
              <w:jc w:val="center"/>
              <w:rPr>
                <w:rFonts w:eastAsiaTheme="minorEastAsia"/>
                <w:kern w:val="0"/>
                <w:sz w:val="24"/>
              </w:rPr>
            </w:pPr>
            <w:r>
              <w:rPr>
                <w:rFonts w:eastAsiaTheme="minorEastAsia"/>
                <w:kern w:val="0"/>
                <w:sz w:val="24"/>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3D5BA36A">
            <w:pPr>
              <w:jc w:val="center"/>
              <w:rPr>
                <w:rFonts w:eastAsiaTheme="minorEastAsia"/>
                <w:kern w:val="0"/>
                <w:sz w:val="24"/>
              </w:rPr>
            </w:pPr>
            <w:r>
              <w:rPr>
                <w:rFonts w:eastAsiaTheme="minorEastAsia"/>
                <w:kern w:val="0"/>
                <w:sz w:val="24"/>
              </w:rPr>
              <w:t>45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6F7C1468">
            <w:pPr>
              <w:spacing w:line="320" w:lineRule="exact"/>
              <w:ind w:firstLine="480" w:firstLineChars="200"/>
              <w:jc w:val="left"/>
              <w:rPr>
                <w:kern w:val="0"/>
                <w:sz w:val="24"/>
              </w:rPr>
            </w:pPr>
            <w:r>
              <w:rPr>
                <w:kern w:val="0"/>
                <w:sz w:val="24"/>
              </w:rPr>
              <w:t>针对工程的现状，提供一套切实可行的服务方案，由评委酌情打分。</w:t>
            </w:r>
          </w:p>
          <w:p w14:paraId="744A9EF9">
            <w:pPr>
              <w:spacing w:line="320" w:lineRule="exact"/>
              <w:ind w:firstLine="480" w:firstLineChars="200"/>
              <w:jc w:val="left"/>
              <w:rPr>
                <w:b/>
                <w:bCs/>
                <w:kern w:val="0"/>
                <w:sz w:val="24"/>
              </w:rPr>
            </w:pPr>
            <w:r>
              <w:rPr>
                <w:b/>
                <w:bCs/>
                <w:kern w:val="0"/>
                <w:sz w:val="24"/>
              </w:rPr>
              <w:t>1、整体方案完善、合理、可行（0-15分）。</w:t>
            </w:r>
          </w:p>
          <w:p w14:paraId="64BB93D0">
            <w:pPr>
              <w:spacing w:line="320" w:lineRule="exact"/>
              <w:ind w:firstLine="480" w:firstLineChars="200"/>
              <w:jc w:val="left"/>
              <w:rPr>
                <w:kern w:val="0"/>
                <w:sz w:val="24"/>
              </w:rPr>
            </w:pPr>
            <w:r>
              <w:rPr>
                <w:kern w:val="0"/>
                <w:sz w:val="24"/>
              </w:rPr>
              <w:t>方案内容全面，贴切、详实、无缺失、可行性及针对性强，完全满足项目要求得15分；方案内容基本无缺失、方案合理、具备基本可操作性及针对性，满足项目要求得</w:t>
            </w:r>
            <w:r>
              <w:rPr>
                <w:rFonts w:hint="eastAsia"/>
                <w:kern w:val="0"/>
                <w:sz w:val="24"/>
              </w:rPr>
              <w:t>12</w:t>
            </w:r>
            <w:r>
              <w:rPr>
                <w:kern w:val="0"/>
                <w:sz w:val="24"/>
              </w:rPr>
              <w:t>分；方案内容空泛，操作性及针对性欠缺，基本满足项目要求得</w:t>
            </w:r>
            <w:r>
              <w:rPr>
                <w:rFonts w:hint="eastAsia"/>
                <w:kern w:val="0"/>
                <w:sz w:val="24"/>
              </w:rPr>
              <w:t>8</w:t>
            </w:r>
            <w:r>
              <w:rPr>
                <w:kern w:val="0"/>
                <w:sz w:val="24"/>
              </w:rPr>
              <w:t>分</w:t>
            </w:r>
            <w:r>
              <w:rPr>
                <w:rFonts w:hint="eastAsia"/>
                <w:kern w:val="0"/>
                <w:sz w:val="24"/>
              </w:rPr>
              <w:t>；</w:t>
            </w:r>
            <w:r>
              <w:rPr>
                <w:kern w:val="0"/>
                <w:sz w:val="24"/>
              </w:rPr>
              <w:t>未提供不得分。</w:t>
            </w:r>
          </w:p>
          <w:p w14:paraId="547C121D">
            <w:pPr>
              <w:spacing w:line="320" w:lineRule="exact"/>
              <w:ind w:firstLine="480" w:firstLineChars="200"/>
              <w:jc w:val="left"/>
              <w:rPr>
                <w:b/>
                <w:bCs/>
                <w:kern w:val="0"/>
                <w:sz w:val="24"/>
              </w:rPr>
            </w:pPr>
            <w:r>
              <w:rPr>
                <w:b/>
                <w:bCs/>
                <w:kern w:val="0"/>
                <w:sz w:val="24"/>
              </w:rPr>
              <w:t>2、进度计划周密、合理，工期保证措施明确、可行，满足招标文件要求（0-8分）。</w:t>
            </w:r>
          </w:p>
          <w:p w14:paraId="03822179">
            <w:pPr>
              <w:spacing w:line="320" w:lineRule="exact"/>
              <w:ind w:firstLine="480" w:firstLineChars="200"/>
              <w:jc w:val="left"/>
              <w:rPr>
                <w:kern w:val="0"/>
                <w:sz w:val="24"/>
              </w:rPr>
            </w:pPr>
            <w:r>
              <w:rPr>
                <w:kern w:val="0"/>
                <w:sz w:val="24"/>
              </w:rPr>
              <w:t xml:space="preserve">内容全面科学、措施得当，具有针对性得8分；内容较全面、措施较合理，具有一定的针对性得5分；内容粗略或针对性有所欠缺得3分；未提供不得分。    </w:t>
            </w:r>
          </w:p>
          <w:p w14:paraId="588C1618">
            <w:pPr>
              <w:spacing w:line="320" w:lineRule="exact"/>
              <w:ind w:firstLine="480" w:firstLineChars="200"/>
              <w:jc w:val="left"/>
              <w:rPr>
                <w:b/>
                <w:bCs/>
                <w:kern w:val="0"/>
                <w:sz w:val="24"/>
              </w:rPr>
            </w:pPr>
            <w:r>
              <w:rPr>
                <w:b/>
                <w:bCs/>
                <w:kern w:val="0"/>
                <w:sz w:val="24"/>
              </w:rPr>
              <w:t>3、质量目标明确、把控到位，满足招标文件要求（0-8分）。</w:t>
            </w:r>
          </w:p>
          <w:p w14:paraId="0E7DB2BA">
            <w:pPr>
              <w:spacing w:line="320" w:lineRule="exact"/>
              <w:ind w:firstLine="480" w:firstLineChars="200"/>
              <w:jc w:val="left"/>
              <w:rPr>
                <w:kern w:val="0"/>
                <w:sz w:val="24"/>
              </w:rPr>
            </w:pPr>
            <w:r>
              <w:rPr>
                <w:kern w:val="0"/>
                <w:sz w:val="24"/>
              </w:rPr>
              <w:t>内容全面科学、措施得当，具有针对性得8分；内容较全面、措施较合理，具有一定的针对性得5分；内容粗略或针对性有所欠缺得3分；未提供不得分。</w:t>
            </w:r>
          </w:p>
          <w:p w14:paraId="789CCB3E">
            <w:pPr>
              <w:spacing w:line="320" w:lineRule="exact"/>
              <w:ind w:firstLine="480" w:firstLineChars="200"/>
              <w:jc w:val="left"/>
              <w:rPr>
                <w:b/>
                <w:bCs/>
                <w:kern w:val="0"/>
                <w:sz w:val="24"/>
              </w:rPr>
            </w:pPr>
            <w:r>
              <w:rPr>
                <w:b/>
                <w:bCs/>
                <w:kern w:val="0"/>
                <w:sz w:val="24"/>
              </w:rPr>
              <w:t>4、安全生产（资金、人员、设备等）投入到位，安全管理体系健全，应急事件处理及保证措施齐全，满足招标文件要求（0-8分）。</w:t>
            </w:r>
          </w:p>
          <w:p w14:paraId="1EF86929">
            <w:pPr>
              <w:spacing w:line="320" w:lineRule="exact"/>
              <w:ind w:firstLine="480" w:firstLineChars="200"/>
              <w:jc w:val="left"/>
              <w:rPr>
                <w:kern w:val="0"/>
                <w:sz w:val="24"/>
              </w:rPr>
            </w:pPr>
            <w:r>
              <w:rPr>
                <w:kern w:val="0"/>
                <w:sz w:val="24"/>
              </w:rPr>
              <w:t>安全生产（资金、人员、设备等）投入到位，安全管理体系健全，应急事件处理及保证措施齐全得8分；安全生产（资金、人员、设备等）投入一般，安全管理体系较健全，应急事件处理及保证措施较合理得5分；安全生产投入欠缺及安全生产管理体系欠缺，应急事件处理及保证措施可行性及针对性有欠缺得3分；未提供不得分。</w:t>
            </w:r>
          </w:p>
          <w:p w14:paraId="74F30976">
            <w:pPr>
              <w:spacing w:line="320" w:lineRule="exact"/>
              <w:ind w:firstLine="480" w:firstLineChars="200"/>
              <w:jc w:val="left"/>
              <w:rPr>
                <w:b/>
                <w:bCs/>
                <w:kern w:val="0"/>
                <w:sz w:val="24"/>
              </w:rPr>
            </w:pPr>
            <w:r>
              <w:rPr>
                <w:b/>
                <w:bCs/>
                <w:kern w:val="0"/>
                <w:sz w:val="24"/>
              </w:rPr>
              <w:t>5、服务响应承诺，响应时间及时、迅速，严格遵循采购人计划安排（0-6分）。</w:t>
            </w:r>
          </w:p>
          <w:p w14:paraId="2AFB9965">
            <w:pPr>
              <w:spacing w:line="320" w:lineRule="exact"/>
              <w:ind w:firstLine="480" w:firstLineChars="200"/>
              <w:jc w:val="left"/>
            </w:pPr>
            <w:r>
              <w:rPr>
                <w:kern w:val="0"/>
                <w:sz w:val="24"/>
              </w:rPr>
              <w:t>表述充分周到且完善的得6分；表述简单粗疏且完整度有待提高的得4分；表述简略粗放且完整度不高的得2分；未提供不得分。</w:t>
            </w:r>
          </w:p>
        </w:tc>
      </w:tr>
    </w:tbl>
    <w:p w14:paraId="29FC89C1">
      <w:pPr>
        <w:tabs>
          <w:tab w:val="left" w:pos="5442"/>
        </w:tabs>
        <w:snapToGrid w:val="0"/>
        <w:spacing w:line="360" w:lineRule="auto"/>
        <w:ind w:firstLine="470" w:firstLineChars="196"/>
        <w:outlineLvl w:val="1"/>
        <w:rPr>
          <w:b/>
          <w:bCs/>
          <w:sz w:val="24"/>
        </w:rPr>
      </w:pPr>
    </w:p>
    <w:p w14:paraId="6A717B10">
      <w:pPr>
        <w:tabs>
          <w:tab w:val="left" w:pos="5442"/>
        </w:tabs>
        <w:snapToGrid w:val="0"/>
        <w:spacing w:line="360" w:lineRule="auto"/>
        <w:ind w:firstLine="470" w:firstLineChars="196"/>
        <w:outlineLvl w:val="1"/>
        <w:rPr>
          <w:b/>
          <w:sz w:val="24"/>
        </w:rPr>
      </w:pPr>
      <w:r>
        <w:rPr>
          <w:b/>
          <w:bCs/>
          <w:sz w:val="24"/>
        </w:rPr>
        <w:t>（二）商务标评分（30分）：</w:t>
      </w:r>
      <w:r>
        <w:rPr>
          <w:b/>
          <w:sz w:val="24"/>
        </w:rPr>
        <w:tab/>
      </w:r>
    </w:p>
    <w:p w14:paraId="2FC755FF">
      <w:pPr>
        <w:snapToGrid w:val="0"/>
        <w:spacing w:line="360" w:lineRule="auto"/>
        <w:ind w:firstLine="480" w:firstLineChars="200"/>
        <w:rPr>
          <w:sz w:val="24"/>
        </w:rPr>
      </w:pPr>
      <w:r>
        <w:rPr>
          <w:sz w:val="24"/>
        </w:rPr>
        <w:t>1、本次项目最高限价为人民币</w:t>
      </w:r>
      <w:r>
        <w:rPr>
          <w:b/>
          <w:sz w:val="24"/>
        </w:rPr>
        <w:t>7.82万元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17" w:name="_Hlk81473737"/>
      <w:r>
        <w:rPr>
          <w:sz w:val="24"/>
        </w:rPr>
        <w:t>3、投标人的资格证明文件不符合本采购文件要求的；</w:t>
      </w:r>
    </w:p>
    <w:bookmarkEnd w:id="17"/>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18" w:name="_Hlk81473764"/>
      <w:r>
        <w:rPr>
          <w:sz w:val="24"/>
        </w:rPr>
        <w:t>6、投标人有欺诈行为或隐瞒自身违规问题的，提供虚假、伪造、变造、过期资料的；</w:t>
      </w:r>
    </w:p>
    <w:bookmarkEnd w:id="18"/>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19" w:name="_Hlk81473907"/>
      <w:r>
        <w:rPr>
          <w:sz w:val="24"/>
        </w:rPr>
        <w:t>4、经评标委员会</w:t>
      </w:r>
      <w:bookmarkStart w:id="20" w:name="_Hlk81472270"/>
      <w:r>
        <w:rPr>
          <w:sz w:val="24"/>
        </w:rPr>
        <w:t>资格符合性评审</w:t>
      </w:r>
      <w:bookmarkEnd w:id="20"/>
      <w:r>
        <w:rPr>
          <w:sz w:val="24"/>
        </w:rPr>
        <w:t>后，通过资格符合性评审的投标人不足三家的；</w:t>
      </w:r>
    </w:p>
    <w:bookmarkEnd w:id="19"/>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1250C1B6">
      <w:pPr>
        <w:topLinePunct/>
        <w:snapToGrid w:val="0"/>
        <w:spacing w:line="360" w:lineRule="auto"/>
        <w:jc w:val="center"/>
      </w:pPr>
      <w:r>
        <w:br w:type="page"/>
      </w:r>
      <w:bookmarkStart w:id="21" w:name="_Toc144974577"/>
      <w:bookmarkStart w:id="22" w:name="_Toc152042387"/>
      <w:bookmarkStart w:id="23" w:name="_Toc179632627"/>
      <w:bookmarkStart w:id="24" w:name="_Toc318874023"/>
      <w:bookmarkStart w:id="25" w:name="_Toc152045609"/>
      <w:r>
        <w:rPr>
          <w:rStyle w:val="124"/>
          <w:rFonts w:hint="default" w:ascii="Times New Roman" w:hAnsi="Times New Roman"/>
          <w:sz w:val="28"/>
        </w:rPr>
        <w:t>第五章 合同条款及格式</w:t>
      </w:r>
      <w:bookmarkEnd w:id="21"/>
      <w:bookmarkEnd w:id="22"/>
      <w:bookmarkEnd w:id="23"/>
      <w:bookmarkEnd w:id="24"/>
      <w:bookmarkEnd w:id="25"/>
    </w:p>
    <w:p w14:paraId="062B64EF">
      <w:pPr>
        <w:snapToGrid w:val="0"/>
        <w:spacing w:line="360" w:lineRule="auto"/>
        <w:jc w:val="center"/>
        <w:rPr>
          <w:b/>
          <w:bCs/>
          <w:sz w:val="30"/>
          <w:szCs w:val="30"/>
        </w:rPr>
      </w:pPr>
      <w:r>
        <w:rPr>
          <w:b/>
          <w:bCs/>
          <w:sz w:val="30"/>
          <w:szCs w:val="30"/>
        </w:rPr>
        <w:t>2025年拦污栅清理维护项目合同</w:t>
      </w:r>
    </w:p>
    <w:p w14:paraId="6878CCCE">
      <w:pPr>
        <w:snapToGrid w:val="0"/>
        <w:spacing w:line="360" w:lineRule="auto"/>
        <w:ind w:firstLine="564" w:firstLineChars="235"/>
        <w:rPr>
          <w:sz w:val="24"/>
        </w:rPr>
      </w:pPr>
      <w:r>
        <w:rPr>
          <w:sz w:val="24"/>
        </w:rPr>
        <w:t>南通市市区涵闸管理中心                           以下简称（甲方）</w:t>
      </w:r>
    </w:p>
    <w:p w14:paraId="2A2A08EF">
      <w:pPr>
        <w:snapToGrid w:val="0"/>
        <w:spacing w:line="360" w:lineRule="auto"/>
        <w:ind w:firstLine="564" w:firstLineChars="235"/>
        <w:rPr>
          <w:sz w:val="24"/>
        </w:rPr>
      </w:pPr>
      <w:r>
        <w:rPr>
          <w:sz w:val="24"/>
        </w:rPr>
        <w:t xml:space="preserve">                                                 以下简称（乙方）</w:t>
      </w:r>
    </w:p>
    <w:p w14:paraId="4F0C6A10">
      <w:pPr>
        <w:snapToGrid w:val="0"/>
        <w:spacing w:line="360" w:lineRule="auto"/>
        <w:ind w:firstLine="564" w:firstLineChars="235"/>
        <w:rPr>
          <w:sz w:val="24"/>
        </w:rPr>
      </w:pPr>
      <w:r>
        <w:rPr>
          <w:sz w:val="24"/>
        </w:rPr>
        <w:t xml:space="preserve">依照《中华人民共和国民法典》及其他有关法律、行政法规，遵循平等、自愿、公平和诚实信用的原则，双方就本项目相关事项协商一致，订立本合同。 </w:t>
      </w:r>
    </w:p>
    <w:p w14:paraId="10725B35">
      <w:pPr>
        <w:snapToGrid w:val="0"/>
        <w:spacing w:line="360" w:lineRule="auto"/>
        <w:ind w:firstLine="564" w:firstLineChars="235"/>
        <w:rPr>
          <w:b/>
          <w:bCs/>
          <w:sz w:val="24"/>
        </w:rPr>
      </w:pPr>
      <w:r>
        <w:rPr>
          <w:b/>
          <w:bCs/>
          <w:sz w:val="24"/>
        </w:rPr>
        <w:t xml:space="preserve"> 一、项目概况</w:t>
      </w:r>
    </w:p>
    <w:p w14:paraId="05CD8656">
      <w:pPr>
        <w:snapToGrid w:val="0"/>
        <w:spacing w:line="360" w:lineRule="auto"/>
        <w:ind w:firstLine="564" w:firstLineChars="235"/>
        <w:rPr>
          <w:sz w:val="24"/>
        </w:rPr>
      </w:pPr>
      <w:r>
        <w:rPr>
          <w:sz w:val="24"/>
        </w:rPr>
        <w:t>1、项目名称：2025年拦污栅清理维护项目</w:t>
      </w:r>
    </w:p>
    <w:p w14:paraId="5053FDB5">
      <w:pPr>
        <w:snapToGrid w:val="0"/>
        <w:spacing w:line="360" w:lineRule="auto"/>
        <w:ind w:firstLine="564" w:firstLineChars="235"/>
        <w:rPr>
          <w:sz w:val="24"/>
        </w:rPr>
      </w:pPr>
      <w:r>
        <w:rPr>
          <w:sz w:val="24"/>
        </w:rPr>
        <w:t>2、项目地点：任港闸站、幸福河闸站、郭里头闸站、兴石河闸站、运料河北闸站、海港南闸站</w:t>
      </w:r>
    </w:p>
    <w:p w14:paraId="74CE3033">
      <w:pPr>
        <w:snapToGrid w:val="0"/>
        <w:spacing w:line="360" w:lineRule="auto"/>
        <w:ind w:firstLine="564" w:firstLineChars="235"/>
        <w:rPr>
          <w:sz w:val="24"/>
        </w:rPr>
      </w:pPr>
      <w:r>
        <w:rPr>
          <w:sz w:val="24"/>
        </w:rPr>
        <w:t>3、项目内容：</w:t>
      </w:r>
    </w:p>
    <w:p w14:paraId="0C0B1EA7">
      <w:pPr>
        <w:snapToGrid w:val="0"/>
        <w:spacing w:line="360" w:lineRule="auto"/>
        <w:ind w:firstLine="564" w:firstLineChars="235"/>
        <w:rPr>
          <w:sz w:val="24"/>
        </w:rPr>
      </w:pPr>
      <w:r>
        <w:rPr>
          <w:sz w:val="24"/>
        </w:rPr>
        <w:t>（1）任港闸站拦污栅清理维护2次（每6个月1次）；</w:t>
      </w:r>
    </w:p>
    <w:p w14:paraId="1A9C5396">
      <w:pPr>
        <w:snapToGrid w:val="0"/>
        <w:spacing w:line="360" w:lineRule="auto"/>
        <w:ind w:firstLine="564" w:firstLineChars="235"/>
        <w:rPr>
          <w:sz w:val="24"/>
        </w:rPr>
      </w:pPr>
      <w:r>
        <w:rPr>
          <w:sz w:val="24"/>
        </w:rPr>
        <w:t>（2）幸福河闸站拦污栅清理维护3次（每4个月1次）；</w:t>
      </w:r>
    </w:p>
    <w:p w14:paraId="62911BC1">
      <w:pPr>
        <w:snapToGrid w:val="0"/>
        <w:spacing w:line="360" w:lineRule="auto"/>
        <w:ind w:firstLine="564" w:firstLineChars="235"/>
        <w:rPr>
          <w:sz w:val="24"/>
        </w:rPr>
      </w:pPr>
      <w:r>
        <w:rPr>
          <w:sz w:val="24"/>
        </w:rPr>
        <w:t>（3）郭里头闸站拦污栅清理维护6次（每2个月1次）；</w:t>
      </w:r>
    </w:p>
    <w:p w14:paraId="1D449F73">
      <w:pPr>
        <w:snapToGrid w:val="0"/>
        <w:spacing w:line="360" w:lineRule="auto"/>
        <w:ind w:firstLine="564" w:firstLineChars="235"/>
        <w:rPr>
          <w:sz w:val="24"/>
        </w:rPr>
      </w:pPr>
      <w:r>
        <w:rPr>
          <w:sz w:val="24"/>
        </w:rPr>
        <w:t>（4）兴石河闸站拦污栅清理维护1次；</w:t>
      </w:r>
    </w:p>
    <w:p w14:paraId="07450A2E">
      <w:pPr>
        <w:snapToGrid w:val="0"/>
        <w:spacing w:line="360" w:lineRule="auto"/>
        <w:ind w:firstLine="564" w:firstLineChars="235"/>
        <w:rPr>
          <w:sz w:val="24"/>
        </w:rPr>
      </w:pPr>
      <w:r>
        <w:rPr>
          <w:sz w:val="24"/>
        </w:rPr>
        <w:t>（5）运料河北闸站拦污栅清理维护1次；</w:t>
      </w:r>
    </w:p>
    <w:p w14:paraId="52863C7B">
      <w:pPr>
        <w:snapToGrid w:val="0"/>
        <w:spacing w:line="360" w:lineRule="auto"/>
        <w:ind w:firstLine="564" w:firstLineChars="235"/>
        <w:rPr>
          <w:sz w:val="24"/>
        </w:rPr>
      </w:pPr>
      <w:r>
        <w:rPr>
          <w:sz w:val="24"/>
        </w:rPr>
        <w:t>（6）海港南闸站水泵进水池垃圾打捞6次（每2个月1次）；等。</w:t>
      </w:r>
    </w:p>
    <w:p w14:paraId="5E8DFEE2">
      <w:pPr>
        <w:snapToGrid w:val="0"/>
        <w:spacing w:line="360" w:lineRule="auto"/>
        <w:ind w:firstLine="564" w:firstLineChars="235"/>
        <w:rPr>
          <w:b/>
          <w:bCs/>
          <w:sz w:val="24"/>
        </w:rPr>
      </w:pPr>
      <w:r>
        <w:rPr>
          <w:b/>
          <w:bCs/>
          <w:sz w:val="24"/>
        </w:rPr>
        <w:t>二、实施期限</w:t>
      </w:r>
    </w:p>
    <w:p w14:paraId="48C43A6C">
      <w:pPr>
        <w:snapToGrid w:val="0"/>
        <w:spacing w:line="360" w:lineRule="auto"/>
        <w:ind w:firstLine="564" w:firstLineChars="235"/>
        <w:rPr>
          <w:sz w:val="24"/>
        </w:rPr>
      </w:pPr>
      <w:r>
        <w:rPr>
          <w:rFonts w:eastAsiaTheme="majorEastAsia"/>
          <w:sz w:val="24"/>
        </w:rPr>
        <w:t>实施自2025年</w:t>
      </w:r>
      <w:r>
        <w:rPr>
          <w:rFonts w:eastAsiaTheme="majorEastAsia"/>
          <w:sz w:val="24"/>
          <w:u w:val="single"/>
        </w:rPr>
        <w:t xml:space="preserve">   </w:t>
      </w:r>
      <w:r>
        <w:rPr>
          <w:rFonts w:eastAsiaTheme="majorEastAsia"/>
          <w:sz w:val="24"/>
        </w:rPr>
        <w:t>月</w:t>
      </w:r>
      <w:r>
        <w:rPr>
          <w:rFonts w:eastAsiaTheme="majorEastAsia"/>
          <w:sz w:val="24"/>
          <w:u w:val="single"/>
        </w:rPr>
        <w:t xml:space="preserve">   </w:t>
      </w:r>
      <w:r>
        <w:rPr>
          <w:rFonts w:eastAsiaTheme="majorEastAsia"/>
          <w:sz w:val="24"/>
        </w:rPr>
        <w:t>日至2026年</w:t>
      </w:r>
      <w:r>
        <w:rPr>
          <w:rFonts w:eastAsiaTheme="majorEastAsia"/>
          <w:sz w:val="24"/>
          <w:u w:val="single"/>
        </w:rPr>
        <w:t xml:space="preserve">  </w:t>
      </w:r>
      <w:r>
        <w:rPr>
          <w:rFonts w:eastAsiaTheme="majorEastAsia"/>
          <w:sz w:val="24"/>
        </w:rPr>
        <w:t>月</w:t>
      </w:r>
      <w:r>
        <w:rPr>
          <w:rFonts w:eastAsiaTheme="majorEastAsia"/>
          <w:sz w:val="24"/>
          <w:u w:val="single"/>
        </w:rPr>
        <w:t xml:space="preserve">  </w:t>
      </w:r>
      <w:r>
        <w:rPr>
          <w:rFonts w:eastAsiaTheme="majorEastAsia"/>
          <w:sz w:val="24"/>
        </w:rPr>
        <w:t>日，各闸站每次清理维护时间需控制在5天内，具体实施时间由甲方安排</w:t>
      </w:r>
      <w:r>
        <w:rPr>
          <w:sz w:val="24"/>
        </w:rPr>
        <w:t>。</w:t>
      </w:r>
    </w:p>
    <w:p w14:paraId="53E5EBED">
      <w:pPr>
        <w:snapToGrid w:val="0"/>
        <w:spacing w:line="360" w:lineRule="auto"/>
        <w:ind w:firstLine="564" w:firstLineChars="235"/>
        <w:rPr>
          <w:rFonts w:eastAsiaTheme="majorEastAsia"/>
          <w:sz w:val="24"/>
        </w:rPr>
      </w:pPr>
      <w:r>
        <w:rPr>
          <w:b/>
          <w:bCs/>
          <w:sz w:val="24"/>
        </w:rPr>
        <w:t>三、</w:t>
      </w:r>
      <w:r>
        <w:rPr>
          <w:rFonts w:eastAsiaTheme="majorEastAsia"/>
          <w:b/>
          <w:bCs/>
          <w:sz w:val="24"/>
        </w:rPr>
        <w:t>甲方代表：</w:t>
      </w:r>
      <w:r>
        <w:rPr>
          <w:rFonts w:eastAsiaTheme="majorEastAsia"/>
          <w:b/>
          <w:bCs/>
          <w:sz w:val="24"/>
          <w:u w:val="single"/>
        </w:rPr>
        <w:t xml:space="preserve">           </w:t>
      </w:r>
      <w:r>
        <w:rPr>
          <w:rFonts w:eastAsiaTheme="majorEastAsia"/>
          <w:b/>
          <w:bCs/>
          <w:sz w:val="24"/>
        </w:rPr>
        <w:t>乙方项目经理：</w:t>
      </w:r>
      <w:r>
        <w:rPr>
          <w:rFonts w:eastAsiaTheme="majorEastAsia"/>
          <w:b/>
          <w:bCs/>
          <w:sz w:val="24"/>
          <w:u w:val="single"/>
        </w:rPr>
        <w:t xml:space="preserve">         </w:t>
      </w:r>
    </w:p>
    <w:p w14:paraId="1C6892B8">
      <w:pPr>
        <w:snapToGrid w:val="0"/>
        <w:spacing w:line="360" w:lineRule="auto"/>
        <w:ind w:firstLine="564" w:firstLineChars="235"/>
        <w:rPr>
          <w:b/>
          <w:bCs/>
          <w:sz w:val="24"/>
        </w:rPr>
      </w:pPr>
      <w:r>
        <w:rPr>
          <w:b/>
          <w:bCs/>
          <w:sz w:val="24"/>
        </w:rPr>
        <w:t>四、清理维护注意事项</w:t>
      </w:r>
    </w:p>
    <w:p w14:paraId="73AF7B50">
      <w:pPr>
        <w:snapToGrid w:val="0"/>
        <w:spacing w:line="360" w:lineRule="auto"/>
        <w:ind w:firstLine="564" w:firstLineChars="235"/>
        <w:rPr>
          <w:sz w:val="24"/>
        </w:rPr>
      </w:pPr>
      <w:r>
        <w:rPr>
          <w:sz w:val="24"/>
        </w:rPr>
        <w:t>甲方向乙方交代实施的有关内容和注意事项，清理过程中必须确保不损坏拦污栅，因乙方现场实施导致拦污栅或其他设备有损坏的，由乙方承担其维修或更换费用，并承担连带损失；因运行而破损的拦污栅网片应及时向甲方汇报，如需更换费用另计。乙方应提供清理维护前后及过程图片。乙方安排有经验的技术人员参加实施，在实施项目的过程中应严格遵守安全操作规范和维保要求，安全使用移动起吊设备，注意人身安全，在实施期间发生任何安全问题由乙方自行负责，甲方不承担任何责任。</w:t>
      </w:r>
    </w:p>
    <w:p w14:paraId="5C5A1A56">
      <w:pPr>
        <w:snapToGrid w:val="0"/>
        <w:spacing w:line="360" w:lineRule="auto"/>
        <w:ind w:firstLine="564" w:firstLineChars="235"/>
        <w:rPr>
          <w:b/>
          <w:bCs/>
          <w:sz w:val="24"/>
        </w:rPr>
      </w:pPr>
      <w:r>
        <w:rPr>
          <w:b/>
          <w:bCs/>
          <w:sz w:val="24"/>
        </w:rPr>
        <w:t>五、清理标准及要求</w:t>
      </w:r>
    </w:p>
    <w:p w14:paraId="183B2888">
      <w:pPr>
        <w:snapToGrid w:val="0"/>
        <w:spacing w:line="360" w:lineRule="auto"/>
        <w:ind w:firstLine="480" w:firstLineChars="200"/>
        <w:outlineLvl w:val="1"/>
        <w:rPr>
          <w:sz w:val="24"/>
        </w:rPr>
      </w:pPr>
      <w:r>
        <w:rPr>
          <w:sz w:val="24"/>
        </w:rPr>
        <w:t>乙方对各闸站拦污栅进行清理维护时必须将附着的淤泥、水生物、漂浮物及垃圾等清理干净。清理出的垃圾必须外运，严禁入河，对变形的拦污栅必须进行整修。各闸站每片拦污栅清理维护完成后必须经甲方现场检查确认后方可吊装就位。</w:t>
      </w:r>
    </w:p>
    <w:p w14:paraId="35743F6D">
      <w:pPr>
        <w:snapToGrid w:val="0"/>
        <w:spacing w:line="360" w:lineRule="auto"/>
        <w:ind w:firstLine="564" w:firstLineChars="235"/>
        <w:rPr>
          <w:b/>
          <w:bCs/>
          <w:sz w:val="24"/>
        </w:rPr>
      </w:pPr>
      <w:r>
        <w:rPr>
          <w:b/>
          <w:bCs/>
          <w:sz w:val="24"/>
        </w:rPr>
        <w:t>六、</w:t>
      </w:r>
      <w:r>
        <w:rPr>
          <w:rFonts w:hint="eastAsia" w:cs="宋体" w:asciiTheme="majorEastAsia" w:hAnsiTheme="majorEastAsia" w:eastAsiaTheme="majorEastAsia"/>
          <w:b/>
          <w:bCs/>
          <w:sz w:val="24"/>
        </w:rPr>
        <w:t>结算方式</w:t>
      </w:r>
    </w:p>
    <w:p w14:paraId="033062B1">
      <w:pPr>
        <w:snapToGrid w:val="0"/>
        <w:spacing w:line="360" w:lineRule="auto"/>
        <w:ind w:firstLine="480" w:firstLineChars="200"/>
        <w:rPr>
          <w:rFonts w:eastAsiaTheme="majorEastAsia"/>
          <w:sz w:val="24"/>
          <w:szCs w:val="28"/>
        </w:rPr>
      </w:pPr>
      <w:r>
        <w:rPr>
          <w:rFonts w:eastAsiaTheme="majorEastAsia"/>
          <w:sz w:val="24"/>
          <w:szCs w:val="28"/>
        </w:rPr>
        <w:t>1、本项目合同价：人民币</w:t>
      </w:r>
      <w:r>
        <w:rPr>
          <w:rFonts w:eastAsiaTheme="majorEastAsia"/>
          <w:sz w:val="24"/>
          <w:szCs w:val="28"/>
          <w:u w:val="single"/>
        </w:rPr>
        <w:t xml:space="preserve">         </w:t>
      </w:r>
      <w:r>
        <w:rPr>
          <w:rFonts w:eastAsiaTheme="majorEastAsia"/>
          <w:sz w:val="24"/>
          <w:szCs w:val="28"/>
        </w:rPr>
        <w:t>元（大写：</w:t>
      </w:r>
      <w:r>
        <w:rPr>
          <w:rFonts w:eastAsiaTheme="majorEastAsia"/>
          <w:sz w:val="24"/>
          <w:szCs w:val="28"/>
          <w:u w:val="single"/>
        </w:rPr>
        <w:t xml:space="preserve">              </w:t>
      </w:r>
      <w:r>
        <w:rPr>
          <w:rFonts w:eastAsiaTheme="majorEastAsia"/>
          <w:sz w:val="24"/>
          <w:szCs w:val="28"/>
        </w:rPr>
        <w:t>）。</w:t>
      </w:r>
      <w:r>
        <w:rPr>
          <w:sz w:val="24"/>
        </w:rPr>
        <w:t>如需更换网片及其它材料另行结算。</w:t>
      </w:r>
    </w:p>
    <w:p w14:paraId="339C335A">
      <w:pPr>
        <w:snapToGrid w:val="0"/>
        <w:spacing w:line="360" w:lineRule="auto"/>
        <w:ind w:firstLine="480" w:firstLineChars="200"/>
        <w:outlineLvl w:val="1"/>
        <w:rPr>
          <w:sz w:val="24"/>
        </w:rPr>
      </w:pPr>
      <w:r>
        <w:rPr>
          <w:rFonts w:eastAsiaTheme="majorEastAsia"/>
          <w:sz w:val="24"/>
          <w:szCs w:val="28"/>
        </w:rPr>
        <w:t>2、本项目采用</w:t>
      </w:r>
      <w:r>
        <w:rPr>
          <w:rFonts w:eastAsiaTheme="majorEastAsia"/>
          <w:sz w:val="24"/>
          <w:szCs w:val="28"/>
          <w:u w:val="single"/>
        </w:rPr>
        <w:t xml:space="preserve">  </w:t>
      </w:r>
      <w:r>
        <w:rPr>
          <w:rFonts w:eastAsiaTheme="majorEastAsia"/>
          <w:b/>
          <w:bCs/>
          <w:sz w:val="24"/>
          <w:szCs w:val="28"/>
          <w:u w:val="single"/>
        </w:rPr>
        <w:t>固定总价</w:t>
      </w:r>
      <w:r>
        <w:rPr>
          <w:rFonts w:eastAsiaTheme="majorEastAsia"/>
          <w:sz w:val="24"/>
          <w:szCs w:val="28"/>
          <w:u w:val="single"/>
        </w:rPr>
        <w:t xml:space="preserve"> </w:t>
      </w:r>
      <w:r>
        <w:rPr>
          <w:rFonts w:eastAsiaTheme="majorEastAsia"/>
          <w:sz w:val="24"/>
          <w:szCs w:val="28"/>
        </w:rPr>
        <w:t>合同，合同价</w:t>
      </w:r>
      <w:r>
        <w:rPr>
          <w:sz w:val="24"/>
        </w:rPr>
        <w:t>包括人工费、材料费（含辅材）、机械费、安装费、管理费、利润、各项措施费、规费、税金、技术指导费、风险费及其他（如施工安全防护措施费、垃圾清理费等一切费用）等完成本项目所需的全部费用。</w:t>
      </w:r>
    </w:p>
    <w:p w14:paraId="5FBEA910">
      <w:pPr>
        <w:snapToGrid w:val="0"/>
        <w:spacing w:line="360" w:lineRule="auto"/>
        <w:ind w:firstLine="480" w:firstLineChars="200"/>
        <w:outlineLvl w:val="1"/>
        <w:rPr>
          <w:sz w:val="24"/>
        </w:rPr>
      </w:pPr>
      <w:r>
        <w:rPr>
          <w:sz w:val="24"/>
        </w:rPr>
        <w:t>3、合同签订后，拦污栅清理维护完成工程量的60%时，付至合同价的50%；清理维护全部完成，经甲方验收认可后，一次性付清余款。</w:t>
      </w:r>
    </w:p>
    <w:p w14:paraId="3FC41DC4">
      <w:pPr>
        <w:snapToGrid w:val="0"/>
        <w:spacing w:line="360" w:lineRule="auto"/>
        <w:ind w:firstLine="564" w:firstLineChars="235"/>
        <w:rPr>
          <w:b/>
          <w:bCs/>
          <w:sz w:val="24"/>
        </w:rPr>
      </w:pPr>
      <w:r>
        <w:rPr>
          <w:b/>
          <w:bCs/>
          <w:sz w:val="24"/>
        </w:rPr>
        <w:t>七、违约责任</w:t>
      </w:r>
    </w:p>
    <w:p w14:paraId="4BA372CC">
      <w:pPr>
        <w:snapToGrid w:val="0"/>
        <w:spacing w:line="360" w:lineRule="auto"/>
        <w:ind w:firstLine="480" w:firstLineChars="200"/>
        <w:outlineLvl w:val="1"/>
        <w:rPr>
          <w:sz w:val="24"/>
        </w:rPr>
      </w:pPr>
      <w:r>
        <w:rPr>
          <w:sz w:val="24"/>
        </w:rPr>
        <w:t>1、甲乙双方均应全面履行本合同，任何一方未能按照本合同的约定履行自己的义务，应当承担违约的法律和经济责任。违约方应当赔偿守约方因此遭受的损失。</w:t>
      </w:r>
    </w:p>
    <w:p w14:paraId="0FEEB278">
      <w:pPr>
        <w:snapToGrid w:val="0"/>
        <w:spacing w:line="360" w:lineRule="auto"/>
        <w:ind w:firstLine="480" w:firstLineChars="200"/>
        <w:outlineLvl w:val="1"/>
        <w:rPr>
          <w:sz w:val="24"/>
        </w:rPr>
      </w:pPr>
      <w:r>
        <w:rPr>
          <w:sz w:val="24"/>
        </w:rPr>
        <w:t>2、因乙方的原因，包括故意、过失造成甲方或任何第三人遭受任何损失的（包括但不限于人身损害、财产损失的），乙方应承担赔偿责任。</w:t>
      </w:r>
    </w:p>
    <w:p w14:paraId="6EC32585">
      <w:pPr>
        <w:snapToGrid w:val="0"/>
        <w:spacing w:line="360" w:lineRule="auto"/>
        <w:ind w:firstLine="480" w:firstLineChars="200"/>
        <w:outlineLvl w:val="1"/>
        <w:rPr>
          <w:sz w:val="24"/>
        </w:rPr>
      </w:pPr>
      <w:r>
        <w:rPr>
          <w:sz w:val="24"/>
        </w:rPr>
        <w:t>3、除本合同双方另有约定和本合同条款中解除合同的规定外，任何一方提前终止合同，须提前3个月通知对方，双方协商处理善后事宜。</w:t>
      </w:r>
    </w:p>
    <w:p w14:paraId="1AD2FEBD">
      <w:pPr>
        <w:snapToGrid w:val="0"/>
        <w:spacing w:line="360" w:lineRule="auto"/>
        <w:ind w:firstLine="480" w:firstLineChars="200"/>
        <w:outlineLvl w:val="1"/>
      </w:pPr>
      <w:r>
        <w:rPr>
          <w:rFonts w:hint="eastAsia"/>
          <w:sz w:val="24"/>
          <w:lang w:val="en-US" w:eastAsia="zh-CN"/>
        </w:rPr>
        <w:t>4、如遇不可抗力导致工期延误或履行困难，双方可协商延期或解除合同，互不承担违约责任。</w:t>
      </w:r>
    </w:p>
    <w:p w14:paraId="5F834644">
      <w:pPr>
        <w:snapToGrid w:val="0"/>
        <w:spacing w:line="360" w:lineRule="auto"/>
        <w:ind w:firstLine="564" w:firstLineChars="235"/>
        <w:rPr>
          <w:b/>
          <w:bCs/>
          <w:sz w:val="24"/>
        </w:rPr>
      </w:pPr>
      <w:r>
        <w:rPr>
          <w:b/>
          <w:bCs/>
          <w:sz w:val="24"/>
        </w:rPr>
        <w:t>八、其他</w:t>
      </w:r>
    </w:p>
    <w:p w14:paraId="00C01B77">
      <w:pPr>
        <w:snapToGrid w:val="0"/>
        <w:spacing w:line="360" w:lineRule="auto"/>
        <w:ind w:firstLine="480" w:firstLineChars="200"/>
        <w:outlineLvl w:val="1"/>
        <w:rPr>
          <w:sz w:val="24"/>
        </w:rPr>
      </w:pPr>
      <w:r>
        <w:rPr>
          <w:sz w:val="24"/>
        </w:rPr>
        <w:t>1、若在履行本协议过程中出现争议，双方协商解决，协商不成的，双方可向南通市崇川区人民法院提起诉讼。</w:t>
      </w:r>
    </w:p>
    <w:p w14:paraId="296F3ADD">
      <w:pPr>
        <w:snapToGrid w:val="0"/>
        <w:spacing w:line="360" w:lineRule="auto"/>
        <w:ind w:firstLine="480" w:firstLineChars="200"/>
        <w:outlineLvl w:val="1"/>
        <w:rPr>
          <w:sz w:val="24"/>
        </w:rPr>
      </w:pPr>
      <w:r>
        <w:rPr>
          <w:sz w:val="24"/>
        </w:rPr>
        <w:t>2、本协议一式肆份，双方各执贰份，协议未尽事项，由甲、乙双方另行协商，并签订补充协议。</w:t>
      </w:r>
    </w:p>
    <w:p w14:paraId="4544A278">
      <w:pPr>
        <w:snapToGrid w:val="0"/>
        <w:spacing w:line="360" w:lineRule="auto"/>
        <w:ind w:firstLine="564" w:firstLineChars="235"/>
        <w:rPr>
          <w:sz w:val="24"/>
        </w:rPr>
      </w:pPr>
      <w:r>
        <w:rPr>
          <w:sz w:val="24"/>
        </w:rPr>
        <w:t>甲方（盖章）                         乙方（盖章）</w:t>
      </w:r>
    </w:p>
    <w:p w14:paraId="6EDEBFC1">
      <w:pPr>
        <w:snapToGrid w:val="0"/>
        <w:spacing w:line="360" w:lineRule="auto"/>
        <w:ind w:firstLine="564" w:firstLineChars="235"/>
        <w:rPr>
          <w:sz w:val="24"/>
        </w:rPr>
      </w:pPr>
    </w:p>
    <w:p w14:paraId="13FFD865">
      <w:pPr>
        <w:snapToGrid w:val="0"/>
        <w:spacing w:line="360" w:lineRule="auto"/>
        <w:ind w:firstLine="564" w:firstLineChars="235"/>
        <w:rPr>
          <w:sz w:val="24"/>
        </w:rPr>
      </w:pPr>
      <w:r>
        <w:rPr>
          <w:sz w:val="24"/>
        </w:rPr>
        <w:t>法定代表人（签字）：                 法定代表人（签字）：</w:t>
      </w:r>
    </w:p>
    <w:p w14:paraId="05A52856">
      <w:pPr>
        <w:snapToGrid w:val="0"/>
        <w:spacing w:line="360" w:lineRule="auto"/>
        <w:ind w:firstLine="564" w:firstLineChars="235"/>
        <w:rPr>
          <w:sz w:val="24"/>
        </w:rPr>
      </w:pPr>
    </w:p>
    <w:p w14:paraId="001477D8">
      <w:pPr>
        <w:snapToGrid w:val="0"/>
        <w:spacing w:line="360" w:lineRule="auto"/>
        <w:ind w:firstLine="564" w:firstLineChars="235"/>
        <w:rPr>
          <w:sz w:val="24"/>
        </w:rPr>
      </w:pPr>
      <w:r>
        <w:rPr>
          <w:sz w:val="24"/>
        </w:rPr>
        <w:t>或授权委托人（签字）：               或授权委托人（签字）：</w:t>
      </w:r>
    </w:p>
    <w:p w14:paraId="071CAB6B">
      <w:pPr>
        <w:snapToGrid w:val="0"/>
        <w:spacing w:line="360" w:lineRule="auto"/>
        <w:ind w:firstLine="564" w:firstLineChars="235"/>
        <w:rPr>
          <w:sz w:val="24"/>
        </w:rPr>
      </w:pPr>
    </w:p>
    <w:p w14:paraId="6F076A9C">
      <w:pPr>
        <w:snapToGrid w:val="0"/>
        <w:spacing w:line="360" w:lineRule="auto"/>
        <w:ind w:firstLine="564" w:firstLineChars="235"/>
        <w:jc w:val="right"/>
        <w:rPr>
          <w:sz w:val="24"/>
        </w:rPr>
      </w:pPr>
      <w:r>
        <w:rPr>
          <w:sz w:val="24"/>
        </w:rPr>
        <w:t>日期：   年   月   日</w:t>
      </w: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60"/>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w:t>
      </w:r>
      <w:r>
        <w:rPr>
          <w:rFonts w:hint="eastAsia"/>
          <w:sz w:val="24"/>
        </w:rPr>
        <w:t>人</w:t>
      </w:r>
      <w:r>
        <w:rPr>
          <w:sz w:val="24"/>
        </w:rPr>
        <w:t>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0FE551C2">
      <w:pPr>
        <w:widowControl/>
        <w:snapToGrid w:val="0"/>
        <w:spacing w:line="360" w:lineRule="auto"/>
        <w:ind w:firstLine="480" w:firstLineChars="200"/>
        <w:jc w:val="left"/>
        <w:rPr>
          <w:sz w:val="24"/>
        </w:rPr>
      </w:pPr>
      <w:r>
        <w:rPr>
          <w:sz w:val="24"/>
        </w:rPr>
        <w:t>1、关于资格的声明函（格式参见附件）；</w:t>
      </w:r>
    </w:p>
    <w:p w14:paraId="1C057A30">
      <w:pPr>
        <w:widowControl/>
        <w:snapToGrid w:val="0"/>
        <w:spacing w:line="360" w:lineRule="auto"/>
        <w:ind w:firstLine="480" w:firstLineChars="200"/>
        <w:jc w:val="left"/>
        <w:rPr>
          <w:sz w:val="24"/>
        </w:rPr>
      </w:pPr>
      <w:r>
        <w:rPr>
          <w:sz w:val="24"/>
        </w:rPr>
        <w:t>2、法定代表人参加投标的，必须提供法定代表人身份证明及法定代表人本人身份证复印件；非法定代表人参加投标的，必须提供法定代表人签名或盖章的授权委托书及</w:t>
      </w:r>
      <w:r>
        <w:rPr>
          <w:b/>
          <w:sz w:val="24"/>
        </w:rPr>
        <w:t>法定代表人和被授权人两人的身份证复印件</w:t>
      </w:r>
      <w:r>
        <w:rPr>
          <w:sz w:val="24"/>
        </w:rPr>
        <w:t>（格式参见附件）；</w:t>
      </w:r>
    </w:p>
    <w:p w14:paraId="6BB029F4">
      <w:pPr>
        <w:widowControl/>
        <w:snapToGrid w:val="0"/>
        <w:spacing w:line="360" w:lineRule="auto"/>
        <w:ind w:firstLine="480" w:firstLineChars="200"/>
        <w:jc w:val="left"/>
        <w:rPr>
          <w:sz w:val="24"/>
        </w:rPr>
      </w:pPr>
      <w:r>
        <w:rPr>
          <w:sz w:val="24"/>
        </w:rPr>
        <w:t>3、投标响应函（格式参见附件）；</w:t>
      </w:r>
    </w:p>
    <w:p w14:paraId="7709A528">
      <w:pPr>
        <w:widowControl/>
        <w:snapToGrid w:val="0"/>
        <w:spacing w:line="360" w:lineRule="auto"/>
        <w:ind w:firstLine="480" w:firstLineChars="200"/>
        <w:jc w:val="left"/>
        <w:rPr>
          <w:sz w:val="24"/>
        </w:rPr>
      </w:pPr>
      <w:r>
        <w:rPr>
          <w:sz w:val="24"/>
        </w:rPr>
        <w:t>4、</w:t>
      </w:r>
      <w:r>
        <w:rPr>
          <w:sz w:val="24"/>
          <w:lang w:val="zh-CN"/>
        </w:rPr>
        <w:t>有效的企业营业执照</w:t>
      </w:r>
      <w:r>
        <w:rPr>
          <w:sz w:val="24"/>
        </w:rPr>
        <w:t>或法人证书</w:t>
      </w:r>
      <w:r>
        <w:rPr>
          <w:sz w:val="24"/>
          <w:lang w:val="zh-CN"/>
        </w:rPr>
        <w:t>（副本）复印件</w:t>
      </w:r>
      <w:r>
        <w:rPr>
          <w:sz w:val="24"/>
        </w:rPr>
        <w:t>（加盖单位公章）；</w:t>
      </w:r>
    </w:p>
    <w:p w14:paraId="34091483">
      <w:pPr>
        <w:widowControl/>
        <w:snapToGrid w:val="0"/>
        <w:spacing w:line="360" w:lineRule="auto"/>
        <w:ind w:firstLine="480" w:firstLineChars="200"/>
        <w:jc w:val="left"/>
        <w:rPr>
          <w:sz w:val="24"/>
        </w:rPr>
      </w:pPr>
      <w:r>
        <w:rPr>
          <w:sz w:val="24"/>
        </w:rPr>
        <w:t>5、投标供应商须提供参与本次项目政府采购活动前三年内，在经营活动中没有重大违法记录的书面《无重大违法记录声明函》（格式参见附件）；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sz w:val="24"/>
        </w:rPr>
      </w:pPr>
      <w:r>
        <w:rPr>
          <w:sz w:val="24"/>
        </w:rPr>
        <w:t>6、中小企业声明函（格式参见附件）；</w:t>
      </w:r>
    </w:p>
    <w:p w14:paraId="3DD4E9E7">
      <w:pPr>
        <w:widowControl/>
        <w:snapToGrid w:val="0"/>
        <w:spacing w:line="360" w:lineRule="auto"/>
        <w:ind w:firstLine="480" w:firstLineChars="200"/>
        <w:jc w:val="left"/>
        <w:rPr>
          <w:sz w:val="24"/>
        </w:rPr>
      </w:pPr>
      <w:r>
        <w:rPr>
          <w:sz w:val="24"/>
        </w:rPr>
        <w:t>7、残疾人福利性单位声明函（格式，如涉有，则提供）（格式参见附件）；</w:t>
      </w:r>
    </w:p>
    <w:p w14:paraId="7F8631A3">
      <w:pPr>
        <w:widowControl/>
        <w:snapToGrid w:val="0"/>
        <w:spacing w:line="360" w:lineRule="auto"/>
        <w:ind w:firstLine="480" w:firstLineChars="200"/>
        <w:jc w:val="left"/>
        <w:rPr>
          <w:sz w:val="24"/>
        </w:rPr>
      </w:pPr>
      <w:r>
        <w:rPr>
          <w:sz w:val="24"/>
        </w:rPr>
        <w:t>8、监狱和戒毒企业证明材料（格式，如涉有，则提供）（格式参见附件）；</w:t>
      </w:r>
    </w:p>
    <w:p w14:paraId="5B21897A">
      <w:pPr>
        <w:widowControl/>
        <w:snapToGrid w:val="0"/>
        <w:spacing w:line="360" w:lineRule="auto"/>
        <w:ind w:firstLine="480" w:firstLineChars="200"/>
        <w:jc w:val="left"/>
        <w:rPr>
          <w:sz w:val="24"/>
        </w:rPr>
      </w:pPr>
      <w:r>
        <w:rPr>
          <w:sz w:val="24"/>
        </w:rPr>
        <w:t>9、投标人根据招标文件要求认为需要提交的其他资料。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80" w:firstLineChars="200"/>
        <w:jc w:val="left"/>
        <w:rPr>
          <w:b/>
          <w:bCs/>
          <w:sz w:val="24"/>
        </w:rPr>
      </w:pPr>
      <w:r>
        <w:rPr>
          <w:b/>
          <w:bCs/>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56B7F9DF">
      <w:pPr>
        <w:widowControl/>
        <w:snapToGrid w:val="0"/>
        <w:spacing w:line="360" w:lineRule="auto"/>
        <w:ind w:firstLine="480" w:firstLineChars="200"/>
        <w:jc w:val="left"/>
        <w:rPr>
          <w:sz w:val="24"/>
        </w:rPr>
      </w:pPr>
      <w:r>
        <w:rPr>
          <w:sz w:val="24"/>
        </w:rPr>
        <w:t>1、开标一览表（格式参见附件）；</w:t>
      </w:r>
    </w:p>
    <w:p w14:paraId="35220B41">
      <w:pPr>
        <w:widowControl/>
        <w:snapToGrid w:val="0"/>
        <w:spacing w:line="360" w:lineRule="auto"/>
        <w:ind w:firstLine="480" w:firstLineChars="200"/>
        <w:jc w:val="left"/>
        <w:rPr>
          <w:b/>
          <w:sz w:val="24"/>
        </w:rPr>
      </w:pPr>
      <w:r>
        <w:rPr>
          <w:sz w:val="24"/>
        </w:rPr>
        <w:t>2、已标价的工程量清单（格式参见附件）。</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26" w:name="_Hlk81344630"/>
      <w:r>
        <w:rPr>
          <w:b/>
          <w:sz w:val="30"/>
          <w:szCs w:val="30"/>
        </w:rPr>
        <w:t>（或盖章）</w:t>
      </w:r>
      <w:bookmarkEnd w:id="26"/>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60"/>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60"/>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60"/>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60"/>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27" w:name="_Hlk44927189"/>
      <w:r>
        <w:rPr>
          <w:b/>
          <w:bCs/>
          <w:sz w:val="28"/>
          <w:szCs w:val="28"/>
        </w:rPr>
        <w:t>投标响应函</w:t>
      </w:r>
      <w:bookmarkEnd w:id="27"/>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60"/>
        <w:ind w:firstLine="280"/>
        <w:rPr>
          <w:rFonts w:ascii="Times New Roman" w:hAnsi="Times New Roman" w:eastAsia="宋体"/>
          <w:color w:val="auto"/>
        </w:rPr>
      </w:pPr>
    </w:p>
    <w:p w14:paraId="2D8A3584">
      <w:pPr>
        <w:pStyle w:val="60"/>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28"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9" w:name="OLE_LINK13"/>
      <w:bookmarkStart w:id="30" w:name="OLE_LINK14"/>
      <w:r>
        <w:rPr>
          <w:b/>
          <w:bCs/>
          <w:sz w:val="28"/>
          <w:szCs w:val="28"/>
        </w:rPr>
        <w:t>残疾人福利性单位声明函</w:t>
      </w:r>
    </w:p>
    <w:bookmarkEnd w:id="29"/>
    <w:bookmarkEnd w:id="30"/>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28"/>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
        <w:rPr>
          <w:b/>
          <w:sz w:val="32"/>
          <w:szCs w:val="32"/>
        </w:rPr>
      </w:pPr>
    </w:p>
    <w:p w14:paraId="3DB97141">
      <w:pPr>
        <w:rPr>
          <w:b/>
          <w:sz w:val="32"/>
          <w:szCs w:val="32"/>
        </w:rPr>
      </w:pPr>
    </w:p>
    <w:p w14:paraId="2F6A4AC5">
      <w:pPr>
        <w:pStyle w:val="2"/>
        <w:rPr>
          <w:b/>
          <w:sz w:val="32"/>
          <w:szCs w:val="32"/>
        </w:rPr>
      </w:pPr>
    </w:p>
    <w:p w14:paraId="45757A8B">
      <w:pPr>
        <w:rPr>
          <w:b/>
          <w:sz w:val="32"/>
          <w:szCs w:val="32"/>
        </w:rPr>
      </w:pPr>
    </w:p>
    <w:p w14:paraId="421BB7C1">
      <w:pPr>
        <w:pStyle w:val="2"/>
        <w:rPr>
          <w:b/>
          <w:sz w:val="32"/>
          <w:szCs w:val="32"/>
        </w:rPr>
      </w:pPr>
    </w:p>
    <w:p w14:paraId="7E400165">
      <w:pPr>
        <w:rPr>
          <w:b/>
          <w:sz w:val="32"/>
          <w:szCs w:val="32"/>
        </w:rPr>
      </w:pPr>
    </w:p>
    <w:p w14:paraId="7EA47B4A">
      <w:pPr>
        <w:pStyle w:val="2"/>
        <w:rPr>
          <w:b/>
          <w:sz w:val="32"/>
          <w:szCs w:val="32"/>
        </w:rPr>
      </w:pPr>
    </w:p>
    <w:p w14:paraId="297BB617">
      <w:pPr>
        <w:rPr>
          <w:b/>
          <w:sz w:val="32"/>
          <w:szCs w:val="32"/>
        </w:rPr>
      </w:pPr>
    </w:p>
    <w:p w14:paraId="4B79BEA2">
      <w:pPr>
        <w:pStyle w:val="2"/>
        <w:rPr>
          <w:b/>
          <w:sz w:val="32"/>
          <w:szCs w:val="32"/>
        </w:rPr>
      </w:pPr>
    </w:p>
    <w:p w14:paraId="6A6908E0">
      <w:pPr>
        <w:rPr>
          <w:b/>
          <w:sz w:val="32"/>
          <w:szCs w:val="32"/>
        </w:rPr>
      </w:pPr>
    </w:p>
    <w:p w14:paraId="0CD74968">
      <w:pPr>
        <w:pStyle w:val="60"/>
        <w:ind w:firstLine="320"/>
        <w:rPr>
          <w:rFonts w:ascii="Times New Roman" w:hAnsi="Times New Roman"/>
          <w:b/>
          <w:color w:val="auto"/>
          <w:sz w:val="32"/>
          <w:szCs w:val="32"/>
        </w:rPr>
      </w:pPr>
    </w:p>
    <w:p w14:paraId="4320A972">
      <w:pPr>
        <w:pStyle w:val="60"/>
        <w:ind w:firstLine="320"/>
        <w:rPr>
          <w:rFonts w:ascii="Times New Roman" w:hAnsi="Times New Roman"/>
          <w:b/>
          <w:color w:val="auto"/>
          <w:sz w:val="32"/>
          <w:szCs w:val="32"/>
        </w:rPr>
      </w:pPr>
    </w:p>
    <w:p w14:paraId="3C6BFD31">
      <w:pPr>
        <w:pStyle w:val="60"/>
        <w:ind w:firstLine="320"/>
        <w:rPr>
          <w:rFonts w:ascii="Times New Roman" w:hAnsi="Times New Roman"/>
          <w:b/>
          <w:color w:val="auto"/>
          <w:sz w:val="32"/>
          <w:szCs w:val="32"/>
        </w:rPr>
      </w:pPr>
    </w:p>
    <w:p w14:paraId="0E2EE191">
      <w:pPr>
        <w:pStyle w:val="60"/>
        <w:ind w:firstLine="320"/>
        <w:rPr>
          <w:rFonts w:ascii="Times New Roman" w:hAnsi="Times New Roman"/>
          <w:b/>
          <w:color w:val="auto"/>
          <w:sz w:val="32"/>
          <w:szCs w:val="32"/>
        </w:rPr>
      </w:pPr>
    </w:p>
    <w:p w14:paraId="53085A72">
      <w:pPr>
        <w:pStyle w:val="60"/>
        <w:ind w:firstLine="320"/>
        <w:rPr>
          <w:rFonts w:ascii="Times New Roman" w:hAnsi="Times New Roman"/>
          <w:b/>
          <w:color w:val="auto"/>
          <w:sz w:val="32"/>
          <w:szCs w:val="32"/>
        </w:rPr>
      </w:pPr>
    </w:p>
    <w:p w14:paraId="52EA7A6C">
      <w:pPr>
        <w:pStyle w:val="60"/>
        <w:ind w:firstLine="320"/>
        <w:rPr>
          <w:rFonts w:ascii="Times New Roman" w:hAnsi="Times New Roman"/>
          <w:b/>
          <w:color w:val="auto"/>
          <w:sz w:val="32"/>
          <w:szCs w:val="32"/>
        </w:rPr>
      </w:pPr>
    </w:p>
    <w:p w14:paraId="162BD635">
      <w:pPr>
        <w:pStyle w:val="60"/>
        <w:ind w:firstLine="320"/>
        <w:rPr>
          <w:rFonts w:ascii="Times New Roman" w:hAnsi="Times New Roman"/>
          <w:b/>
          <w:color w:val="auto"/>
          <w:sz w:val="32"/>
          <w:szCs w:val="32"/>
        </w:rPr>
      </w:pPr>
    </w:p>
    <w:p w14:paraId="3F5C96F9">
      <w:pPr>
        <w:pStyle w:val="60"/>
        <w:ind w:firstLine="320"/>
        <w:rPr>
          <w:rFonts w:ascii="Times New Roman" w:hAnsi="Times New Roman"/>
          <w:b/>
          <w:color w:val="auto"/>
          <w:sz w:val="32"/>
          <w:szCs w:val="32"/>
        </w:rPr>
      </w:pPr>
    </w:p>
    <w:p w14:paraId="5F13CFC7">
      <w:pPr>
        <w:pStyle w:val="2"/>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60"/>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60"/>
        <w:ind w:firstLine="280"/>
        <w:rPr>
          <w:rFonts w:ascii="Times New Roman" w:hAnsi="Times New Roman"/>
          <w:color w:val="auto"/>
        </w:rPr>
      </w:pPr>
    </w:p>
    <w:p w14:paraId="618BE199">
      <w:pPr>
        <w:pStyle w:val="60"/>
        <w:ind w:firstLine="280"/>
        <w:rPr>
          <w:rFonts w:ascii="Times New Roman" w:hAnsi="Times New Roman"/>
          <w:color w:val="auto"/>
        </w:rPr>
      </w:pPr>
    </w:p>
    <w:p w14:paraId="5D83EAAD">
      <w:pPr>
        <w:pStyle w:val="60"/>
        <w:ind w:firstLine="280"/>
        <w:rPr>
          <w:rFonts w:ascii="Times New Roman" w:hAnsi="Times New Roman"/>
          <w:color w:val="auto"/>
        </w:rPr>
      </w:pPr>
    </w:p>
    <w:p w14:paraId="6D941009">
      <w:pPr>
        <w:pStyle w:val="60"/>
        <w:ind w:firstLine="280"/>
        <w:rPr>
          <w:rFonts w:ascii="Times New Roman" w:hAnsi="Times New Roman"/>
          <w:color w:val="auto"/>
        </w:rPr>
      </w:pPr>
    </w:p>
    <w:p w14:paraId="16318900">
      <w:pPr>
        <w:pStyle w:val="60"/>
        <w:ind w:firstLine="280"/>
        <w:rPr>
          <w:rFonts w:ascii="Times New Roman" w:hAnsi="Times New Roman"/>
          <w:color w:val="auto"/>
        </w:rPr>
      </w:pPr>
    </w:p>
    <w:p w14:paraId="67B910EC">
      <w:pPr>
        <w:pStyle w:val="60"/>
        <w:ind w:firstLine="280"/>
        <w:rPr>
          <w:rFonts w:ascii="Times New Roman" w:hAnsi="Times New Roman"/>
          <w:color w:val="auto"/>
        </w:rPr>
      </w:pPr>
    </w:p>
    <w:p w14:paraId="34C472E4">
      <w:pPr>
        <w:pStyle w:val="60"/>
        <w:ind w:firstLine="280"/>
        <w:rPr>
          <w:rFonts w:ascii="Times New Roman" w:hAnsi="Times New Roman"/>
          <w:color w:val="auto"/>
        </w:rPr>
      </w:pPr>
    </w:p>
    <w:p w14:paraId="18B8034D">
      <w:pPr>
        <w:pStyle w:val="60"/>
        <w:ind w:firstLine="280"/>
        <w:rPr>
          <w:rFonts w:ascii="Times New Roman" w:hAnsi="Times New Roman"/>
          <w:color w:val="auto"/>
        </w:rPr>
      </w:pPr>
    </w:p>
    <w:p w14:paraId="62BBC36B">
      <w:pPr>
        <w:pStyle w:val="60"/>
        <w:ind w:firstLine="280"/>
        <w:rPr>
          <w:rFonts w:ascii="Times New Roman" w:hAnsi="Times New Roman"/>
          <w:color w:val="auto"/>
        </w:rPr>
      </w:pPr>
    </w:p>
    <w:p w14:paraId="4F430FD5">
      <w:pPr>
        <w:pStyle w:val="60"/>
        <w:ind w:firstLine="280"/>
        <w:rPr>
          <w:rFonts w:ascii="Times New Roman" w:hAnsi="Times New Roman"/>
          <w:color w:val="auto"/>
        </w:rPr>
      </w:pPr>
    </w:p>
    <w:p w14:paraId="41CE4BD0">
      <w:pPr>
        <w:pStyle w:val="60"/>
        <w:ind w:firstLine="280"/>
        <w:rPr>
          <w:rFonts w:ascii="Times New Roman" w:hAnsi="Times New Roman"/>
          <w:color w:val="auto"/>
        </w:rPr>
      </w:pPr>
    </w:p>
    <w:p w14:paraId="351C1DAB">
      <w:pPr>
        <w:pStyle w:val="60"/>
        <w:ind w:firstLine="280"/>
        <w:rPr>
          <w:rFonts w:ascii="Times New Roman" w:hAnsi="Times New Roman"/>
          <w:color w:val="auto"/>
        </w:rPr>
      </w:pPr>
    </w:p>
    <w:p w14:paraId="1571677D">
      <w:pPr>
        <w:pStyle w:val="60"/>
        <w:ind w:firstLine="280"/>
        <w:rPr>
          <w:rFonts w:ascii="Times New Roman" w:hAnsi="Times New Roman"/>
          <w:color w:val="auto"/>
        </w:rPr>
      </w:pPr>
    </w:p>
    <w:p w14:paraId="37356633">
      <w:pPr>
        <w:pStyle w:val="60"/>
        <w:ind w:firstLine="280"/>
        <w:rPr>
          <w:rFonts w:ascii="Times New Roman" w:hAnsi="Times New Roman"/>
          <w:color w:val="auto"/>
        </w:rPr>
      </w:pPr>
    </w:p>
    <w:p w14:paraId="7739EA14">
      <w:pPr>
        <w:pStyle w:val="60"/>
        <w:ind w:firstLine="280"/>
        <w:rPr>
          <w:rFonts w:ascii="Times New Roman" w:hAnsi="Times New Roman"/>
          <w:color w:val="auto"/>
        </w:rPr>
      </w:pPr>
    </w:p>
    <w:p w14:paraId="3E7D0985">
      <w:pPr>
        <w:pStyle w:val="60"/>
        <w:ind w:firstLine="280"/>
        <w:rPr>
          <w:rFonts w:ascii="Times New Roman" w:hAnsi="Times New Roman"/>
          <w:color w:val="auto"/>
        </w:rPr>
      </w:pPr>
    </w:p>
    <w:p w14:paraId="5C643A96">
      <w:pPr>
        <w:pStyle w:val="60"/>
        <w:ind w:firstLine="280"/>
        <w:rPr>
          <w:rFonts w:ascii="Times New Roman" w:hAnsi="Times New Roman"/>
          <w:color w:val="auto"/>
        </w:rPr>
      </w:pPr>
    </w:p>
    <w:p w14:paraId="6B49E989">
      <w:pPr>
        <w:pStyle w:val="60"/>
        <w:ind w:firstLine="280"/>
        <w:rPr>
          <w:rFonts w:ascii="Times New Roman" w:hAnsi="Times New Roman"/>
          <w:color w:val="auto"/>
        </w:rPr>
      </w:pPr>
    </w:p>
    <w:p w14:paraId="3DB7B258">
      <w:pPr>
        <w:pStyle w:val="60"/>
        <w:ind w:firstLine="280"/>
        <w:rPr>
          <w:rFonts w:ascii="Times New Roman" w:hAnsi="Times New Roman"/>
          <w:color w:val="auto"/>
        </w:rPr>
      </w:pPr>
    </w:p>
    <w:p w14:paraId="5767035B">
      <w:pPr>
        <w:pStyle w:val="60"/>
        <w:ind w:firstLine="280"/>
        <w:rPr>
          <w:rFonts w:ascii="Times New Roman" w:hAnsi="Times New Roman"/>
          <w:color w:val="auto"/>
        </w:rPr>
      </w:pPr>
    </w:p>
    <w:p w14:paraId="276260C2">
      <w:pPr>
        <w:pStyle w:val="60"/>
        <w:ind w:firstLine="280"/>
        <w:rPr>
          <w:rFonts w:ascii="Times New Roman" w:hAnsi="Times New Roman"/>
          <w:color w:val="auto"/>
        </w:rPr>
      </w:pPr>
    </w:p>
    <w:p w14:paraId="3809BFB1">
      <w:pPr>
        <w:pStyle w:val="60"/>
        <w:ind w:firstLine="280"/>
        <w:rPr>
          <w:rFonts w:ascii="Times New Roman" w:hAnsi="Times New Roman"/>
          <w:color w:val="auto"/>
        </w:rPr>
      </w:pPr>
    </w:p>
    <w:p w14:paraId="71A701CA">
      <w:pPr>
        <w:pStyle w:val="60"/>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31" w:name="_Toc420058377"/>
      <w:bookmarkStart w:id="32" w:name="_Toc4259606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60"/>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sz w:val="30"/>
          <w:szCs w:val="30"/>
        </w:rPr>
      </w:pPr>
      <w:r>
        <w:rPr>
          <w:b/>
          <w:bCs/>
          <w:sz w:val="30"/>
          <w:szCs w:val="30"/>
        </w:rPr>
        <w:t>（商务</w:t>
      </w:r>
      <w:r>
        <w:rPr>
          <w:rFonts w:hint="eastAsia"/>
          <w:b/>
          <w:bCs/>
          <w:sz w:val="30"/>
          <w:szCs w:val="30"/>
        </w:rPr>
        <w:t>标</w:t>
      </w:r>
      <w:r>
        <w:rPr>
          <w:b/>
          <w:bCs/>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33" w:name="_Hlk81344726"/>
      <w:r>
        <w:rPr>
          <w:b/>
          <w:sz w:val="30"/>
          <w:szCs w:val="30"/>
        </w:rPr>
        <w:t>（或盖章）</w:t>
      </w:r>
      <w:bookmarkEnd w:id="33"/>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018EE735">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31"/>
      <w:bookmarkEnd w:id="32"/>
      <w:r>
        <w:rPr>
          <w:rStyle w:val="80"/>
          <w:rFonts w:ascii="Times New Roman" w:hAnsi="Times New Roman" w:cs="Times New Roman"/>
          <w:sz w:val="28"/>
          <w:szCs w:val="28"/>
        </w:rPr>
        <w:t>开标一览表</w:t>
      </w:r>
    </w:p>
    <w:p w14:paraId="53635639">
      <w:pPr>
        <w:pStyle w:val="31"/>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sz w:val="24"/>
              </w:rPr>
            </w:pPr>
            <w:r>
              <w:rPr>
                <w:rFonts w:hint="eastAsia"/>
                <w:sz w:val="24"/>
              </w:rPr>
              <w:t>2025年拦污栅清理维护项目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505F6772">
      <w:pPr>
        <w:spacing w:line="360" w:lineRule="auto"/>
        <w:jc w:val="center"/>
        <w:rPr>
          <w:rStyle w:val="80"/>
          <w:rFonts w:ascii="Times New Roman" w:hAnsi="Times New Roman" w:cs="Times New Roman"/>
          <w:sz w:val="28"/>
          <w:szCs w:val="28"/>
        </w:rPr>
      </w:pPr>
      <w:r>
        <w:rPr>
          <w:b/>
          <w:sz w:val="24"/>
        </w:rPr>
        <w:br w:type="page"/>
      </w:r>
      <w:r>
        <w:rPr>
          <w:rStyle w:val="80"/>
          <w:rFonts w:ascii="Times New Roman" w:hAnsi="Times New Roman" w:cs="Times New Roman"/>
          <w:sz w:val="28"/>
          <w:szCs w:val="28"/>
        </w:rPr>
        <w:t>二、</w:t>
      </w:r>
      <w:r>
        <w:rPr>
          <w:rStyle w:val="685"/>
          <w:rFonts w:ascii="宋体" w:hAnsi="宋体" w:cs="Times New Roman"/>
          <w:sz w:val="28"/>
          <w:szCs w:val="28"/>
        </w:rPr>
        <w:t>分项报价明细表</w:t>
      </w:r>
    </w:p>
    <w:tbl>
      <w:tblPr>
        <w:tblStyle w:val="62"/>
        <w:tblW w:w="0" w:type="auto"/>
        <w:tblInd w:w="0" w:type="dxa"/>
        <w:tblLayout w:type="autofit"/>
        <w:tblCellMar>
          <w:top w:w="0" w:type="dxa"/>
          <w:left w:w="108" w:type="dxa"/>
          <w:bottom w:w="0" w:type="dxa"/>
          <w:right w:w="108" w:type="dxa"/>
        </w:tblCellMar>
      </w:tblPr>
      <w:tblGrid>
        <w:gridCol w:w="519"/>
        <w:gridCol w:w="886"/>
        <w:gridCol w:w="1434"/>
        <w:gridCol w:w="756"/>
        <w:gridCol w:w="756"/>
        <w:gridCol w:w="756"/>
        <w:gridCol w:w="821"/>
        <w:gridCol w:w="756"/>
        <w:gridCol w:w="2887"/>
      </w:tblGrid>
      <w:tr w14:paraId="19340C83">
        <w:tblPrEx>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97D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BE9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闸站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E49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单项名称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70F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A871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单价</w:t>
            </w:r>
          </w:p>
          <w:p w14:paraId="400E06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97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4F5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（次数）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33F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0E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 注</w:t>
            </w:r>
          </w:p>
        </w:tc>
      </w:tr>
      <w:tr w14:paraId="49F78609">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5340">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C4EF">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E119">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2935">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970F">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F898F">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D2A3">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119B">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ADE0">
            <w:pPr>
              <w:widowControl/>
              <w:jc w:val="center"/>
              <w:rPr>
                <w:rFonts w:hint="eastAsia" w:ascii="宋体" w:hAnsi="宋体" w:cs="宋体"/>
                <w:color w:val="000000"/>
                <w:sz w:val="18"/>
                <w:szCs w:val="18"/>
              </w:rPr>
            </w:pPr>
          </w:p>
        </w:tc>
      </w:tr>
      <w:tr w14:paraId="4895E568">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F7F11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594FE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任港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闸站</w:t>
            </w:r>
          </w:p>
        </w:tc>
        <w:tc>
          <w:tcPr>
            <w:tcW w:w="0" w:type="auto"/>
            <w:vMerge w:val="restart"/>
            <w:tcBorders>
              <w:top w:val="nil"/>
              <w:left w:val="single" w:color="000000" w:sz="4" w:space="0"/>
              <w:bottom w:val="nil"/>
              <w:right w:val="single" w:color="000000" w:sz="4" w:space="0"/>
            </w:tcBorders>
            <w:shd w:val="clear" w:color="auto" w:fill="auto"/>
            <w:vAlign w:val="center"/>
          </w:tcPr>
          <w:p w14:paraId="5B0B4F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5F5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84F47">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3F097C00">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1C7550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5B3EC938">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D79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上游侧龙门吊人工吊装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1D0FAA57">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CB3548">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DBD69FA">
            <w:pPr>
              <w:widowControl/>
              <w:jc w:val="center"/>
              <w:rPr>
                <w:rFonts w:hint="eastAsia" w:ascii="宋体" w:hAnsi="宋体" w:cs="宋体"/>
                <w:color w:val="000000"/>
                <w:sz w:val="18"/>
                <w:szCs w:val="18"/>
              </w:rPr>
            </w:pPr>
          </w:p>
        </w:tc>
        <w:tc>
          <w:tcPr>
            <w:tcW w:w="0" w:type="auto"/>
            <w:vMerge w:val="continue"/>
            <w:tcBorders>
              <w:top w:val="nil"/>
              <w:left w:val="single" w:color="000000" w:sz="4" w:space="0"/>
              <w:bottom w:val="nil"/>
              <w:right w:val="single" w:color="000000" w:sz="4" w:space="0"/>
            </w:tcBorders>
            <w:shd w:val="clear" w:color="auto" w:fill="auto"/>
            <w:vAlign w:val="center"/>
          </w:tcPr>
          <w:p w14:paraId="675EBB5D">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39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31DE0">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994C0D4">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010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38CC5DC7">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372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下游侧龙门吊人工吊装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（规格2.85×1.20m）</w:t>
            </w:r>
          </w:p>
        </w:tc>
      </w:tr>
      <w:tr w14:paraId="481CCC7D">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85B8759">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493F96">
            <w:pPr>
              <w:widowControl/>
              <w:jc w:val="center"/>
              <w:rPr>
                <w:rFonts w:hint="eastAsia" w:ascii="宋体" w:hAnsi="宋体" w:cs="宋体"/>
                <w:color w:val="000000"/>
                <w:sz w:val="18"/>
                <w:szCs w:val="18"/>
              </w:rPr>
            </w:pPr>
          </w:p>
        </w:tc>
        <w:tc>
          <w:tcPr>
            <w:tcW w:w="0" w:type="auto"/>
            <w:vMerge w:val="continue"/>
            <w:tcBorders>
              <w:top w:val="nil"/>
              <w:left w:val="single" w:color="000000" w:sz="4" w:space="0"/>
              <w:bottom w:val="nil"/>
              <w:right w:val="single" w:color="000000" w:sz="4" w:space="0"/>
            </w:tcBorders>
            <w:shd w:val="clear" w:color="auto" w:fill="auto"/>
            <w:vAlign w:val="center"/>
          </w:tcPr>
          <w:p w14:paraId="1FB4D5F4">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6F3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2C6DD">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B5F91BF">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88C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927240D">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75F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下游侧龙门吊人工吊装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0D01033C">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91F05D9">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73BAD0">
            <w:pPr>
              <w:widowControl/>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21F41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（含打捞垃圾）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2DD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B7B23">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20F4AB4F">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DB39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1944CD74">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A1AD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44E36730">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96025BC">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1828D10">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4270B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AA2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33D6B">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472CE0CA">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09AD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2020CFA8">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154C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（规格2.85×1.20m）</w:t>
            </w:r>
          </w:p>
        </w:tc>
      </w:tr>
      <w:tr w14:paraId="6A7CB7A3">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0B564D">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F57950">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23F123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5DF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9B6F3">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3FDCF0B1">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5512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2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223B9C3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AF1D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5EEC80ED">
        <w:tblPrEx>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091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52D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幸福河闸站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9C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FF4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C6409">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3F4AE272">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9D7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41C0C8ED">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02D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龙门吊人工吊装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（规格2.85×3.65m、场地小起吊难度大）</w:t>
            </w:r>
          </w:p>
        </w:tc>
      </w:tr>
      <w:tr w14:paraId="4793743A">
        <w:tblPrEx>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4D152">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0FB3">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75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（含打捞垃圾）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E6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6CAAD">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486D55FB">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92C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1DCCAF66">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D77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（规格2.85×3.65m、场地小起吊难度大）</w:t>
            </w:r>
          </w:p>
        </w:tc>
      </w:tr>
      <w:tr w14:paraId="4D75F126">
        <w:tblPrEx>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757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08B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郭里头闸站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3B1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063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32C85">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45440AEB">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1C7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71FBA9CF">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17B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汽车吊装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（规格3.15×4.05m、0.68×4.05m）</w:t>
            </w:r>
          </w:p>
        </w:tc>
      </w:tr>
      <w:tr w14:paraId="14807EC9">
        <w:tblPrEx>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8602">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A45E">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00B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（含打捞垃圾）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A2E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25B4E">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693A6EE8">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B8E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745132E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8FC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（规格3.15×4.05m、0.68×4.05m）</w:t>
            </w:r>
          </w:p>
        </w:tc>
      </w:tr>
      <w:tr w14:paraId="547DB97D">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7476">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2059">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BFF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汽车吊台班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5F2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214E6">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54ECB953">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CFC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7BA322A">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C02F3">
            <w:pPr>
              <w:widowControl/>
              <w:jc w:val="center"/>
              <w:textAlignment w:val="center"/>
              <w:rPr>
                <w:rFonts w:hint="eastAsia" w:ascii="宋体" w:hAnsi="宋体" w:cs="宋体"/>
                <w:color w:val="000000"/>
                <w:sz w:val="18"/>
                <w:szCs w:val="18"/>
              </w:rPr>
            </w:pPr>
          </w:p>
        </w:tc>
      </w:tr>
      <w:tr w14:paraId="18664429">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F84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6F7AB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兴石河闸站</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CD71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拦污栅吊装</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A9FF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nil"/>
              <w:right w:val="single" w:color="000000" w:sz="4" w:space="0"/>
            </w:tcBorders>
            <w:shd w:val="clear" w:color="auto" w:fill="FFFFFF" w:themeFill="background1"/>
            <w:vAlign w:val="center"/>
          </w:tcPr>
          <w:p w14:paraId="70B30D8F">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418DAD6E">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C6F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FFEE911">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C99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电动葫芦吊装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276CCFD1">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53CA">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621D9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5056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（含打捞垃圾）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4F2D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nil"/>
              <w:right w:val="single" w:color="000000" w:sz="4" w:space="0"/>
            </w:tcBorders>
            <w:shd w:val="clear" w:color="auto" w:fill="FFFFFF" w:themeFill="background1"/>
            <w:vAlign w:val="center"/>
          </w:tcPr>
          <w:p w14:paraId="45DA8FA3">
            <w:pPr>
              <w:widowControl/>
              <w:jc w:val="center"/>
              <w:rPr>
                <w:rFonts w:hint="eastAsia" w:ascii="宋体" w:hAnsi="宋体" w:cs="宋体"/>
                <w:color w:val="FFFF00"/>
                <w:sz w:val="18"/>
                <w:szCs w:val="18"/>
                <w:highlight w:val="yellow"/>
              </w:rPr>
            </w:pPr>
          </w:p>
        </w:tc>
        <w:tc>
          <w:tcPr>
            <w:tcW w:w="0" w:type="auto"/>
            <w:tcBorders>
              <w:top w:val="nil"/>
              <w:left w:val="single" w:color="000000" w:sz="4" w:space="0"/>
              <w:bottom w:val="nil"/>
              <w:right w:val="single" w:color="000000" w:sz="4" w:space="0"/>
            </w:tcBorders>
            <w:shd w:val="clear" w:color="auto" w:fill="FFFFFF" w:themeFill="background1"/>
            <w:vAlign w:val="center"/>
          </w:tcPr>
          <w:p w14:paraId="1A350826">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478E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A1F2349">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49D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（规格2.85×2.05m）</w:t>
            </w:r>
          </w:p>
        </w:tc>
      </w:tr>
      <w:tr w14:paraId="129A2B41">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A35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FAEF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运料河</w:t>
            </w:r>
          </w:p>
          <w:p w14:paraId="02E5B8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85C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B8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D7E3A">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D3576">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A401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106E4741">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11D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汽车吊装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（规格4.10*3.95m）</w:t>
            </w:r>
          </w:p>
        </w:tc>
      </w:tr>
      <w:tr w14:paraId="379ACF76">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6B58">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2CA8">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7E3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拦污栅清理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（含打捞垃圾）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03A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B9C0F">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8B270">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1EE8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30142A7B">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771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含清洗设备费用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（规格4.10*3.95m）</w:t>
            </w:r>
          </w:p>
        </w:tc>
      </w:tr>
      <w:tr w14:paraId="763B8FC8">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97F6">
            <w:pPr>
              <w:widowControl/>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8A6B">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EC0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汽车吊台班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EAF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5AAE2">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E5F6C">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D5A2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 </w:t>
            </w: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6D550E94">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345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需先起吊钢盖板及水泥盖板</w:t>
            </w:r>
          </w:p>
        </w:tc>
      </w:tr>
      <w:tr w14:paraId="0D6C06E8">
        <w:tblPrEx>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25E42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0769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海港南</w:t>
            </w:r>
          </w:p>
          <w:p w14:paraId="70B556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闸站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5FF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水泵进水池垃圾打捞</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72E618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91B086E">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B79F806">
            <w:pPr>
              <w:widowControl/>
              <w:jc w:val="center"/>
              <w:rPr>
                <w:rFonts w:hint="eastAsia" w:ascii="宋体" w:hAnsi="宋体" w:cs="宋体"/>
                <w:color w:val="FFFF00"/>
                <w:sz w:val="18"/>
                <w:szCs w:val="18"/>
                <w:highlight w:val="yellow"/>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B0575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6 </w:t>
            </w:r>
          </w:p>
        </w:tc>
        <w:tc>
          <w:tcPr>
            <w:tcW w:w="0" w:type="auto"/>
            <w:tcBorders>
              <w:top w:val="nil"/>
              <w:left w:val="single" w:color="000000" w:sz="4" w:space="0"/>
              <w:bottom w:val="single" w:color="auto" w:sz="4" w:space="0"/>
              <w:right w:val="single" w:color="000000" w:sz="4" w:space="0"/>
            </w:tcBorders>
            <w:shd w:val="clear" w:color="auto" w:fill="FFFFFF" w:themeFill="background1"/>
            <w:vAlign w:val="center"/>
          </w:tcPr>
          <w:p w14:paraId="731CF5D1">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980B7">
            <w:pPr>
              <w:widowControl/>
              <w:jc w:val="center"/>
              <w:textAlignment w:val="center"/>
              <w:rPr>
                <w:rFonts w:hint="eastAsia" w:ascii="宋体" w:hAnsi="宋体" w:cs="宋体"/>
                <w:color w:val="000000"/>
                <w:sz w:val="18"/>
                <w:szCs w:val="18"/>
              </w:rPr>
            </w:pPr>
          </w:p>
        </w:tc>
      </w:tr>
      <w:tr w14:paraId="06F4BDCB">
        <w:tblPrEx>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DF8AF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6D6B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幸福河闸站闸门清洗</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C912EA">
            <w:pPr>
              <w:widowControl/>
              <w:jc w:val="center"/>
              <w:rPr>
                <w:rFonts w:hint="eastAsia" w:ascii="宋体" w:hAnsi="宋体" w:cs="宋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E5E3AA">
            <w:pPr>
              <w:widowControl/>
              <w:jc w:val="center"/>
              <w:rPr>
                <w:rFonts w:hint="eastAsia" w:ascii="宋体" w:hAnsi="宋体" w:cs="宋体"/>
                <w:color w:val="000000"/>
                <w:sz w:val="18"/>
                <w:szCs w:val="18"/>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15AF2D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3次</w:t>
            </w:r>
          </w:p>
        </w:tc>
      </w:tr>
      <w:tr w14:paraId="78F4AFFC">
        <w:tblPrEx>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AE306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BC4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水闸、泵站区域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垃圾打捞</w:t>
            </w:r>
          </w:p>
        </w:tc>
        <w:tc>
          <w:tcPr>
            <w:tcW w:w="0" w:type="auto"/>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5D12D42">
            <w:pPr>
              <w:widowControl/>
              <w:jc w:val="center"/>
              <w:rPr>
                <w:rFonts w:hint="eastAsia" w:ascii="宋体" w:hAnsi="宋体" w:cs="宋体"/>
                <w:color w:val="000000"/>
                <w:sz w:val="18"/>
                <w:szCs w:val="18"/>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64D8AC2D">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5B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每次拦污栅清理时</w:t>
            </w:r>
          </w:p>
        </w:tc>
      </w:tr>
      <w:tr w14:paraId="00CD4D3A">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BD2DA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8F4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部分拦污栅变形整修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7C3FD0">
            <w:pPr>
              <w:widowControl/>
              <w:jc w:val="center"/>
              <w:rPr>
                <w:rFonts w:hint="eastAsia" w:ascii="宋体" w:hAnsi="宋体" w:cs="宋体"/>
                <w:color w:val="000000"/>
                <w:sz w:val="18"/>
                <w:szCs w:val="18"/>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2ED73130">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7E2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对各闸站变形的拦污栅进行整修</w:t>
            </w:r>
          </w:p>
        </w:tc>
      </w:tr>
      <w:tr w14:paraId="3B585420">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C7F4D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12D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辅材费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84F0F">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289BF">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372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扎带、铁丝、切割片……</w:t>
            </w:r>
          </w:p>
        </w:tc>
      </w:tr>
      <w:tr w14:paraId="673D1118">
        <w:tblPrEx>
          <w:tblCellMar>
            <w:top w:w="0" w:type="dxa"/>
            <w:left w:w="108" w:type="dxa"/>
            <w:bottom w:w="0" w:type="dxa"/>
            <w:right w:w="108" w:type="dxa"/>
          </w:tblCellMar>
        </w:tblPrEx>
        <w:trPr>
          <w:trHeight w:val="4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C83EA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5B9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垃圾清运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84258">
            <w:pPr>
              <w:widowControl/>
              <w:jc w:val="center"/>
              <w:rPr>
                <w:rFonts w:hint="eastAsia" w:ascii="宋体" w:hAnsi="宋体" w:cs="宋体"/>
                <w:color w:val="000000"/>
                <w:sz w:val="18"/>
                <w:szCs w:val="18"/>
              </w:rPr>
            </w:pPr>
          </w:p>
        </w:tc>
        <w:tc>
          <w:tcPr>
            <w:tcW w:w="0" w:type="auto"/>
            <w:tcBorders>
              <w:top w:val="nil"/>
              <w:left w:val="single" w:color="000000" w:sz="4" w:space="0"/>
              <w:bottom w:val="single" w:color="000000" w:sz="4" w:space="0"/>
              <w:right w:val="single" w:color="000000" w:sz="4" w:space="0"/>
            </w:tcBorders>
            <w:shd w:val="clear" w:color="auto" w:fill="FFFFFF" w:themeFill="background1"/>
            <w:vAlign w:val="center"/>
          </w:tcPr>
          <w:p w14:paraId="00E14C55">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E4828">
            <w:pPr>
              <w:widowControl/>
              <w:jc w:val="center"/>
              <w:rPr>
                <w:rFonts w:hint="eastAsia" w:ascii="宋体" w:hAnsi="宋体" w:cs="宋体"/>
                <w:color w:val="000000"/>
                <w:sz w:val="18"/>
                <w:szCs w:val="18"/>
              </w:rPr>
            </w:pPr>
          </w:p>
        </w:tc>
      </w:tr>
      <w:tr w14:paraId="27ECE888">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AC48F">
            <w:pPr>
              <w:widowControl/>
              <w:jc w:val="center"/>
              <w:rPr>
                <w:rFonts w:hint="eastAsia" w:ascii="宋体" w:hAnsi="宋体" w:cs="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B52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E7EDA">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90FBE">
            <w:pPr>
              <w:widowControl/>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DAFC5B">
            <w:pPr>
              <w:widowControl/>
              <w:rPr>
                <w:rFonts w:hint="eastAsia" w:ascii="宋体" w:hAnsi="宋体" w:cs="宋体"/>
                <w:color w:val="000000"/>
                <w:sz w:val="18"/>
                <w:szCs w:val="18"/>
              </w:rPr>
            </w:pPr>
          </w:p>
        </w:tc>
      </w:tr>
    </w:tbl>
    <w:p w14:paraId="5666C372">
      <w:pPr>
        <w:tabs>
          <w:tab w:val="left" w:pos="360"/>
        </w:tabs>
        <w:spacing w:before="120" w:after="120"/>
        <w:rPr>
          <w:szCs w:val="21"/>
        </w:rPr>
      </w:pPr>
    </w:p>
    <w:p w14:paraId="088A8A65">
      <w:pPr>
        <w:tabs>
          <w:tab w:val="left" w:pos="360"/>
        </w:tabs>
        <w:spacing w:before="120" w:after="120"/>
        <w:rPr>
          <w:szCs w:val="21"/>
        </w:rPr>
      </w:pPr>
      <w:r>
        <w:rPr>
          <w:szCs w:val="21"/>
        </w:rPr>
        <w:t>注：1、投标单位须以招标文件规定的单位填写此表。</w:t>
      </w:r>
    </w:p>
    <w:p w14:paraId="6D721FB6">
      <w:pPr>
        <w:spacing w:line="360" w:lineRule="auto"/>
        <w:ind w:firstLine="420" w:firstLineChars="200"/>
        <w:rPr>
          <w:szCs w:val="21"/>
        </w:rPr>
      </w:pPr>
      <w:r>
        <w:rPr>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完成本项目所需的全部费用。</w:t>
      </w:r>
    </w:p>
    <w:p w14:paraId="54F9F855">
      <w:pPr>
        <w:spacing w:line="360" w:lineRule="auto"/>
        <w:ind w:firstLine="420" w:firstLineChars="200"/>
        <w:rPr>
          <w:szCs w:val="21"/>
        </w:rPr>
      </w:pPr>
      <w:r>
        <w:rPr>
          <w:szCs w:val="21"/>
        </w:rPr>
        <w:t>3、本报价单中的数量、规格仅供参考，具体以现场实际为准。投标单位应该充分考虑多方因素，并综合报价。</w:t>
      </w:r>
    </w:p>
    <w:p w14:paraId="0FE23085">
      <w:pPr>
        <w:spacing w:line="360" w:lineRule="auto"/>
        <w:ind w:firstLine="420" w:firstLineChars="200"/>
        <w:rPr>
          <w:szCs w:val="21"/>
        </w:rPr>
      </w:pPr>
    </w:p>
    <w:p w14:paraId="7EED53C8">
      <w:pPr>
        <w:spacing w:line="360" w:lineRule="auto"/>
        <w:ind w:firstLine="420" w:firstLineChars="200"/>
        <w:rPr>
          <w:szCs w:val="21"/>
        </w:rPr>
      </w:pPr>
      <w:r>
        <w:rPr>
          <w:szCs w:val="21"/>
        </w:rPr>
        <w:t xml:space="preserve">投标人：（盖章）             </w:t>
      </w:r>
    </w:p>
    <w:p w14:paraId="2EEF4F28">
      <w:pPr>
        <w:spacing w:line="360" w:lineRule="auto"/>
        <w:ind w:firstLine="420" w:firstLineChars="200"/>
        <w:rPr>
          <w:szCs w:val="21"/>
        </w:rPr>
      </w:pPr>
      <w:r>
        <w:rPr>
          <w:szCs w:val="21"/>
        </w:rPr>
        <w:t>法人代表人或授权委托人（签字或盖章）：</w:t>
      </w:r>
    </w:p>
    <w:p w14:paraId="210CA498">
      <w:pPr>
        <w:spacing w:line="360" w:lineRule="auto"/>
        <w:ind w:firstLine="420" w:firstLineChars="200"/>
        <w:rPr>
          <w:szCs w:val="21"/>
        </w:rPr>
      </w:pPr>
      <w:r>
        <w:rPr>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39"/>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29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550"/>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1F17"/>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29A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F87ECD"/>
    <w:rsid w:val="030719AC"/>
    <w:rsid w:val="038D0D6B"/>
    <w:rsid w:val="03956F5B"/>
    <w:rsid w:val="03D15850"/>
    <w:rsid w:val="05012546"/>
    <w:rsid w:val="05026CE4"/>
    <w:rsid w:val="054B40C2"/>
    <w:rsid w:val="068D08FD"/>
    <w:rsid w:val="07216BDF"/>
    <w:rsid w:val="075E65F7"/>
    <w:rsid w:val="07B36CA1"/>
    <w:rsid w:val="0957288F"/>
    <w:rsid w:val="0A1F7DCE"/>
    <w:rsid w:val="0B8C2CA8"/>
    <w:rsid w:val="0BE67BA2"/>
    <w:rsid w:val="0C0A5102"/>
    <w:rsid w:val="0C1A29D4"/>
    <w:rsid w:val="0C330985"/>
    <w:rsid w:val="0CFE11E3"/>
    <w:rsid w:val="0D660111"/>
    <w:rsid w:val="0DBE6A47"/>
    <w:rsid w:val="0DDE4FD5"/>
    <w:rsid w:val="0F514856"/>
    <w:rsid w:val="0F8B53FA"/>
    <w:rsid w:val="0FAB4284"/>
    <w:rsid w:val="0FDF136D"/>
    <w:rsid w:val="10A75CE3"/>
    <w:rsid w:val="110A13C2"/>
    <w:rsid w:val="123F43C4"/>
    <w:rsid w:val="130C6ECC"/>
    <w:rsid w:val="135062A3"/>
    <w:rsid w:val="140C50F1"/>
    <w:rsid w:val="14707BEA"/>
    <w:rsid w:val="15693843"/>
    <w:rsid w:val="15E0477C"/>
    <w:rsid w:val="15E05662"/>
    <w:rsid w:val="16420911"/>
    <w:rsid w:val="17635478"/>
    <w:rsid w:val="18025199"/>
    <w:rsid w:val="19000EE7"/>
    <w:rsid w:val="19B3285C"/>
    <w:rsid w:val="1A23669C"/>
    <w:rsid w:val="1A9F35BF"/>
    <w:rsid w:val="1AB37C03"/>
    <w:rsid w:val="1AE71067"/>
    <w:rsid w:val="1AFD0636"/>
    <w:rsid w:val="1C306ADB"/>
    <w:rsid w:val="1C3E6355"/>
    <w:rsid w:val="1CB66FBE"/>
    <w:rsid w:val="1D1C2B92"/>
    <w:rsid w:val="1D40128F"/>
    <w:rsid w:val="1E2D4852"/>
    <w:rsid w:val="1F5C08B6"/>
    <w:rsid w:val="1FBB5020"/>
    <w:rsid w:val="1FED554B"/>
    <w:rsid w:val="20CA314D"/>
    <w:rsid w:val="21613890"/>
    <w:rsid w:val="227F28BE"/>
    <w:rsid w:val="23D135AE"/>
    <w:rsid w:val="23FA4F02"/>
    <w:rsid w:val="2478182F"/>
    <w:rsid w:val="25AE1EED"/>
    <w:rsid w:val="27070CA1"/>
    <w:rsid w:val="273B4DEE"/>
    <w:rsid w:val="28E004DD"/>
    <w:rsid w:val="2AE71DF0"/>
    <w:rsid w:val="2AF754A8"/>
    <w:rsid w:val="2B2C5229"/>
    <w:rsid w:val="2B88437A"/>
    <w:rsid w:val="2BB05D69"/>
    <w:rsid w:val="2C850C8E"/>
    <w:rsid w:val="2D9C66B6"/>
    <w:rsid w:val="2DA507D9"/>
    <w:rsid w:val="2DA65ED7"/>
    <w:rsid w:val="2E544642"/>
    <w:rsid w:val="2E9F7664"/>
    <w:rsid w:val="2EC762B1"/>
    <w:rsid w:val="2F3414E1"/>
    <w:rsid w:val="2F4405B8"/>
    <w:rsid w:val="30405223"/>
    <w:rsid w:val="30637C21"/>
    <w:rsid w:val="306D2EB9"/>
    <w:rsid w:val="30A805E4"/>
    <w:rsid w:val="315F792B"/>
    <w:rsid w:val="324844D9"/>
    <w:rsid w:val="336370F4"/>
    <w:rsid w:val="34AF16F9"/>
    <w:rsid w:val="35A869C4"/>
    <w:rsid w:val="36430903"/>
    <w:rsid w:val="36DA1356"/>
    <w:rsid w:val="36E66D5D"/>
    <w:rsid w:val="37974E66"/>
    <w:rsid w:val="37B8555F"/>
    <w:rsid w:val="38706120"/>
    <w:rsid w:val="389B1F7E"/>
    <w:rsid w:val="3B0E664A"/>
    <w:rsid w:val="3C425ABB"/>
    <w:rsid w:val="3CC93620"/>
    <w:rsid w:val="3DAF46AA"/>
    <w:rsid w:val="3E4660FB"/>
    <w:rsid w:val="3E9A1FF5"/>
    <w:rsid w:val="3F1838D2"/>
    <w:rsid w:val="3F670A92"/>
    <w:rsid w:val="3F7B51F3"/>
    <w:rsid w:val="3FF67A98"/>
    <w:rsid w:val="403155FC"/>
    <w:rsid w:val="408B6047"/>
    <w:rsid w:val="40F279CF"/>
    <w:rsid w:val="41035E8D"/>
    <w:rsid w:val="411A73CB"/>
    <w:rsid w:val="412F2A52"/>
    <w:rsid w:val="41570770"/>
    <w:rsid w:val="4263317B"/>
    <w:rsid w:val="428C42F8"/>
    <w:rsid w:val="42B05C5D"/>
    <w:rsid w:val="433412FC"/>
    <w:rsid w:val="45667082"/>
    <w:rsid w:val="471C535D"/>
    <w:rsid w:val="47796812"/>
    <w:rsid w:val="489C0A04"/>
    <w:rsid w:val="48C55374"/>
    <w:rsid w:val="48E9484C"/>
    <w:rsid w:val="49131DA9"/>
    <w:rsid w:val="4B1C1647"/>
    <w:rsid w:val="4B67093E"/>
    <w:rsid w:val="4C3B0AE9"/>
    <w:rsid w:val="4C5668F1"/>
    <w:rsid w:val="4D48603C"/>
    <w:rsid w:val="4DEF40B9"/>
    <w:rsid w:val="4EE72FE2"/>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334770E"/>
    <w:rsid w:val="53387A29"/>
    <w:rsid w:val="542568E4"/>
    <w:rsid w:val="54567829"/>
    <w:rsid w:val="549F610D"/>
    <w:rsid w:val="54AC7A3E"/>
    <w:rsid w:val="54B72B11"/>
    <w:rsid w:val="563B1615"/>
    <w:rsid w:val="565A4986"/>
    <w:rsid w:val="571C3A45"/>
    <w:rsid w:val="571E033B"/>
    <w:rsid w:val="57922BF7"/>
    <w:rsid w:val="57C210E9"/>
    <w:rsid w:val="57CE2ADE"/>
    <w:rsid w:val="58533496"/>
    <w:rsid w:val="5ABD648A"/>
    <w:rsid w:val="5B8A2B56"/>
    <w:rsid w:val="5B993B5A"/>
    <w:rsid w:val="5BBC57A2"/>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6F08D1"/>
    <w:rsid w:val="63BE035D"/>
    <w:rsid w:val="65267312"/>
    <w:rsid w:val="65706CA1"/>
    <w:rsid w:val="65B14228"/>
    <w:rsid w:val="66715E2F"/>
    <w:rsid w:val="66F15730"/>
    <w:rsid w:val="68607D2C"/>
    <w:rsid w:val="686D2721"/>
    <w:rsid w:val="68D206B8"/>
    <w:rsid w:val="69397975"/>
    <w:rsid w:val="6A8A4858"/>
    <w:rsid w:val="6AC702A4"/>
    <w:rsid w:val="6C7A2348"/>
    <w:rsid w:val="6C92239E"/>
    <w:rsid w:val="6D336AB4"/>
    <w:rsid w:val="6D4D2752"/>
    <w:rsid w:val="6D504D47"/>
    <w:rsid w:val="6EC637A1"/>
    <w:rsid w:val="6F585FB4"/>
    <w:rsid w:val="6FE53E37"/>
    <w:rsid w:val="707263E0"/>
    <w:rsid w:val="708C17E3"/>
    <w:rsid w:val="70DB6854"/>
    <w:rsid w:val="71494FDF"/>
    <w:rsid w:val="718933E0"/>
    <w:rsid w:val="71D81A2A"/>
    <w:rsid w:val="72721ECF"/>
    <w:rsid w:val="72E72D01"/>
    <w:rsid w:val="73661E78"/>
    <w:rsid w:val="73C206D1"/>
    <w:rsid w:val="765A16D8"/>
    <w:rsid w:val="76A37DCC"/>
    <w:rsid w:val="770F4B00"/>
    <w:rsid w:val="77BB3E94"/>
    <w:rsid w:val="78006396"/>
    <w:rsid w:val="786B1CDE"/>
    <w:rsid w:val="78F10034"/>
    <w:rsid w:val="792331BB"/>
    <w:rsid w:val="795D1F6F"/>
    <w:rsid w:val="79A94DE0"/>
    <w:rsid w:val="7A012F9D"/>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5"/>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9">
    <w:name w:val="heading 7"/>
    <w:basedOn w:val="1"/>
    <w:next w:val="1"/>
    <w:link w:val="85"/>
    <w:qFormat/>
    <w:uiPriority w:val="0"/>
    <w:pPr>
      <w:keepNext/>
      <w:keepLines/>
      <w:spacing w:line="360" w:lineRule="auto"/>
      <w:ind w:left="425" w:hanging="425"/>
      <w:outlineLvl w:val="6"/>
    </w:pPr>
    <w:rPr>
      <w:b/>
      <w:bCs/>
      <w:sz w:val="24"/>
    </w:rPr>
  </w:style>
  <w:style w:type="paragraph" w:styleId="10">
    <w:name w:val="heading 8"/>
    <w:basedOn w:val="1"/>
    <w:next w:val="1"/>
    <w:link w:val="86"/>
    <w:qFormat/>
    <w:uiPriority w:val="0"/>
    <w:pPr>
      <w:keepNext/>
      <w:keepLines/>
      <w:spacing w:line="360" w:lineRule="auto"/>
      <w:ind w:left="425" w:hanging="425"/>
      <w:outlineLvl w:val="7"/>
    </w:pPr>
    <w:rPr>
      <w:b/>
      <w:sz w:val="24"/>
    </w:rPr>
  </w:style>
  <w:style w:type="paragraph" w:styleId="11">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3"/>
    <w:unhideWhenUsed/>
    <w:qFormat/>
    <w:uiPriority w:val="0"/>
    <w:pPr>
      <w:spacing w:after="120"/>
      <w:ind w:left="420" w:leftChars="200"/>
    </w:pPr>
    <w:rPr>
      <w:kern w:val="0"/>
      <w:sz w:val="20"/>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4">
    <w:name w:val="index 8"/>
    <w:basedOn w:val="1"/>
    <w:next w:val="1"/>
    <w:unhideWhenUsed/>
    <w:qFormat/>
    <w:uiPriority w:val="0"/>
    <w:pPr>
      <w:ind w:left="1400" w:leftChars="1400"/>
    </w:pPr>
    <w:rPr>
      <w:rFonts w:ascii="Calibri" w:hAnsi="Calibri"/>
      <w:szCs w:val="22"/>
    </w:rPr>
  </w:style>
  <w:style w:type="paragraph" w:styleId="15">
    <w:name w:val="List Number"/>
    <w:basedOn w:val="1"/>
    <w:unhideWhenUsed/>
    <w:qFormat/>
    <w:uiPriority w:val="0"/>
    <w:pPr>
      <w:tabs>
        <w:tab w:val="left" w:pos="0"/>
        <w:tab w:val="left" w:pos="840"/>
      </w:tabs>
      <w:spacing w:line="360" w:lineRule="auto"/>
    </w:pPr>
    <w:rPr>
      <w:rFonts w:ascii="Calibri" w:hAnsi="Calibri"/>
      <w:szCs w:val="22"/>
    </w:rPr>
  </w:style>
  <w:style w:type="paragraph" w:styleId="16">
    <w:name w:val="Normal Indent"/>
    <w:basedOn w:val="1"/>
    <w:link w:val="88"/>
    <w:unhideWhenUsed/>
    <w:qFormat/>
    <w:uiPriority w:val="0"/>
    <w:pPr>
      <w:ind w:firstLine="420" w:firstLineChars="200"/>
    </w:pPr>
    <w:rPr>
      <w:kern w:val="0"/>
      <w:sz w:val="20"/>
    </w:rPr>
  </w:style>
  <w:style w:type="paragraph" w:styleId="17">
    <w:name w:val="caption"/>
    <w:basedOn w:val="1"/>
    <w:next w:val="1"/>
    <w:link w:val="89"/>
    <w:qFormat/>
    <w:uiPriority w:val="0"/>
    <w:pPr>
      <w:spacing w:beforeLines="50" w:afterLines="50" w:line="360" w:lineRule="auto"/>
      <w:jc w:val="center"/>
    </w:pPr>
    <w:rPr>
      <w:rFonts w:ascii="Arial" w:hAnsi="Arial"/>
      <w:sz w:val="24"/>
      <w:szCs w:val="20"/>
    </w:rPr>
  </w:style>
  <w:style w:type="paragraph" w:styleId="18">
    <w:name w:val="index 5"/>
    <w:basedOn w:val="1"/>
    <w:next w:val="1"/>
    <w:unhideWhenUsed/>
    <w:qFormat/>
    <w:uiPriority w:val="0"/>
    <w:pPr>
      <w:ind w:left="800" w:leftChars="800"/>
    </w:pPr>
    <w:rPr>
      <w:rFonts w:ascii="Calibri" w:hAnsi="Calibri"/>
      <w:szCs w:val="22"/>
    </w:rPr>
  </w:style>
  <w:style w:type="paragraph" w:styleId="19">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0">
    <w:name w:val="Document Map"/>
    <w:basedOn w:val="1"/>
    <w:link w:val="90"/>
    <w:qFormat/>
    <w:uiPriority w:val="99"/>
    <w:pPr>
      <w:shd w:val="clear" w:color="auto" w:fill="000080"/>
    </w:pPr>
  </w:style>
  <w:style w:type="paragraph" w:styleId="21">
    <w:name w:val="annotation text"/>
    <w:basedOn w:val="1"/>
    <w:link w:val="91"/>
    <w:unhideWhenUsed/>
    <w:qFormat/>
    <w:uiPriority w:val="99"/>
    <w:pPr>
      <w:jc w:val="left"/>
    </w:pPr>
  </w:style>
  <w:style w:type="paragraph" w:styleId="22">
    <w:name w:val="index 6"/>
    <w:basedOn w:val="1"/>
    <w:next w:val="1"/>
    <w:unhideWhenUsed/>
    <w:qFormat/>
    <w:uiPriority w:val="0"/>
    <w:pPr>
      <w:ind w:left="1000" w:leftChars="1000"/>
    </w:pPr>
    <w:rPr>
      <w:rFonts w:ascii="Calibri" w:hAnsi="Calibri"/>
      <w:szCs w:val="22"/>
    </w:rPr>
  </w:style>
  <w:style w:type="paragraph" w:styleId="23">
    <w:name w:val="Body Text 3"/>
    <w:basedOn w:val="1"/>
    <w:link w:val="92"/>
    <w:qFormat/>
    <w:uiPriority w:val="0"/>
    <w:rPr>
      <w:rFonts w:ascii="楷体_GB2312" w:hAnsi="Arial" w:eastAsia="楷体_GB2312"/>
      <w:b/>
      <w:bCs/>
      <w:color w:val="000000"/>
      <w:sz w:val="24"/>
    </w:rPr>
  </w:style>
  <w:style w:type="paragraph" w:styleId="24">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5">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1"/>
    <w:next w:val="21"/>
    <w:link w:val="107"/>
    <w:unhideWhenUsed/>
    <w:qFormat/>
    <w:uiPriority w:val="99"/>
    <w:rPr>
      <w:b/>
      <w:bCs/>
    </w:rPr>
  </w:style>
  <w:style w:type="paragraph" w:styleId="60">
    <w:name w:val="Body Text First Indent"/>
    <w:basedOn w:val="25"/>
    <w:link w:val="78"/>
    <w:qFormat/>
    <w:uiPriority w:val="0"/>
    <w:pPr>
      <w:ind w:firstLine="420" w:firstLineChars="100"/>
    </w:pPr>
  </w:style>
  <w:style w:type="paragraph" w:styleId="61">
    <w:name w:val="Body Text First Indent 2"/>
    <w:basedOn w:val="2"/>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5"/>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标题 2 字符"/>
    <w:qFormat/>
    <w:uiPriority w:val="0"/>
    <w:rPr>
      <w:rFonts w:ascii="Cambria" w:hAnsi="Cambria" w:eastAsia="宋体" w:cs="黑体"/>
      <w:b/>
      <w:bCs/>
      <w:sz w:val="32"/>
      <w:szCs w:val="32"/>
    </w:rPr>
  </w:style>
  <w:style w:type="character" w:customStyle="1" w:styleId="81">
    <w:name w:val="标题 3 字符"/>
    <w:link w:val="5"/>
    <w:qFormat/>
    <w:uiPriority w:val="0"/>
    <w:rPr>
      <w:rFonts w:ascii="Times New Roman" w:hAnsi="Times New Roman" w:eastAsia="宋体" w:cs="Times New Roman"/>
      <w:b/>
      <w:bCs/>
      <w:sz w:val="32"/>
      <w:szCs w:val="32"/>
    </w:rPr>
  </w:style>
  <w:style w:type="character" w:customStyle="1" w:styleId="82">
    <w:name w:val="标题 4 字符"/>
    <w:link w:val="6"/>
    <w:qFormat/>
    <w:uiPriority w:val="0"/>
    <w:rPr>
      <w:rFonts w:ascii="Cambria" w:hAnsi="Cambria" w:eastAsia="宋体" w:cs="黑体"/>
      <w:b/>
      <w:bCs/>
      <w:sz w:val="28"/>
      <w:szCs w:val="28"/>
    </w:rPr>
  </w:style>
  <w:style w:type="character" w:customStyle="1" w:styleId="83">
    <w:name w:val="标题 5 字符"/>
    <w:link w:val="7"/>
    <w:qFormat/>
    <w:uiPriority w:val="0"/>
    <w:rPr>
      <w:rFonts w:ascii="Times New Roman" w:hAnsi="Times New Roman" w:eastAsia="宋体" w:cs="Times New Roman"/>
      <w:b/>
      <w:bCs/>
      <w:sz w:val="28"/>
      <w:szCs w:val="28"/>
    </w:rPr>
  </w:style>
  <w:style w:type="character" w:customStyle="1" w:styleId="84">
    <w:name w:val="标题 6 字符"/>
    <w:link w:val="8"/>
    <w:qFormat/>
    <w:uiPriority w:val="0"/>
    <w:rPr>
      <w:rFonts w:ascii="Cambria" w:hAnsi="Cambria" w:eastAsia="宋体" w:cs="黑体"/>
      <w:b/>
      <w:bCs/>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b/>
      <w:kern w:val="2"/>
      <w:sz w:val="24"/>
      <w:szCs w:val="24"/>
    </w:rPr>
  </w:style>
  <w:style w:type="character" w:customStyle="1" w:styleId="87">
    <w:name w:val="标题 9 字符"/>
    <w:link w:val="11"/>
    <w:qFormat/>
    <w:uiPriority w:val="0"/>
    <w:rPr>
      <w:rFonts w:ascii="仿宋_GB2312" w:hAnsi="Calibri" w:eastAsia="仿宋_GB2312"/>
      <w:kern w:val="2"/>
      <w:sz w:val="32"/>
      <w:szCs w:val="22"/>
    </w:rPr>
  </w:style>
  <w:style w:type="character" w:customStyle="1" w:styleId="88">
    <w:name w:val="正文缩进 字符"/>
    <w:link w:val="16"/>
    <w:qFormat/>
    <w:locked/>
    <w:uiPriority w:val="0"/>
    <w:rPr>
      <w:szCs w:val="24"/>
    </w:rPr>
  </w:style>
  <w:style w:type="character" w:customStyle="1" w:styleId="89">
    <w:name w:val="题注 字符"/>
    <w:link w:val="17"/>
    <w:qFormat/>
    <w:locked/>
    <w:uiPriority w:val="0"/>
    <w:rPr>
      <w:rFonts w:ascii="Arial" w:hAnsi="Arial" w:cs="Arial"/>
      <w:kern w:val="2"/>
      <w:sz w:val="24"/>
    </w:rPr>
  </w:style>
  <w:style w:type="character" w:customStyle="1" w:styleId="90">
    <w:name w:val="文档结构图 字符"/>
    <w:link w:val="20"/>
    <w:qFormat/>
    <w:uiPriority w:val="99"/>
    <w:rPr>
      <w:kern w:val="2"/>
      <w:sz w:val="21"/>
      <w:szCs w:val="24"/>
      <w:shd w:val="clear" w:color="auto" w:fill="000080"/>
    </w:rPr>
  </w:style>
  <w:style w:type="character" w:customStyle="1" w:styleId="91">
    <w:name w:val="批注文字 字符"/>
    <w:link w:val="21"/>
    <w:qFormat/>
    <w:uiPriority w:val="99"/>
    <w:rPr>
      <w:kern w:val="2"/>
      <w:sz w:val="21"/>
      <w:szCs w:val="24"/>
    </w:rPr>
  </w:style>
  <w:style w:type="character" w:customStyle="1" w:styleId="92">
    <w:name w:val="正文文本 3 字符1"/>
    <w:link w:val="23"/>
    <w:qFormat/>
    <w:uiPriority w:val="0"/>
    <w:rPr>
      <w:rFonts w:ascii="楷体_GB2312" w:hAnsi="Arial" w:eastAsia="楷体_GB2312" w:cs="Arial"/>
      <w:b/>
      <w:bCs/>
      <w:color w:val="000000"/>
      <w:kern w:val="2"/>
      <w:sz w:val="24"/>
      <w:szCs w:val="24"/>
    </w:rPr>
  </w:style>
  <w:style w:type="character" w:customStyle="1" w:styleId="93">
    <w:name w:val="正文文本缩进 字符"/>
    <w:link w:val="2"/>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3"/>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6"/>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4"/>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20"/>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3"/>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5"/>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0"/>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3"/>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7"/>
    <w:next w:val="16"/>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3"/>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7"/>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3"/>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5"/>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5"/>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20"/>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6"/>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0"/>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0"/>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7"/>
    <w:next w:val="25"/>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5"/>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4"/>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3"/>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6"/>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5"/>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4"/>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3"/>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3"/>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link w:val="4"/>
    <w:autoRedefine/>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40</Pages>
  <Words>7975</Words>
  <Characters>8067</Characters>
  <Lines>144</Lines>
  <Paragraphs>40</Paragraphs>
  <TotalTime>7</TotalTime>
  <ScaleCrop>false</ScaleCrop>
  <LinksUpToDate>false</LinksUpToDate>
  <CharactersWithSpaces>8141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2025-02-11T02:07:00Z</cp:lastPrinted>
  <dcterms:modified xsi:type="dcterms:W3CDTF">2025-03-20T06:43:40Z</dcterms:modified>
  <dc:title>港闸区人民法院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