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auto"/>
          <w:sz w:val="44"/>
          <w:szCs w:val="44"/>
          <w:highlight w:val="none"/>
        </w:rPr>
      </w:pPr>
    </w:p>
    <w:p>
      <w:pPr>
        <w:spacing w:line="360" w:lineRule="auto"/>
        <w:jc w:val="center"/>
        <w:rPr>
          <w:rFonts w:ascii="宋体" w:hAnsi="宋体"/>
          <w:color w:val="auto"/>
          <w:w w:val="90"/>
          <w:kern w:val="0"/>
          <w:sz w:val="48"/>
          <w:szCs w:val="48"/>
          <w:highlight w:val="none"/>
        </w:rPr>
      </w:pPr>
    </w:p>
    <w:p>
      <w:pPr>
        <w:spacing w:line="360" w:lineRule="auto"/>
        <w:jc w:val="center"/>
        <w:rPr>
          <w:rFonts w:ascii="宋体" w:hAnsi="宋体"/>
          <w:b/>
          <w:bCs/>
          <w:color w:val="auto"/>
          <w:w w:val="90"/>
          <w:kern w:val="0"/>
          <w:sz w:val="48"/>
          <w:szCs w:val="48"/>
          <w:highlight w:val="none"/>
        </w:rPr>
      </w:pPr>
      <w:r>
        <w:rPr>
          <w:rFonts w:hint="eastAsia" w:ascii="宋体" w:hAnsi="宋体"/>
          <w:b/>
          <w:bCs/>
          <w:color w:val="auto"/>
          <w:w w:val="90"/>
          <w:kern w:val="0"/>
          <w:sz w:val="48"/>
          <w:szCs w:val="48"/>
          <w:highlight w:val="none"/>
        </w:rPr>
        <w:t>2024年度通吕运河水利枢纽工程观测项目</w:t>
      </w:r>
    </w:p>
    <w:p>
      <w:pPr>
        <w:spacing w:line="360" w:lineRule="auto"/>
        <w:jc w:val="center"/>
        <w:rPr>
          <w:rFonts w:ascii="宋体" w:hAnsi="宋体" w:cs="宋体"/>
          <w:b/>
          <w:color w:val="auto"/>
          <w:sz w:val="72"/>
          <w:szCs w:val="72"/>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rFonts w:ascii="宋体"/>
          <w:color w:val="auto"/>
          <w:highlight w:val="none"/>
        </w:rPr>
      </w:pPr>
    </w:p>
    <w:p>
      <w:pPr>
        <w:spacing w:line="360" w:lineRule="auto"/>
        <w:jc w:val="center"/>
        <w:rPr>
          <w:rFonts w:ascii="宋体" w:hAnsi="宋体" w:cs="宋体"/>
          <w:b/>
          <w:color w:val="auto"/>
          <w:sz w:val="96"/>
          <w:szCs w:val="96"/>
          <w:highlight w:val="none"/>
        </w:rPr>
      </w:pPr>
      <w:r>
        <w:rPr>
          <w:rFonts w:hint="eastAsia" w:ascii="宋体" w:hAnsi="宋体" w:cs="宋体"/>
          <w:b/>
          <w:color w:val="auto"/>
          <w:sz w:val="72"/>
          <w:szCs w:val="72"/>
          <w:highlight w:val="none"/>
        </w:rPr>
        <w:t>公开招标文件</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（资格后审）</w:t>
      </w:r>
    </w:p>
    <w:p>
      <w:pPr>
        <w:spacing w:line="360" w:lineRule="auto"/>
        <w:jc w:val="center"/>
        <w:rPr>
          <w:rFonts w:ascii="宋体" w:hAnsi="宋体"/>
          <w:color w:val="auto"/>
          <w:sz w:val="28"/>
          <w:szCs w:val="21"/>
          <w:highlight w:val="none"/>
        </w:rPr>
      </w:pPr>
    </w:p>
    <w:p>
      <w:pPr>
        <w:spacing w:line="360" w:lineRule="auto"/>
        <w:jc w:val="center"/>
        <w:rPr>
          <w:rFonts w:ascii="宋体" w:hAnsi="宋体"/>
          <w:b/>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rFonts w:ascii="宋体" w:hAnsi="宋体"/>
          <w:b/>
          <w:bCs/>
          <w:color w:val="auto"/>
          <w:sz w:val="36"/>
          <w:szCs w:val="36"/>
          <w:highlight w:val="none"/>
        </w:rPr>
      </w:pPr>
    </w:p>
    <w:p>
      <w:pPr>
        <w:spacing w:line="360" w:lineRule="auto"/>
        <w:jc w:val="center"/>
        <w:rPr>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ind w:firstLine="964" w:firstLineChars="200"/>
        <w:rPr>
          <w:rFonts w:ascii="宋体" w:hAnsi="宋体"/>
          <w:b/>
          <w:color w:val="auto"/>
          <w:sz w:val="32"/>
          <w:szCs w:val="32"/>
          <w:highlight w:val="none"/>
        </w:rPr>
      </w:pPr>
      <w:bookmarkStart w:id="0" w:name="_Toc312608845"/>
      <w:bookmarkStart w:id="1" w:name="_Toc241913651"/>
      <w:bookmarkStart w:id="2" w:name="_Toc257275442"/>
      <w:r>
        <w:rPr>
          <w:rFonts w:hint="eastAsia" w:ascii="宋体" w:hAnsi="宋体"/>
          <w:b/>
          <w:color w:val="auto"/>
          <w:spacing w:val="81"/>
          <w:kern w:val="0"/>
          <w:sz w:val="32"/>
          <w:szCs w:val="32"/>
          <w:highlight w:val="none"/>
          <w:fitText w:val="1284" w:id="-1688883709"/>
        </w:rPr>
        <w:t>采购</w:t>
      </w:r>
      <w:r>
        <w:rPr>
          <w:rFonts w:hint="eastAsia" w:ascii="宋体" w:hAnsi="宋体"/>
          <w:b/>
          <w:color w:val="auto"/>
          <w:spacing w:val="0"/>
          <w:kern w:val="0"/>
          <w:sz w:val="32"/>
          <w:szCs w:val="32"/>
          <w:highlight w:val="none"/>
          <w:fitText w:val="1284" w:id="-1688883709"/>
        </w:rPr>
        <w:t>人</w:t>
      </w:r>
      <w:r>
        <w:rPr>
          <w:rFonts w:hint="eastAsia" w:ascii="宋体" w:hAnsi="宋体"/>
          <w:b/>
          <w:color w:val="auto"/>
          <w:sz w:val="32"/>
          <w:szCs w:val="32"/>
          <w:highlight w:val="none"/>
        </w:rPr>
        <w:t>：</w:t>
      </w:r>
      <w:r>
        <w:rPr>
          <w:rFonts w:hint="eastAsia" w:ascii="宋体" w:hAnsi="宋体"/>
          <w:b/>
          <w:color w:val="auto"/>
          <w:kern w:val="0"/>
          <w:sz w:val="32"/>
          <w:szCs w:val="32"/>
          <w:highlight w:val="none"/>
        </w:rPr>
        <w:t>南通市通吕运河水利工程管理所</w:t>
      </w:r>
    </w:p>
    <w:p>
      <w:pPr>
        <w:spacing w:line="360" w:lineRule="auto"/>
        <w:ind w:firstLine="960" w:firstLineChars="300"/>
        <w:rPr>
          <w:rFonts w:ascii="宋体" w:hAnsi="宋体"/>
          <w:b/>
          <w:color w:val="auto"/>
          <w:sz w:val="32"/>
          <w:szCs w:val="32"/>
          <w:highlight w:val="none"/>
        </w:rPr>
      </w:pPr>
      <w:r>
        <w:rPr>
          <w:rFonts w:hint="eastAsia" w:ascii="宋体" w:hAnsi="宋体"/>
          <w:b/>
          <w:color w:val="auto"/>
          <w:sz w:val="32"/>
          <w:szCs w:val="32"/>
          <w:highlight w:val="none"/>
        </w:rPr>
        <w:t>代理单位：南通通城建设工程项目管理有限公司</w:t>
      </w:r>
    </w:p>
    <w:p>
      <w:pPr>
        <w:spacing w:line="360" w:lineRule="auto"/>
        <w:ind w:firstLine="1928" w:firstLineChars="200"/>
        <w:rPr>
          <w:rFonts w:ascii="宋体" w:hAnsi="宋体"/>
          <w:b/>
          <w:color w:val="auto"/>
          <w:sz w:val="32"/>
          <w:szCs w:val="32"/>
          <w:highlight w:val="none"/>
        </w:rPr>
      </w:pPr>
      <w:r>
        <w:rPr>
          <w:rFonts w:hint="eastAsia" w:ascii="宋体" w:hAnsi="宋体"/>
          <w:b/>
          <w:color w:val="auto"/>
          <w:spacing w:val="322"/>
          <w:kern w:val="0"/>
          <w:sz w:val="32"/>
          <w:szCs w:val="32"/>
          <w:highlight w:val="none"/>
          <w:fitText w:val="1284" w:id="-1688883707"/>
        </w:rPr>
        <w:t>日</w:t>
      </w:r>
      <w:r>
        <w:rPr>
          <w:rFonts w:hint="eastAsia" w:ascii="宋体" w:hAnsi="宋体"/>
          <w:b/>
          <w:color w:val="auto"/>
          <w:spacing w:val="0"/>
          <w:kern w:val="0"/>
          <w:sz w:val="32"/>
          <w:szCs w:val="32"/>
          <w:highlight w:val="none"/>
          <w:fitText w:val="1284" w:id="-1688883707"/>
        </w:rPr>
        <w:t>期</w:t>
      </w: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1</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日</w:t>
      </w:r>
    </w:p>
    <w:p>
      <w:pPr>
        <w:pStyle w:val="62"/>
        <w:rPr>
          <w:color w:val="auto"/>
          <w:szCs w:val="28"/>
          <w:highlight w:val="none"/>
        </w:rPr>
      </w:pPr>
      <w:r>
        <w:rPr>
          <w:color w:val="auto"/>
          <w:highlight w:val="none"/>
        </w:rPr>
        <w:br w:type="page"/>
      </w:r>
      <w:bookmarkEnd w:id="0"/>
      <w:bookmarkEnd w:id="1"/>
      <w:bookmarkEnd w:id="2"/>
    </w:p>
    <w:p>
      <w:pPr>
        <w:spacing w:line="360" w:lineRule="auto"/>
        <w:jc w:val="center"/>
        <w:rPr>
          <w:rFonts w:ascii="宋体" w:hAnsi="宋体"/>
          <w:b/>
          <w:color w:val="auto"/>
          <w:sz w:val="44"/>
          <w:szCs w:val="44"/>
          <w:highlight w:val="none"/>
        </w:rPr>
      </w:pPr>
      <w:r>
        <w:rPr>
          <w:rFonts w:ascii="宋体" w:hAnsi="宋体"/>
          <w:b/>
          <w:color w:val="auto"/>
          <w:sz w:val="44"/>
          <w:szCs w:val="44"/>
          <w:highlight w:val="none"/>
        </w:rPr>
        <w:t>目      录</w:t>
      </w:r>
    </w:p>
    <w:p>
      <w:pPr>
        <w:spacing w:line="360" w:lineRule="auto"/>
        <w:jc w:val="center"/>
        <w:rPr>
          <w:rFonts w:ascii="宋体" w:hAnsi="宋体"/>
          <w:b/>
          <w:color w:val="auto"/>
          <w:sz w:val="28"/>
          <w:szCs w:val="28"/>
          <w:highlight w:val="none"/>
        </w:rPr>
      </w:pPr>
    </w:p>
    <w:p>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第一章  招标公告</w:t>
      </w:r>
    </w:p>
    <w:p>
      <w:pPr>
        <w:tabs>
          <w:tab w:val="left" w:pos="7740"/>
        </w:tabs>
        <w:spacing w:line="360" w:lineRule="auto"/>
        <w:rPr>
          <w:rFonts w:ascii="宋体" w:hAnsi="宋体"/>
          <w:b/>
          <w:color w:val="auto"/>
          <w:sz w:val="28"/>
          <w:szCs w:val="28"/>
          <w:highlight w:val="none"/>
        </w:rPr>
      </w:pPr>
    </w:p>
    <w:p>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第二章  投标人须知</w:t>
      </w:r>
    </w:p>
    <w:p>
      <w:pPr>
        <w:spacing w:line="360" w:lineRule="auto"/>
        <w:rPr>
          <w:rFonts w:ascii="宋体" w:hAnsi="宋体"/>
          <w:b/>
          <w:color w:val="auto"/>
          <w:sz w:val="28"/>
          <w:szCs w:val="28"/>
          <w:highlight w:val="none"/>
        </w:rPr>
      </w:pPr>
    </w:p>
    <w:p>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第三章  项目需求</w:t>
      </w:r>
    </w:p>
    <w:p>
      <w:pPr>
        <w:pStyle w:val="27"/>
        <w:tabs>
          <w:tab w:val="left" w:pos="7740"/>
          <w:tab w:val="left" w:pos="7920"/>
        </w:tabs>
        <w:spacing w:line="360" w:lineRule="auto"/>
        <w:ind w:left="0" w:leftChars="0"/>
        <w:rPr>
          <w:rFonts w:ascii="宋体" w:hAnsi="宋体"/>
          <w:b/>
          <w:color w:val="auto"/>
          <w:sz w:val="28"/>
          <w:szCs w:val="28"/>
          <w:highlight w:val="none"/>
        </w:rPr>
      </w:pPr>
    </w:p>
    <w:p>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 xml:space="preserve">第四章  </w:t>
      </w:r>
      <w:r>
        <w:rPr>
          <w:rFonts w:ascii="宋体" w:hAnsi="宋体"/>
          <w:b/>
          <w:bCs/>
          <w:color w:val="auto"/>
          <w:sz w:val="28"/>
          <w:szCs w:val="28"/>
          <w:highlight w:val="none"/>
        </w:rPr>
        <w:t>评审方法和程序</w:t>
      </w:r>
    </w:p>
    <w:p>
      <w:pPr>
        <w:spacing w:line="360" w:lineRule="auto"/>
        <w:rPr>
          <w:rFonts w:ascii="宋体" w:hAnsi="宋体"/>
          <w:b/>
          <w:color w:val="auto"/>
          <w:sz w:val="28"/>
          <w:szCs w:val="28"/>
          <w:highlight w:val="none"/>
        </w:rPr>
      </w:pPr>
    </w:p>
    <w:p>
      <w:pPr>
        <w:tabs>
          <w:tab w:val="left" w:pos="7740"/>
        </w:tabs>
        <w:spacing w:line="360" w:lineRule="auto"/>
        <w:rPr>
          <w:rFonts w:ascii="宋体" w:hAnsi="宋体"/>
          <w:b/>
          <w:bCs/>
          <w:color w:val="auto"/>
          <w:sz w:val="28"/>
          <w:szCs w:val="28"/>
          <w:highlight w:val="none"/>
        </w:rPr>
      </w:pPr>
      <w:r>
        <w:rPr>
          <w:rFonts w:ascii="宋体" w:hAnsi="宋体"/>
          <w:b/>
          <w:bCs/>
          <w:color w:val="auto"/>
          <w:sz w:val="28"/>
          <w:szCs w:val="28"/>
          <w:highlight w:val="none"/>
        </w:rPr>
        <w:t xml:space="preserve">第五章  </w:t>
      </w:r>
      <w:r>
        <w:rPr>
          <w:rFonts w:hint="eastAsia" w:ascii="宋体" w:hAnsi="宋体"/>
          <w:b/>
          <w:bCs/>
          <w:color w:val="auto"/>
          <w:sz w:val="28"/>
          <w:szCs w:val="28"/>
          <w:highlight w:val="none"/>
        </w:rPr>
        <w:t>合同主要条款</w:t>
      </w:r>
    </w:p>
    <w:p>
      <w:pPr>
        <w:tabs>
          <w:tab w:val="left" w:pos="7740"/>
        </w:tabs>
        <w:spacing w:line="360" w:lineRule="auto"/>
        <w:rPr>
          <w:rFonts w:ascii="宋体" w:hAnsi="宋体"/>
          <w:b/>
          <w:bCs/>
          <w:color w:val="auto"/>
          <w:sz w:val="28"/>
          <w:szCs w:val="28"/>
          <w:highlight w:val="none"/>
        </w:rPr>
      </w:pPr>
    </w:p>
    <w:p>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第六章  合同授予</w:t>
      </w:r>
    </w:p>
    <w:p>
      <w:pPr>
        <w:tabs>
          <w:tab w:val="left" w:pos="7740"/>
        </w:tabs>
        <w:spacing w:line="360" w:lineRule="auto"/>
        <w:rPr>
          <w:rFonts w:ascii="宋体" w:hAnsi="宋体"/>
          <w:b/>
          <w:bCs/>
          <w:color w:val="auto"/>
          <w:sz w:val="28"/>
          <w:szCs w:val="28"/>
          <w:highlight w:val="none"/>
        </w:rPr>
      </w:pPr>
    </w:p>
    <w:p>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第七章</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r>
        <w:rPr>
          <w:rFonts w:ascii="宋体" w:hAnsi="宋体"/>
          <w:b/>
          <w:bCs/>
          <w:color w:val="auto"/>
          <w:sz w:val="28"/>
          <w:szCs w:val="28"/>
          <w:highlight w:val="none"/>
        </w:rPr>
        <w:t>质疑提出和处理</w:t>
      </w:r>
    </w:p>
    <w:p>
      <w:pPr>
        <w:tabs>
          <w:tab w:val="left" w:pos="7740"/>
        </w:tabs>
        <w:spacing w:line="360" w:lineRule="auto"/>
        <w:rPr>
          <w:rFonts w:ascii="宋体" w:hAnsi="宋体"/>
          <w:b/>
          <w:color w:val="auto"/>
          <w:sz w:val="28"/>
          <w:szCs w:val="28"/>
          <w:highlight w:val="none"/>
        </w:rPr>
      </w:pPr>
    </w:p>
    <w:p>
      <w:pPr>
        <w:spacing w:line="360" w:lineRule="auto"/>
        <w:rPr>
          <w:rFonts w:ascii="宋体" w:hAnsi="宋体"/>
          <w:b/>
          <w:color w:val="auto"/>
          <w:sz w:val="28"/>
          <w:szCs w:val="28"/>
          <w:highlight w:val="none"/>
        </w:rPr>
      </w:pPr>
      <w:bookmarkStart w:id="3" w:name="_Hlk86587575"/>
      <w:r>
        <w:rPr>
          <w:rFonts w:ascii="宋体" w:hAnsi="宋体"/>
          <w:b/>
          <w:color w:val="auto"/>
          <w:sz w:val="28"/>
          <w:szCs w:val="28"/>
          <w:highlight w:val="none"/>
        </w:rPr>
        <w:t>第</w:t>
      </w:r>
      <w:r>
        <w:rPr>
          <w:rFonts w:hint="eastAsia" w:ascii="宋体" w:hAnsi="宋体"/>
          <w:b/>
          <w:color w:val="auto"/>
          <w:sz w:val="28"/>
          <w:szCs w:val="28"/>
          <w:highlight w:val="none"/>
        </w:rPr>
        <w:t>八</w:t>
      </w:r>
      <w:r>
        <w:rPr>
          <w:rFonts w:ascii="宋体" w:hAnsi="宋体"/>
          <w:b/>
          <w:color w:val="auto"/>
          <w:sz w:val="28"/>
          <w:szCs w:val="28"/>
          <w:highlight w:val="none"/>
        </w:rPr>
        <w:t>章</w:t>
      </w:r>
      <w:bookmarkEnd w:id="3"/>
      <w:r>
        <w:rPr>
          <w:rFonts w:ascii="宋体" w:hAnsi="宋体"/>
          <w:b/>
          <w:color w:val="auto"/>
          <w:sz w:val="28"/>
          <w:szCs w:val="28"/>
          <w:highlight w:val="none"/>
        </w:rPr>
        <w:t xml:space="preserve">  投标文件组成</w:t>
      </w:r>
    </w:p>
    <w:p>
      <w:pPr>
        <w:spacing w:line="360" w:lineRule="auto"/>
        <w:rPr>
          <w:rFonts w:ascii="宋体" w:hAnsi="宋体"/>
          <w:color w:val="auto"/>
          <w:sz w:val="24"/>
          <w:highlight w:val="none"/>
        </w:rPr>
      </w:pPr>
    </w:p>
    <w:p>
      <w:pPr>
        <w:pStyle w:val="62"/>
        <w:rPr>
          <w:rStyle w:val="123"/>
          <w:rFonts w:hint="default"/>
          <w:color w:val="auto"/>
          <w:sz w:val="28"/>
          <w:szCs w:val="28"/>
          <w:highlight w:val="none"/>
        </w:rPr>
      </w:pPr>
      <w:r>
        <w:rPr>
          <w:color w:val="auto"/>
          <w:sz w:val="24"/>
          <w:highlight w:val="none"/>
        </w:rPr>
        <w:br w:type="page"/>
      </w:r>
      <w:r>
        <w:rPr>
          <w:rStyle w:val="123"/>
          <w:rFonts w:hint="default"/>
          <w:color w:val="auto"/>
          <w:sz w:val="28"/>
          <w:szCs w:val="28"/>
          <w:highlight w:val="none"/>
        </w:rPr>
        <w:t xml:space="preserve">第一章  </w:t>
      </w:r>
      <w:bookmarkStart w:id="4" w:name="OLE_LINK3"/>
      <w:bookmarkStart w:id="5" w:name="OLE_LINK1"/>
      <w:bookmarkStart w:id="6" w:name="OLE_LINK4"/>
      <w:bookmarkStart w:id="7" w:name="OLE_LINK2"/>
      <w:bookmarkStart w:id="8" w:name="OLE_LINK5"/>
      <w:r>
        <w:rPr>
          <w:rStyle w:val="123"/>
          <w:rFonts w:hint="default"/>
          <w:color w:val="auto"/>
          <w:sz w:val="28"/>
          <w:szCs w:val="28"/>
          <w:highlight w:val="none"/>
        </w:rPr>
        <w:t>招标公告</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pPr>
              <w:widowControl/>
              <w:snapToGrid w:val="0"/>
              <w:spacing w:line="360" w:lineRule="auto"/>
              <w:jc w:val="left"/>
              <w:rPr>
                <w:rFonts w:ascii="宋体" w:hAnsi="宋体"/>
                <w:color w:val="auto"/>
                <w:sz w:val="24"/>
                <w:highlight w:val="none"/>
              </w:rPr>
            </w:pPr>
            <w:bookmarkStart w:id="9" w:name="OLE_LINK6"/>
            <w:r>
              <w:rPr>
                <w:rFonts w:ascii="宋体" w:hAnsi="宋体"/>
                <w:color w:val="auto"/>
                <w:sz w:val="24"/>
                <w:highlight w:val="none"/>
              </w:rPr>
              <w:t>项目概况</w:t>
            </w:r>
          </w:p>
          <w:p>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hint="eastAsia" w:ascii="宋体" w:hAnsi="宋体"/>
                <w:color w:val="auto"/>
                <w:sz w:val="24"/>
                <w:highlight w:val="none"/>
                <w:u w:val="single"/>
              </w:rPr>
              <w:t>2024年度通吕运河水利枢纽工程观测项目</w:t>
            </w:r>
            <w:r>
              <w:rPr>
                <w:rFonts w:ascii="宋体" w:hAnsi="宋体"/>
                <w:color w:val="auto"/>
                <w:sz w:val="24"/>
                <w:highlight w:val="none"/>
              </w:rPr>
              <w:t>的潜在供应商应在</w:t>
            </w:r>
            <w:r>
              <w:rPr>
                <w:rFonts w:hint="eastAsia" w:ascii="宋体" w:hAnsi="宋体"/>
                <w:color w:val="auto"/>
                <w:sz w:val="24"/>
                <w:szCs w:val="21"/>
                <w:highlight w:val="none"/>
                <w:u w:val="single"/>
                <w:lang w:val="zh-CN"/>
              </w:rPr>
              <w:t>南通市水利局网站（</w:t>
            </w:r>
            <w:r>
              <w:rPr>
                <w:rFonts w:ascii="宋体" w:hAnsi="宋体"/>
                <w:color w:val="auto"/>
                <w:szCs w:val="21"/>
                <w:highlight w:val="none"/>
                <w:u w:val="single"/>
                <w:lang w:val="zh-CN"/>
              </w:rPr>
              <w:t>http://slj.nantong.gov.cn/</w:t>
            </w:r>
            <w:r>
              <w:rPr>
                <w:rFonts w:hint="eastAsia" w:ascii="宋体" w:hAnsi="宋体"/>
                <w:color w:val="auto"/>
                <w:sz w:val="24"/>
                <w:szCs w:val="21"/>
                <w:highlight w:val="none"/>
                <w:u w:val="single"/>
                <w:lang w:val="zh-CN"/>
              </w:rPr>
              <w:t>）</w:t>
            </w:r>
            <w:r>
              <w:rPr>
                <w:rFonts w:ascii="宋体" w:hAnsi="宋体"/>
                <w:color w:val="auto"/>
                <w:szCs w:val="21"/>
                <w:highlight w:val="none"/>
                <w:u w:val="single"/>
                <w:lang w:val="zh-CN"/>
              </w:rPr>
              <w:t>-</w:t>
            </w:r>
            <w:r>
              <w:rPr>
                <w:rFonts w:hint="eastAsia" w:ascii="宋体" w:hAnsi="宋体"/>
                <w:color w:val="auto"/>
                <w:sz w:val="24"/>
                <w:szCs w:val="21"/>
                <w:highlight w:val="none"/>
                <w:u w:val="single"/>
                <w:lang w:val="zh-CN"/>
              </w:rPr>
              <w:t>公告公示栏目</w:t>
            </w:r>
            <w:r>
              <w:rPr>
                <w:rFonts w:ascii="宋体" w:hAnsi="宋体"/>
                <w:color w:val="auto"/>
                <w:sz w:val="24"/>
                <w:highlight w:val="none"/>
                <w:u w:val="single"/>
              </w:rPr>
              <w:t>本公告附件中</w:t>
            </w:r>
            <w:r>
              <w:rPr>
                <w:rFonts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ascii="宋体" w:hAnsi="宋体"/>
                <w:color w:val="auto"/>
                <w:sz w:val="24"/>
                <w:highlight w:val="none"/>
              </w:rPr>
              <w:t>年</w:t>
            </w:r>
            <w:r>
              <w:rPr>
                <w:rFonts w:hint="eastAsia" w:ascii="宋体" w:hAnsi="宋体"/>
                <w:color w:val="auto"/>
                <w:sz w:val="24"/>
                <w:highlight w:val="none"/>
                <w:u w:val="single"/>
                <w:lang w:val="en-US" w:eastAsia="zh-CN"/>
              </w:rPr>
              <w:t>1</w:t>
            </w:r>
            <w:r>
              <w:rPr>
                <w:rFonts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25 </w:t>
            </w:r>
            <w:r>
              <w:rPr>
                <w:rFonts w:ascii="宋体" w:hAnsi="宋体"/>
                <w:color w:val="auto"/>
                <w:sz w:val="24"/>
                <w:highlight w:val="none"/>
              </w:rPr>
              <w:t>日</w:t>
            </w:r>
            <w:r>
              <w:rPr>
                <w:rFonts w:hint="eastAsia" w:ascii="宋体" w:hAnsi="宋体"/>
                <w:color w:val="auto"/>
                <w:sz w:val="24"/>
                <w:highlight w:val="none"/>
                <w:u w:val="single"/>
              </w:rPr>
              <w:t>14</w:t>
            </w:r>
            <w:r>
              <w:rPr>
                <w:rFonts w:ascii="宋体" w:hAnsi="宋体"/>
                <w:color w:val="auto"/>
                <w:sz w:val="24"/>
                <w:highlight w:val="none"/>
              </w:rPr>
              <w:t>时</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ascii="宋体" w:hAnsi="宋体"/>
                <w:color w:val="auto"/>
                <w:sz w:val="24"/>
                <w:highlight w:val="none"/>
              </w:rPr>
              <w:t>分（北京时间）前提交响应文件。</w:t>
            </w:r>
          </w:p>
        </w:tc>
      </w:tr>
    </w:tbl>
    <w:p>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一、项目基本情况</w:t>
      </w:r>
    </w:p>
    <w:p>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1、项目名称：</w:t>
      </w:r>
      <w:r>
        <w:rPr>
          <w:rFonts w:hint="eastAsia" w:ascii="宋体" w:hAnsi="宋体"/>
          <w:color w:val="auto"/>
          <w:sz w:val="24"/>
          <w:highlight w:val="none"/>
        </w:rPr>
        <w:t>2024年度通吕运河水利枢纽工程观测项目</w:t>
      </w:r>
    </w:p>
    <w:p>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2、预算金额：</w:t>
      </w:r>
      <w:r>
        <w:rPr>
          <w:rFonts w:hint="eastAsia" w:ascii="宋体" w:hAnsi="宋体"/>
          <w:color w:val="auto"/>
          <w:sz w:val="24"/>
          <w:highlight w:val="none"/>
        </w:rPr>
        <w:t>18万</w:t>
      </w:r>
      <w:r>
        <w:rPr>
          <w:rFonts w:ascii="宋体" w:hAnsi="宋体"/>
          <w:color w:val="auto"/>
          <w:sz w:val="24"/>
          <w:highlight w:val="none"/>
        </w:rPr>
        <w:t>元</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3、最高限价：18万</w:t>
      </w:r>
      <w:r>
        <w:rPr>
          <w:rFonts w:ascii="宋体" w:hAnsi="宋体"/>
          <w:color w:val="auto"/>
          <w:sz w:val="24"/>
          <w:highlight w:val="none"/>
        </w:rPr>
        <w:t>元，报价超过</w:t>
      </w:r>
      <w:r>
        <w:rPr>
          <w:rFonts w:hint="eastAsia" w:ascii="宋体" w:hAnsi="宋体"/>
          <w:color w:val="auto"/>
          <w:sz w:val="24"/>
          <w:highlight w:val="none"/>
        </w:rPr>
        <w:t>最高限价</w:t>
      </w:r>
      <w:r>
        <w:rPr>
          <w:rFonts w:ascii="宋体" w:hAnsi="宋体"/>
          <w:color w:val="auto"/>
          <w:sz w:val="24"/>
          <w:highlight w:val="none"/>
        </w:rPr>
        <w:t>的为无效响应文件。</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、采购需求：详见第三章</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5、合同履行期限：</w:t>
      </w:r>
      <w:r>
        <w:rPr>
          <w:rFonts w:hint="eastAsia" w:ascii="宋体" w:hAnsi="宋体" w:cs="宋体"/>
          <w:color w:val="auto"/>
          <w:sz w:val="24"/>
          <w:highlight w:val="none"/>
        </w:rPr>
        <w:t>自合同签订之日起至2024年12月31日止（本项目11月中旬须完成第四季度监测）。</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6、本项目不接受联合体投标。</w:t>
      </w:r>
    </w:p>
    <w:p>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投标人</w:t>
      </w:r>
      <w:r>
        <w:rPr>
          <w:rFonts w:ascii="宋体" w:hAnsi="宋体"/>
          <w:b/>
          <w:color w:val="auto"/>
          <w:sz w:val="24"/>
          <w:highlight w:val="none"/>
        </w:rPr>
        <w:t>的资格要求：</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2、投标单位具有独立法人资格和工程测量乙级及以上测绘资质；</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拟派本项目负责人具备水利工程专业中级及以上职称（需提供人员证书复印件及投标企业所在地社保机构出具的企业为其缴纳的最近6个月中任意一个月的社保缴费证明并加盖公章，可提供原件扫描件或官网打印具有二维码或验证码的官网打印件或截图）。</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投标单位未被“信用中国”网站、中国政府采购网、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5、资格声明函；</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6、法定代表人为同一个人或者存在投资、控股以及其他关联关系的不同单位，不得参加同一项目的招标活动；</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7、本项目不接受联合体投标。</w:t>
      </w:r>
    </w:p>
    <w:p>
      <w:pPr>
        <w:widowControl/>
        <w:shd w:val="clear" w:color="auto" w:fill="FFFFFF"/>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8、符合相关法律、法规规定的其他要求。</w:t>
      </w:r>
    </w:p>
    <w:p>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三、获取招标文件</w:t>
      </w:r>
    </w:p>
    <w:p>
      <w:pPr>
        <w:snapToGrid w:val="0"/>
        <w:spacing w:line="440" w:lineRule="atLeast"/>
        <w:ind w:firstLine="480" w:firstLineChars="200"/>
        <w:rPr>
          <w:rFonts w:ascii="宋体" w:hAnsi="宋体"/>
          <w:color w:val="auto"/>
          <w:sz w:val="24"/>
          <w:szCs w:val="21"/>
          <w:highlight w:val="none"/>
          <w:lang w:val="zh-CN"/>
        </w:rPr>
      </w:pPr>
      <w:r>
        <w:rPr>
          <w:rFonts w:ascii="宋体" w:hAnsi="宋体"/>
          <w:color w:val="auto"/>
          <w:sz w:val="24"/>
          <w:szCs w:val="21"/>
          <w:highlight w:val="none"/>
          <w:lang w:val="zh-CN"/>
        </w:rPr>
        <w:t>1、时间：</w:t>
      </w:r>
      <w:r>
        <w:rPr>
          <w:rFonts w:ascii="宋体" w:hAnsi="宋体"/>
          <w:color w:val="auto"/>
          <w:sz w:val="24"/>
          <w:szCs w:val="21"/>
          <w:highlight w:val="none"/>
          <w:u w:val="single"/>
          <w:lang w:val="zh-CN"/>
        </w:rPr>
        <w:t>自本招标公告发布之日起</w:t>
      </w:r>
      <w:r>
        <w:rPr>
          <w:rFonts w:hint="eastAsia" w:ascii="宋体" w:hAnsi="宋体"/>
          <w:color w:val="auto"/>
          <w:sz w:val="24"/>
          <w:szCs w:val="21"/>
          <w:highlight w:val="none"/>
          <w:u w:val="single"/>
        </w:rPr>
        <w:t>至202</w:t>
      </w:r>
      <w:r>
        <w:rPr>
          <w:rFonts w:hint="eastAsia" w:ascii="宋体" w:hAnsi="宋体"/>
          <w:color w:val="auto"/>
          <w:sz w:val="24"/>
          <w:szCs w:val="21"/>
          <w:highlight w:val="none"/>
          <w:u w:val="single"/>
          <w:lang w:val="en-US" w:eastAsia="zh-CN"/>
        </w:rPr>
        <w:t>4</w:t>
      </w:r>
      <w:r>
        <w:rPr>
          <w:rFonts w:hint="eastAsia" w:ascii="宋体" w:hAnsi="宋体"/>
          <w:color w:val="auto"/>
          <w:sz w:val="24"/>
          <w:szCs w:val="21"/>
          <w:highlight w:val="none"/>
          <w:u w:val="single"/>
        </w:rPr>
        <w:t>年</w:t>
      </w:r>
      <w:r>
        <w:rPr>
          <w:rFonts w:hint="eastAsia" w:ascii="宋体" w:hAnsi="宋体"/>
          <w:color w:val="auto"/>
          <w:sz w:val="24"/>
          <w:szCs w:val="21"/>
          <w:highlight w:val="none"/>
          <w:u w:val="single"/>
          <w:lang w:val="en-US" w:eastAsia="zh-CN"/>
        </w:rPr>
        <w:t>1</w:t>
      </w:r>
      <w:r>
        <w:rPr>
          <w:rFonts w:hint="eastAsia" w:ascii="宋体" w:hAnsi="宋体"/>
          <w:color w:val="auto"/>
          <w:sz w:val="24"/>
          <w:szCs w:val="21"/>
          <w:highlight w:val="none"/>
          <w:u w:val="single"/>
        </w:rPr>
        <w:t>月</w:t>
      </w:r>
      <w:r>
        <w:rPr>
          <w:rFonts w:hint="eastAsia" w:ascii="宋体" w:hAnsi="宋体"/>
          <w:color w:val="auto"/>
          <w:sz w:val="24"/>
          <w:szCs w:val="21"/>
          <w:highlight w:val="none"/>
          <w:u w:val="single"/>
          <w:lang w:val="en-US" w:eastAsia="zh-CN"/>
        </w:rPr>
        <w:t>25</w:t>
      </w:r>
      <w:r>
        <w:rPr>
          <w:rFonts w:hint="eastAsia" w:ascii="宋体" w:hAnsi="宋体"/>
          <w:color w:val="auto"/>
          <w:sz w:val="24"/>
          <w:szCs w:val="21"/>
          <w:highlight w:val="none"/>
          <w:u w:val="single"/>
        </w:rPr>
        <w:t>日</w:t>
      </w:r>
      <w:r>
        <w:rPr>
          <w:rFonts w:ascii="宋体" w:hAnsi="宋体"/>
          <w:color w:val="auto"/>
          <w:sz w:val="24"/>
          <w:szCs w:val="21"/>
          <w:highlight w:val="none"/>
          <w:lang w:val="zh-CN"/>
        </w:rPr>
        <w:t>。</w:t>
      </w:r>
    </w:p>
    <w:p>
      <w:pPr>
        <w:adjustRightInd w:val="0"/>
        <w:snapToGrid w:val="0"/>
        <w:spacing w:line="440" w:lineRule="atLeast"/>
        <w:ind w:right="-600" w:rightChars="-286" w:firstLine="480" w:firstLineChars="200"/>
        <w:rPr>
          <w:rFonts w:ascii="宋体" w:hAnsi="宋体"/>
          <w:color w:val="auto"/>
          <w:sz w:val="24"/>
          <w:szCs w:val="21"/>
          <w:highlight w:val="none"/>
          <w:u w:val="single"/>
          <w:lang w:val="zh-CN"/>
        </w:rPr>
      </w:pPr>
      <w:bookmarkStart w:id="10" w:name="_Toc387526277"/>
      <w:bookmarkStart w:id="11" w:name="_Toc387526173"/>
      <w:bookmarkStart w:id="12" w:name="_Toc387526369"/>
      <w:r>
        <w:rPr>
          <w:rFonts w:ascii="宋体" w:hAnsi="宋体"/>
          <w:color w:val="auto"/>
          <w:sz w:val="24"/>
          <w:szCs w:val="21"/>
          <w:highlight w:val="none"/>
          <w:lang w:val="zh-CN"/>
        </w:rPr>
        <w:t>2、方式：</w:t>
      </w:r>
      <w:r>
        <w:rPr>
          <w:rFonts w:ascii="宋体" w:hAnsi="宋体"/>
          <w:color w:val="auto"/>
          <w:sz w:val="24"/>
          <w:szCs w:val="21"/>
          <w:highlight w:val="none"/>
          <w:u w:val="single"/>
          <w:lang w:val="zh-CN"/>
        </w:rPr>
        <w:t>本项目资格审查采用资格后审方式，无报名环节，投标人直接从</w:t>
      </w:r>
      <w:r>
        <w:rPr>
          <w:rFonts w:hint="eastAsia" w:ascii="宋体" w:hAnsi="宋体"/>
          <w:color w:val="auto"/>
          <w:sz w:val="24"/>
          <w:szCs w:val="21"/>
          <w:highlight w:val="none"/>
          <w:u w:val="single"/>
          <w:lang w:val="zh-CN"/>
        </w:rPr>
        <w:t>南通市水利局网站（</w:t>
      </w:r>
      <w:r>
        <w:rPr>
          <w:rFonts w:ascii="宋体" w:hAnsi="宋体"/>
          <w:color w:val="auto"/>
          <w:szCs w:val="21"/>
          <w:highlight w:val="none"/>
          <w:u w:val="single"/>
          <w:lang w:val="zh-CN"/>
        </w:rPr>
        <w:t>http://slj.nantong.gov.cn/-</w:t>
      </w:r>
      <w:r>
        <w:rPr>
          <w:rFonts w:hint="eastAsia" w:ascii="宋体" w:hAnsi="宋体"/>
          <w:color w:val="auto"/>
          <w:sz w:val="24"/>
          <w:szCs w:val="21"/>
          <w:highlight w:val="none"/>
          <w:u w:val="single"/>
          <w:lang w:val="zh-CN"/>
        </w:rPr>
        <w:t>公告公示栏目）下载</w:t>
      </w:r>
      <w:r>
        <w:rPr>
          <w:rFonts w:ascii="宋体" w:hAnsi="宋体"/>
          <w:color w:val="auto"/>
          <w:sz w:val="24"/>
          <w:szCs w:val="21"/>
          <w:highlight w:val="none"/>
          <w:u w:val="single"/>
          <w:lang w:val="zh-CN"/>
        </w:rPr>
        <w:t>招标文件、澄清答疑等相关招标资料</w:t>
      </w:r>
      <w:r>
        <w:rPr>
          <w:rFonts w:hint="eastAsia" w:ascii="宋体" w:hAnsi="宋体"/>
          <w:color w:val="auto"/>
          <w:sz w:val="24"/>
          <w:szCs w:val="21"/>
          <w:highlight w:val="none"/>
          <w:u w:val="single"/>
          <w:lang w:val="zh-CN"/>
        </w:rPr>
        <w:t>。</w:t>
      </w:r>
    </w:p>
    <w:bookmarkEnd w:id="10"/>
    <w:bookmarkEnd w:id="11"/>
    <w:bookmarkEnd w:id="12"/>
    <w:p>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四、提交投标文件截止时间、开标时间和地点</w:t>
      </w:r>
    </w:p>
    <w:p>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截止时间及开标时间：</w:t>
      </w:r>
      <w:r>
        <w:rPr>
          <w:rFonts w:ascii="宋体" w:hAnsi="宋体"/>
          <w:color w:val="auto"/>
          <w:sz w:val="24"/>
          <w:highlight w:val="none"/>
          <w:u w:val="single"/>
        </w:rPr>
        <w:t>20</w:t>
      </w:r>
      <w:r>
        <w:rPr>
          <w:rFonts w:hint="eastAsia" w:ascii="宋体" w:hAnsi="宋体"/>
          <w:color w:val="auto"/>
          <w:sz w:val="24"/>
          <w:highlight w:val="none"/>
          <w:u w:val="single"/>
          <w:lang w:val="en-US" w:eastAsia="zh-CN"/>
        </w:rPr>
        <w:t>24</w:t>
      </w:r>
      <w:r>
        <w:rPr>
          <w:rFonts w:ascii="宋体" w:hAnsi="宋体"/>
          <w:color w:val="auto"/>
          <w:sz w:val="24"/>
          <w:highlight w:val="none"/>
          <w:u w:val="single"/>
        </w:rPr>
        <w:t>年</w:t>
      </w:r>
      <w:r>
        <w:rPr>
          <w:rFonts w:hint="eastAsia" w:ascii="宋体" w:hAnsi="宋体"/>
          <w:color w:val="auto"/>
          <w:sz w:val="24"/>
          <w:highlight w:val="none"/>
          <w:u w:val="single"/>
          <w:lang w:val="en-US" w:eastAsia="zh-CN"/>
        </w:rPr>
        <w:t>1</w:t>
      </w:r>
      <w:r>
        <w:rPr>
          <w:rFonts w:ascii="宋体" w:hAnsi="宋体"/>
          <w:color w:val="auto"/>
          <w:sz w:val="24"/>
          <w:highlight w:val="none"/>
          <w:u w:val="single"/>
        </w:rPr>
        <w:t>月</w:t>
      </w:r>
      <w:r>
        <w:rPr>
          <w:rFonts w:hint="eastAsia" w:ascii="宋体" w:hAnsi="宋体"/>
          <w:color w:val="auto"/>
          <w:sz w:val="24"/>
          <w:highlight w:val="none"/>
          <w:u w:val="single"/>
          <w:lang w:val="en-US" w:eastAsia="zh-CN"/>
        </w:rPr>
        <w:t>25</w:t>
      </w:r>
      <w:r>
        <w:rPr>
          <w:rFonts w:ascii="宋体" w:hAnsi="宋体"/>
          <w:color w:val="auto"/>
          <w:sz w:val="24"/>
          <w:highlight w:val="none"/>
          <w:u w:val="single"/>
        </w:rPr>
        <w:t>日</w:t>
      </w:r>
      <w:r>
        <w:rPr>
          <w:rFonts w:hint="eastAsia" w:ascii="宋体" w:hAnsi="宋体"/>
          <w:color w:val="auto"/>
          <w:sz w:val="24"/>
          <w:highlight w:val="none"/>
          <w:u w:val="single"/>
        </w:rPr>
        <w:t>14</w:t>
      </w:r>
      <w:r>
        <w:rPr>
          <w:rFonts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分</w:t>
      </w:r>
      <w:r>
        <w:rPr>
          <w:rFonts w:ascii="宋体" w:hAnsi="宋体"/>
          <w:color w:val="auto"/>
          <w:sz w:val="24"/>
          <w:highlight w:val="none"/>
        </w:rPr>
        <w:t>；</w:t>
      </w:r>
    </w:p>
    <w:p>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 xml:space="preserve">南通市通吕运河水利工程管理所（外环西路397号）三楼会议室 </w:t>
      </w:r>
      <w:r>
        <w:rPr>
          <w:rFonts w:ascii="宋体" w:hAnsi="宋体"/>
          <w:color w:val="auto"/>
          <w:kern w:val="0"/>
          <w:sz w:val="24"/>
          <w:highlight w:val="none"/>
        </w:rPr>
        <w:t>。</w:t>
      </w:r>
    </w:p>
    <w:p>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投标人递交投标文件时，投标人的法定代表人（或其授权代理人）必须携带本人身份证件原件、法定代表人身份证明（或授权委托书）原件准时参加开标会议。否则，其投标文件不予受理。</w:t>
      </w:r>
    </w:p>
    <w:p>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注：法定代表人身份证明（或授权委托书）不仅需要装订在投标文件中，还需要一份原件由法定代表人（或其授权代理人）在投标时随身携带，供递交投标文件时核验。</w:t>
      </w:r>
    </w:p>
    <w:p>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五、公告期限</w:t>
      </w:r>
    </w:p>
    <w:p>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自本公告发布之日起5个工作日。</w:t>
      </w:r>
    </w:p>
    <w:p>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hint="eastAsia" w:ascii="宋体" w:hAnsi="宋体"/>
          <w:b/>
          <w:color w:val="auto"/>
          <w:sz w:val="24"/>
          <w:highlight w:val="none"/>
        </w:rPr>
        <w:t>六、其他补充事宜</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本项目采用现场开标模式，投标人须在提交投标文件的截止时间前到达开标现场提交纸质投标文件。</w:t>
      </w:r>
    </w:p>
    <w:p>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、凡对本次采购提出询问，请按以下方式联系。</w:t>
      </w:r>
    </w:p>
    <w:bookmarkEnd w:id="4"/>
    <w:bookmarkEnd w:id="5"/>
    <w:bookmarkEnd w:id="6"/>
    <w:bookmarkEnd w:id="7"/>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1.采购人：南通市通吕运河水利工程管理所</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地址：外环西路397号</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0513-83530190</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2.采购代理机构：南通通城建设工程项目管理有限公司</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地址；南通市崇川区工农南路156号鑫乾广场A座22楼2202室</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 xml:space="preserve">联系方式：18862961365   </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3.项目联系方式</w:t>
      </w:r>
    </w:p>
    <w:p>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项目联系人：崔永振</w:t>
      </w:r>
    </w:p>
    <w:p>
      <w:pPr>
        <w:widowControl/>
        <w:snapToGrid w:val="0"/>
        <w:spacing w:line="440" w:lineRule="atLeast"/>
        <w:ind w:firstLine="480" w:firstLineChars="200"/>
        <w:jc w:val="left"/>
        <w:rPr>
          <w:rFonts w:ascii="宋体"/>
          <w:color w:val="auto"/>
          <w:highlight w:val="none"/>
        </w:rPr>
      </w:pPr>
      <w:r>
        <w:rPr>
          <w:rFonts w:hint="eastAsia" w:ascii="宋体" w:hAnsi="宋体"/>
          <w:color w:val="auto"/>
          <w:sz w:val="24"/>
          <w:highlight w:val="none"/>
        </w:rPr>
        <w:t>电　话：18862961365　　　　　</w:t>
      </w:r>
    </w:p>
    <w:p>
      <w:pPr>
        <w:pStyle w:val="62"/>
        <w:rPr>
          <w:color w:val="auto"/>
          <w:kern w:val="0"/>
          <w:sz w:val="24"/>
          <w:highlight w:val="none"/>
        </w:rPr>
      </w:pPr>
      <w:r>
        <w:rPr>
          <w:color w:val="auto"/>
          <w:highlight w:val="none"/>
        </w:rPr>
        <w:br w:type="page"/>
      </w:r>
      <w:bookmarkEnd w:id="8"/>
      <w:bookmarkEnd w:id="9"/>
      <w:bookmarkStart w:id="13" w:name="_Toc182848970"/>
      <w:r>
        <w:rPr>
          <w:rStyle w:val="123"/>
          <w:rFonts w:hint="default"/>
          <w:color w:val="auto"/>
          <w:sz w:val="28"/>
          <w:szCs w:val="28"/>
          <w:highlight w:val="none"/>
        </w:rPr>
        <w:t>第二章  投标人须知</w:t>
      </w:r>
      <w:bookmarkEnd w:id="13"/>
    </w:p>
    <w:p>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一、说明</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1、本招标文件仅适用于采购人组织的本次公开招标活动。</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2、公开招标活动及因本次招标产生的合同受中国法律制约和保护。</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3、招标文件的解释权属于采购人。</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投标人在知道或应当知道本项目招标公告及招标文件中的所有内容：如内容或页码短缺、资格要求和技术参数出现倾向性或排他性等表述的，</w:t>
      </w:r>
      <w:r>
        <w:rPr>
          <w:rFonts w:hint="eastAsia" w:ascii="宋体" w:hAnsi="宋体" w:cs="宋体"/>
          <w:b/>
          <w:color w:val="auto"/>
          <w:sz w:val="24"/>
          <w:highlight w:val="none"/>
        </w:rPr>
        <w:t>应在本项目招标公告发布之日起的7个工作日内提出询问或以书面实名制形式提出质疑</w:t>
      </w:r>
      <w:r>
        <w:rPr>
          <w:rFonts w:hint="eastAsia" w:ascii="宋体" w:hAnsi="宋体" w:cs="宋体"/>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color w:val="auto"/>
          <w:sz w:val="24"/>
          <w:highlight w:val="none"/>
        </w:rPr>
        <w:t>与投标。</w:t>
      </w:r>
    </w:p>
    <w:p>
      <w:pPr>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二、招标文件的补充说明、澄清、修改、答疑</w:t>
      </w:r>
    </w:p>
    <w:p>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s="宋体"/>
          <w:color w:val="auto"/>
          <w:sz w:val="24"/>
          <w:highlight w:val="none"/>
        </w:rPr>
        <w:t>采购人有权对发出的招标文件进行必要的补充说明、澄清或修改。</w:t>
      </w:r>
    </w:p>
    <w:p>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2、招标文件的澄清、修改、补充等内容均以补充公告的形式发布，且以在南通市</w:t>
      </w:r>
      <w:r>
        <w:rPr>
          <w:rFonts w:hint="eastAsia" w:ascii="宋体" w:hAnsi="宋体"/>
          <w:color w:val="auto"/>
          <w:kern w:val="0"/>
          <w:sz w:val="24"/>
          <w:highlight w:val="none"/>
        </w:rPr>
        <w:t>水利局</w:t>
      </w:r>
      <w:r>
        <w:rPr>
          <w:rFonts w:ascii="宋体" w:hAnsi="宋体"/>
          <w:color w:val="auto"/>
          <w:kern w:val="0"/>
          <w:sz w:val="24"/>
          <w:highlight w:val="none"/>
        </w:rPr>
        <w:t>网站发布的信息为准。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3、采购人对招标文件的补充说明、澄清或修改，将构成招标文件的一部分，对所有投标人具有约束力。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5、除非采购人以书面的形式对招标文件作出澄清、修改及补充，投标人对涉及招标文件的任何推论、理解和结论所造成的结果，均由投标人自负。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6、采购人视情组织答疑会。如有产生答疑且对招标文件内容有修改，采购人将按照本须知有关规定，以补充通知（公告）的方式发出。</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三、投标项目涉及到的现场勘查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2、采购人向投标人提供的有关现场的资料和数据，是采购人现有的并认为能使投标人可利用的资料。采购人对投标人由此而做出的推论、理解和结论概不负责。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4、投标人不得因勘查现场使采购人承担有关的责任和蒙受损失。投标人应承担勘查现场的责任和风险。</w:t>
      </w:r>
    </w:p>
    <w:p>
      <w:pPr>
        <w:numPr>
          <w:ilvl w:val="0"/>
          <w:numId w:val="7"/>
        </w:num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投标文件的组成及装订</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1、投标文件由：①资格审查文件、②商务技术标、③价格标共三部分组成。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3、投标文件的“资格审查文件”、“商务技术标”、“价格标”各自装订成册。特别提示：“资格审查文件”和“商务技术标”中不得出现价格。</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五、投标文件的份数、签署</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rPr>
        <w:t xml:space="preserve"> 伍 </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份，并标明“正本”或“副本”字样，若有差异，概以“正本”为准。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2、投标文件分三册密封。第一册为“资格审查文件”，第二册为 “商务技术标”，第三册为 “价格标”，投标文件的第一册、第二册、第三册应分别密封，并在封袋上标明“资格审查文件”、“商务技术标”、“价格标”。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3、投标人可将投标文件正副本统一密封或分别密封，如正本和副本分别密封的，应在封袋上标明正、副本字样。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4、投标文件正本须按招标文件要求由法定代表人或被授权人签字或盖章并加盖投标人印章。副本可复印，但须加盖投标人印章。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5、开标程序顺利进行后，所有投标文件都将作为档案保存，不论成交与否，代理机构均不退回（未拆封的除外）。</w:t>
      </w:r>
    </w:p>
    <w:p>
      <w:pPr>
        <w:snapToGrid w:val="0"/>
        <w:spacing w:line="360" w:lineRule="auto"/>
        <w:ind w:firstLine="470"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六、投标文件的密封及标记</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密封后，应在每一密封包的投标文件上明确标注投标项目名称、投标文件各自对应的名称、投标人名称、同时加盖投标人公章。</w:t>
      </w:r>
    </w:p>
    <w:p>
      <w:pPr>
        <w:snapToGrid w:val="0"/>
        <w:spacing w:line="360" w:lineRule="auto"/>
        <w:ind w:firstLine="470" w:firstLineChars="196"/>
        <w:outlineLvl w:val="1"/>
        <w:rPr>
          <w:rFonts w:ascii="宋体" w:hAnsi="宋体"/>
          <w:color w:val="auto"/>
          <w:sz w:val="24"/>
          <w:highlight w:val="none"/>
        </w:rPr>
      </w:pPr>
      <w:r>
        <w:rPr>
          <w:rFonts w:hint="eastAsia" w:ascii="宋体" w:hAnsi="宋体" w:cs="宋体"/>
          <w:b/>
          <w:bCs/>
          <w:color w:val="auto"/>
          <w:sz w:val="24"/>
          <w:highlight w:val="none"/>
        </w:rPr>
        <w:t>七、</w:t>
      </w:r>
      <w:r>
        <w:rPr>
          <w:rFonts w:hint="eastAsia" w:ascii="宋体" w:hAnsi="宋体"/>
          <w:b/>
          <w:color w:val="auto"/>
          <w:sz w:val="24"/>
          <w:highlight w:val="none"/>
        </w:rPr>
        <w:t>投标文件的有效期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1、从投标文件接收截止之日算起，90个“日历天”内投标书应保持有效。有效期短于这个规定期限的，投标将被拒绝。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pPr>
        <w:snapToGrid w:val="0"/>
        <w:spacing w:line="360" w:lineRule="auto"/>
        <w:ind w:firstLine="494" w:firstLineChars="206"/>
        <w:outlineLvl w:val="1"/>
        <w:rPr>
          <w:rFonts w:ascii="宋体" w:hAnsi="宋体" w:cs="宋体"/>
          <w:b/>
          <w:bCs/>
          <w:color w:val="auto"/>
          <w:sz w:val="24"/>
          <w:highlight w:val="none"/>
        </w:rPr>
      </w:pPr>
      <w:r>
        <w:rPr>
          <w:rFonts w:hint="eastAsia" w:ascii="宋体" w:hAnsi="宋体" w:cs="宋体"/>
          <w:b/>
          <w:bCs/>
          <w:color w:val="auto"/>
          <w:sz w:val="24"/>
          <w:highlight w:val="none"/>
        </w:rPr>
        <w:t>八、投标报价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1、本项目不接受任何有选择的报价。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2、投标报价均以人民币为报价的币种。</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3、报价表必须加盖投标人公章且必须经法定代表人或被授权人签字或盖章。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报价出现前后不一致的，按照下列规定修正：</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（1）投标文件中开标一览表（</w:t>
      </w:r>
      <w:r>
        <w:rPr>
          <w:rFonts w:hint="eastAsia" w:ascii="宋体" w:hAnsi="宋体" w:cs="宋体"/>
          <w:color w:val="auto"/>
          <w:sz w:val="24"/>
          <w:highlight w:val="none"/>
        </w:rPr>
        <w:t>报价表</w:t>
      </w:r>
      <w:r>
        <w:rPr>
          <w:rFonts w:ascii="宋体" w:hAnsi="宋体" w:cs="宋体"/>
          <w:color w:val="auto"/>
          <w:sz w:val="24"/>
          <w:highlight w:val="none"/>
        </w:rPr>
        <w:t>）内容与投标文件中相应内容不一致的，以开标一览表（</w:t>
      </w:r>
      <w:r>
        <w:rPr>
          <w:rFonts w:hint="eastAsia" w:ascii="宋体" w:hAnsi="宋体" w:cs="宋体"/>
          <w:color w:val="auto"/>
          <w:sz w:val="24"/>
          <w:highlight w:val="none"/>
        </w:rPr>
        <w:t>报价表</w:t>
      </w:r>
      <w:r>
        <w:rPr>
          <w:rFonts w:ascii="宋体" w:hAnsi="宋体" w:cs="宋体"/>
          <w:color w:val="auto"/>
          <w:sz w:val="24"/>
          <w:highlight w:val="none"/>
        </w:rPr>
        <w:t>）为准；</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（2）大写金额和小写金额不一致的，以大写金额为准；</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（3）单价金额小数点或者百分比有明显错位的，以开标一览表的总价为准，并修改单价；</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（4）总价金额与按单价汇总金额不一致的，以单价金额计算结果为准</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同时出现两种以上不一致的，按照前款规定的顺序修正。修正后的报价应当由投标人的法定代表人或其授权的代表签字确认后产生约束力，投标人不确认的，其投标无效。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4、投标报价应包含完成本项目所涉及的所有费用以及合同履行过程中可能发生的风险等全部费用。如遇政府规划等特殊原因，导致部分合同内容无法实施，该项目将按照投标最终单价按实按次进行结算。</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招标代理费为人民币3000元，投标人自行考虑该项费用及风险并将其综合包含在投标总价内，不得单列。</w:t>
      </w:r>
    </w:p>
    <w:p>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人设定投标最高限价为人民币18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、投标人应无条件地服从采购人的总体协调安排，按照采购人的指令做好各项的沟通、协调及配合等工作，为此发生的一切相关费用，含在投标报价中，采购人不另支付。</w:t>
      </w:r>
    </w:p>
    <w:p>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、一次报定的投标报价为中标价，同时，中标人的中标价在合同实施期间不因市场变化因素而变动。</w:t>
      </w:r>
    </w:p>
    <w:p>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九、投标费用</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投标人应承担其编制投标文件以及递交投标文件等参与本</w:t>
      </w:r>
      <w:r>
        <w:rPr>
          <w:rFonts w:hint="eastAsia" w:ascii="宋体" w:hAnsi="宋体"/>
          <w:color w:val="auto"/>
          <w:sz w:val="24"/>
          <w:highlight w:val="none"/>
        </w:rPr>
        <w:t>项目</w:t>
      </w:r>
      <w:r>
        <w:rPr>
          <w:rFonts w:ascii="宋体" w:hAnsi="宋体"/>
          <w:color w:val="auto"/>
          <w:sz w:val="24"/>
          <w:highlight w:val="none"/>
        </w:rPr>
        <w:t>投标所涉及的一切费用。无论投标结果如何，采购人对上述费用不负任何责任。</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2、中标人领取中标通知书前需缴付招标代理服务费。</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十、投标文件递交时间及地址</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投标人必须在规定的时间将投标文件送达指定地点，采购人拒绝接收在截止时间后递交的投标文件。</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十一</w:t>
      </w:r>
      <w:r>
        <w:rPr>
          <w:rFonts w:ascii="宋体" w:hAnsi="宋体"/>
          <w:b/>
          <w:color w:val="auto"/>
          <w:sz w:val="24"/>
          <w:highlight w:val="none"/>
        </w:rPr>
        <w:t>、投标保证金</w:t>
      </w:r>
      <w:r>
        <w:rPr>
          <w:rFonts w:hint="eastAsia" w:ascii="宋体" w:hAnsi="宋体"/>
          <w:b/>
          <w:color w:val="auto"/>
          <w:sz w:val="24"/>
          <w:highlight w:val="none"/>
        </w:rPr>
        <w:t>：本项目不设投标保证金。</w:t>
      </w:r>
    </w:p>
    <w:p>
      <w:pPr>
        <w:snapToGrid w:val="0"/>
        <w:spacing w:line="360" w:lineRule="auto"/>
        <w:ind w:firstLine="480" w:firstLineChars="200"/>
        <w:outlineLvl w:val="1"/>
        <w:rPr>
          <w:rFonts w:ascii="宋体" w:hAnsi="宋体"/>
          <w:bCs/>
          <w:color w:val="auto"/>
          <w:sz w:val="24"/>
          <w:highlight w:val="none"/>
        </w:rPr>
      </w:pPr>
      <w:r>
        <w:rPr>
          <w:rFonts w:hint="eastAsia" w:ascii="宋体" w:hAnsi="宋体"/>
          <w:b/>
          <w:color w:val="auto"/>
          <w:sz w:val="24"/>
          <w:highlight w:val="none"/>
        </w:rPr>
        <w:t>十二</w:t>
      </w:r>
      <w:r>
        <w:rPr>
          <w:rFonts w:ascii="宋体" w:hAnsi="宋体"/>
          <w:b/>
          <w:color w:val="auto"/>
          <w:sz w:val="24"/>
          <w:highlight w:val="none"/>
        </w:rPr>
        <w:t>、履约保证金</w:t>
      </w:r>
      <w:r>
        <w:rPr>
          <w:rFonts w:hint="eastAsia" w:ascii="宋体" w:hAnsi="宋体"/>
          <w:b/>
          <w:color w:val="auto"/>
          <w:sz w:val="24"/>
          <w:highlight w:val="none"/>
        </w:rPr>
        <w:t>：本项目不设履约保证金。</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十三、对采购人的纪律要求</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采购人不得泄漏招标活动中应当保密的情况和资料，不得与投标人串通损害国家利益、社会公共利益或者他人合法权益。</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十四、对投标人的纪律要求</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十五、对评标委员会成员的纪律要求</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十六、未尽事宜</w:t>
      </w:r>
    </w:p>
    <w:p>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按《中华人民共和国政府采购法》及其他有关的法律法规</w:t>
      </w:r>
      <w:r>
        <w:rPr>
          <w:rFonts w:hint="eastAsia" w:ascii="宋体" w:hAnsi="宋体"/>
          <w:color w:val="auto"/>
          <w:sz w:val="24"/>
          <w:highlight w:val="none"/>
        </w:rPr>
        <w:t>规范性文件</w:t>
      </w:r>
      <w:r>
        <w:rPr>
          <w:rFonts w:ascii="宋体" w:hAnsi="宋体"/>
          <w:color w:val="auto"/>
          <w:sz w:val="24"/>
          <w:highlight w:val="none"/>
        </w:rPr>
        <w:t>执行。</w:t>
      </w:r>
    </w:p>
    <w:p>
      <w:pPr>
        <w:pStyle w:val="62"/>
        <w:rPr>
          <w:rStyle w:val="123"/>
          <w:rFonts w:hint="default"/>
          <w:bCs w:val="0"/>
          <w:color w:val="auto"/>
          <w:sz w:val="28"/>
          <w:szCs w:val="28"/>
          <w:highlight w:val="none"/>
        </w:rPr>
      </w:pPr>
      <w:r>
        <w:rPr>
          <w:rStyle w:val="123"/>
          <w:rFonts w:hint="default"/>
          <w:color w:val="auto"/>
          <w:sz w:val="28"/>
          <w:szCs w:val="28"/>
          <w:highlight w:val="none"/>
        </w:rPr>
        <w:br w:type="page"/>
      </w:r>
      <w:r>
        <w:rPr>
          <w:rStyle w:val="123"/>
          <w:rFonts w:hint="default"/>
          <w:color w:val="auto"/>
          <w:sz w:val="28"/>
          <w:szCs w:val="28"/>
          <w:highlight w:val="none"/>
        </w:rPr>
        <w:t>第三章  项目需求</w:t>
      </w:r>
    </w:p>
    <w:p>
      <w:pPr>
        <w:snapToGrid w:val="0"/>
        <w:spacing w:line="480" w:lineRule="exact"/>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一、项目概况</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通吕运河水利枢纽工程位于通吕运河下游入江口段，距长江口约2 km，工程采取闸站结合的方式，工程等别为II等，规模为大（2）型。为保障通吕运河水利枢纽工程的安全运行，按照江苏省《水利工程观测规程》（DB32/T 1713-2011）要求开展工程观测。主要观测</w:t>
      </w:r>
      <w:r>
        <w:rPr>
          <w:rFonts w:hint="eastAsia" w:ascii="宋体" w:hAnsi="宋体" w:cs="宋体"/>
          <w:color w:val="auto"/>
          <w:sz w:val="24"/>
          <w:highlight w:val="none"/>
        </w:rPr>
        <w:t>内容包括：通吕闸、泵站沉降观测和</w:t>
      </w:r>
      <w:r>
        <w:rPr>
          <w:rFonts w:hint="eastAsia" w:ascii="宋体" w:hAnsi="宋体" w:cs="宋体"/>
          <w:color w:val="auto"/>
          <w:kern w:val="0"/>
          <w:sz w:val="24"/>
          <w:highlight w:val="none"/>
        </w:rPr>
        <w:t>水平位移观测，</w:t>
      </w:r>
      <w:r>
        <w:rPr>
          <w:rFonts w:hint="eastAsia" w:ascii="宋体" w:hAnsi="宋体" w:cs="宋体"/>
          <w:color w:val="auto"/>
          <w:sz w:val="24"/>
          <w:highlight w:val="none"/>
        </w:rPr>
        <w:t>扬压力</w:t>
      </w:r>
      <w:r>
        <w:rPr>
          <w:rFonts w:hint="eastAsia" w:ascii="宋体" w:hAnsi="宋体" w:cs="宋体"/>
          <w:color w:val="auto"/>
          <w:kern w:val="0"/>
          <w:sz w:val="24"/>
          <w:highlight w:val="none"/>
        </w:rPr>
        <w:t>（管口高程考证、进水灵敏度试验、淤积高程观测，管内水位人工比测）</w:t>
      </w:r>
      <w:r>
        <w:rPr>
          <w:rFonts w:hint="eastAsia" w:ascii="宋体" w:hAnsi="宋体" w:cs="宋体"/>
          <w:color w:val="auto"/>
          <w:sz w:val="24"/>
          <w:highlight w:val="none"/>
        </w:rPr>
        <w:t>和测压管内清淤（8根），</w:t>
      </w:r>
      <w:r>
        <w:rPr>
          <w:rFonts w:hint="eastAsia" w:ascii="宋体" w:hAnsi="宋体" w:cs="宋体"/>
          <w:color w:val="auto"/>
          <w:kern w:val="0"/>
          <w:sz w:val="24"/>
          <w:highlight w:val="none"/>
        </w:rPr>
        <w:t>伸缩缝观测以及水尺水位比测</w:t>
      </w:r>
      <w:r>
        <w:rPr>
          <w:rFonts w:hint="eastAsia" w:ascii="宋体" w:hAnsi="宋体" w:cs="宋体"/>
          <w:color w:val="auto"/>
          <w:sz w:val="24"/>
          <w:highlight w:val="none"/>
        </w:rPr>
        <w:t>等。详见工程量清单。</w:t>
      </w:r>
    </w:p>
    <w:p>
      <w:pPr>
        <w:snapToGrid w:val="0"/>
        <w:spacing w:line="480" w:lineRule="exact"/>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二、质量要求</w:t>
      </w:r>
    </w:p>
    <w:p>
      <w:pPr>
        <w:adjustRightInd w:val="0"/>
        <w:snapToGri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达到二等测量要求，符合《工程测量规范》（GB 50026-2007），《建筑变形测量规范》（JGJ 8-2016），《国家一二等水准测量规范》（GB/T 24314-2009），《水利工程观测规程》（DB32/T 1732-2011）等规范规程要求。</w:t>
      </w:r>
    </w:p>
    <w:p>
      <w:pPr>
        <w:snapToGrid w:val="0"/>
        <w:spacing w:line="480" w:lineRule="exact"/>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三、资料成果</w:t>
      </w:r>
    </w:p>
    <w:p>
      <w:pPr>
        <w:adjustRightInd w:val="0"/>
        <w:snapToGrid w:val="0"/>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（一）原始资料</w:t>
      </w:r>
    </w:p>
    <w:p>
      <w:pPr>
        <w:adjustRightInd w:val="0"/>
        <w:snapToGrid w:val="0"/>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提供垂直位移、水平位移、扬压力观测（含清淤）、伸缩缝观测及水尺比测等现场的观测记录、原始资料。</w:t>
      </w:r>
    </w:p>
    <w:p>
      <w:pPr>
        <w:adjustRightInd w:val="0"/>
        <w:snapToGrid w:val="0"/>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（二）绘制图表（包括但不限于）</w:t>
      </w:r>
    </w:p>
    <w:p>
      <w:pPr>
        <w:adjustRightInd w:val="0"/>
        <w:snapToGri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3.1</w:t>
      </w:r>
      <w:r>
        <w:rPr>
          <w:rFonts w:hint="eastAsia" w:ascii="宋体" w:hAnsi="宋体" w:cs="宋体"/>
          <w:color w:val="auto"/>
          <w:sz w:val="24"/>
          <w:highlight w:val="none"/>
        </w:rPr>
        <w:t>垂直位移观测</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垂直位移观测标点及观测线路示意图</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垂直位移工作基点考证表 </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垂直位移工作基点高程考证表 </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垂直位移观测标点考证表 </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水准观测记录表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观测点高程计算表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垂直位移观测成果表 </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I角检验记录表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垂直位移观测汇总表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沉降变化曲线图</w:t>
      </w:r>
    </w:p>
    <w:p>
      <w:pPr>
        <w:adjustRightInd w:val="0"/>
        <w:snapToGri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w:t>
      </w:r>
      <w:r>
        <w:rPr>
          <w:rFonts w:hint="eastAsia" w:ascii="宋体" w:hAnsi="宋体" w:cs="宋体"/>
          <w:color w:val="auto"/>
          <w:sz w:val="24"/>
          <w:highlight w:val="none"/>
        </w:rPr>
        <w:t>水平位移观测</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水平位移观测标点及观测线路示意图</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水平位移工作基点考证表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水平位移观测记录表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观测点位移计算表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水平位移观测成果表 </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水平位移观测汇总表</w:t>
      </w:r>
    </w:p>
    <w:p>
      <w:pPr>
        <w:adjustRightInd w:val="0"/>
        <w:snapToGri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水平位移变化曲线图</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3.3</w:t>
      </w:r>
      <w:r>
        <w:rPr>
          <w:rFonts w:hint="eastAsia" w:ascii="宋体" w:hAnsi="宋体" w:cs="宋体"/>
          <w:color w:val="auto"/>
          <w:sz w:val="24"/>
          <w:highlight w:val="none"/>
        </w:rPr>
        <w:t>扬压力观测</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测压管位置示意图</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测压管考证表</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测压管管口高程考证表</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测压管注水试验成果表</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测压管淤积深度统计表</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测压管水位统计表</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测压管水位过程线</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观测成果分析</w:t>
      </w:r>
    </w:p>
    <w:p>
      <w:pPr>
        <w:adjustRightInd w:val="0"/>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3.4伸缩缝观测</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伸缩缝位置示意图</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伸缩缝缝宽记录表统计表</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伸缩缝变化过程线</w:t>
      </w:r>
    </w:p>
    <w:p>
      <w:pPr>
        <w:adjustRightInd w:val="0"/>
        <w:snapToGrid w:val="0"/>
        <w:spacing w:line="48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观测成果分析</w:t>
      </w:r>
    </w:p>
    <w:p>
      <w:pPr>
        <w:adjustRightInd w:val="0"/>
        <w:snapToGrid w:val="0"/>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（三）成果分析报告</w:t>
      </w:r>
    </w:p>
    <w:p>
      <w:pPr>
        <w:adjustRightInd w:val="0"/>
        <w:snapToGrid w:val="0"/>
        <w:spacing w:line="48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按照《工程测量规范》（GB 50026-2007）、《水利工程观测规程》（DB32/T 1713-2011）等要求，对观测结果进行整编分析，并根据分析对工程运行状态进行评价，对工程控制运用和维修加固等提出初步意见。报告内容还需包括概况、技术依据、观测手段、测网及观测点的布设、坐标系统、作业方法简述、仪器配备、观测时的水情气象和工程运用状况、观测时发生的问题和处理办法、经验教训，观测手段的改进和革新，观测精度的自我评价、成果初步分析、技术结论等。</w:t>
      </w:r>
    </w:p>
    <w:p>
      <w:pPr>
        <w:adjustRightInd w:val="0"/>
        <w:snapToGri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垂直位移和水平位移观测成果分析应根据每次垂直位移和水平位移观测成果，结合其他观测资料、水文地质资料及工程维修改造情况，分析垂直位移和水平位移的变化规律及趋势，并与上次观测成果及初始值进行比较分析其是否正常。重点分析近期位移量的最大、最小值及累计、间隔位移量和相对不均匀位移量的极值与异常部位，根据分析对工程的运行状态进行评价，对工程控制运用和维修加固等提出初步意见。测压管水位和伸缩缝变化应进行有效分析，并提出对工程安全运行的意见。</w:t>
      </w:r>
    </w:p>
    <w:p>
      <w:pPr>
        <w:snapToGrid w:val="0"/>
        <w:spacing w:line="480" w:lineRule="exact"/>
        <w:ind w:firstLine="480" w:firstLineChars="200"/>
        <w:outlineLvl w:val="1"/>
        <w:rPr>
          <w:rFonts w:hint="eastAsia"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、工程量清单</w:t>
      </w:r>
    </w:p>
    <w:tbl>
      <w:tblPr>
        <w:tblStyle w:val="64"/>
        <w:tblW w:w="9351" w:type="dxa"/>
        <w:jc w:val="center"/>
        <w:tblLayout w:type="autofit"/>
        <w:tblCellMar>
          <w:top w:w="0" w:type="dxa"/>
          <w:left w:w="108" w:type="dxa"/>
          <w:bottom w:w="0" w:type="dxa"/>
          <w:right w:w="108" w:type="dxa"/>
        </w:tblCellMar>
      </w:tblPr>
      <w:tblGrid>
        <w:gridCol w:w="794"/>
        <w:gridCol w:w="1247"/>
        <w:gridCol w:w="2154"/>
        <w:gridCol w:w="907"/>
        <w:gridCol w:w="907"/>
        <w:gridCol w:w="1531"/>
        <w:gridCol w:w="1811"/>
      </w:tblGrid>
      <w:tr>
        <w:tblPrEx>
          <w:tblCellMar>
            <w:top w:w="0" w:type="dxa"/>
            <w:left w:w="108" w:type="dxa"/>
            <w:bottom w:w="0" w:type="dxa"/>
            <w:right w:w="108" w:type="dxa"/>
          </w:tblCellMar>
        </w:tblPrEx>
        <w:trPr>
          <w:trHeight w:val="518"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2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21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观测内容</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次数</w:t>
            </w: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观测周期</w:t>
            </w:r>
          </w:p>
        </w:tc>
        <w:tc>
          <w:tcPr>
            <w:tcW w:w="18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108" w:type="dxa"/>
            <w:bottom w:w="0" w:type="dxa"/>
            <w:right w:w="108" w:type="dxa"/>
          </w:tblCellMar>
        </w:tblPrEx>
        <w:trPr>
          <w:trHeight w:val="510" w:hRule="atLeast"/>
          <w:jc w:val="center"/>
        </w:trPr>
        <w:tc>
          <w:tcPr>
            <w:tcW w:w="79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4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沉降观测</w:t>
            </w: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工作基点考证</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每年2次</w:t>
            </w:r>
          </w:p>
        </w:tc>
        <w:tc>
          <w:tcPr>
            <w:tcW w:w="18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含原始记录、</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资料分析、</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出具相关报告</w:t>
            </w:r>
          </w:p>
        </w:tc>
      </w:tr>
      <w:tr>
        <w:tblPrEx>
          <w:tblCellMar>
            <w:top w:w="0" w:type="dxa"/>
            <w:left w:w="108" w:type="dxa"/>
            <w:bottom w:w="0" w:type="dxa"/>
            <w:right w:w="108" w:type="dxa"/>
          </w:tblCellMar>
        </w:tblPrEx>
        <w:trPr>
          <w:trHeight w:val="510" w:hRule="atLeast"/>
          <w:jc w:val="center"/>
        </w:trPr>
        <w:tc>
          <w:tcPr>
            <w:tcW w:w="79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124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沉降点监测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90</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每季度1次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124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水准线路</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每季度1次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247"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水平位移观测</w:t>
            </w: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工作基点考证</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每季度1次</w:t>
            </w:r>
          </w:p>
        </w:tc>
        <w:tc>
          <w:tcPr>
            <w:tcW w:w="1811"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含原始记录、</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资料分析、</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出具相关报告</w:t>
            </w:r>
          </w:p>
        </w:tc>
      </w:tr>
      <w:tr>
        <w:tblPrEx>
          <w:tblCellMar>
            <w:top w:w="0" w:type="dxa"/>
            <w:left w:w="108" w:type="dxa"/>
            <w:bottom w:w="0" w:type="dxa"/>
            <w:right w:w="108" w:type="dxa"/>
          </w:tblCellMar>
        </w:tblPrEx>
        <w:trPr>
          <w:trHeight w:val="510" w:hRule="atLeast"/>
          <w:jc w:val="center"/>
        </w:trPr>
        <w:tc>
          <w:tcPr>
            <w:tcW w:w="794"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124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水平位移监测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每季度1次</w:t>
            </w:r>
          </w:p>
        </w:tc>
        <w:tc>
          <w:tcPr>
            <w:tcW w:w="1811"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24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测压管</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观测</w:t>
            </w: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管口高程考证</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每年1次</w:t>
            </w:r>
          </w:p>
        </w:tc>
        <w:tc>
          <w:tcPr>
            <w:tcW w:w="18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含原始记录、</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资料分析、</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出具相关报告</w:t>
            </w:r>
          </w:p>
        </w:tc>
      </w:tr>
      <w:tr>
        <w:tblPrEx>
          <w:tblCellMar>
            <w:top w:w="0" w:type="dxa"/>
            <w:left w:w="108" w:type="dxa"/>
            <w:bottom w:w="0" w:type="dxa"/>
            <w:right w:w="108" w:type="dxa"/>
          </w:tblCellMar>
        </w:tblPrEx>
        <w:trPr>
          <w:trHeight w:val="680" w:hRule="atLeast"/>
          <w:jc w:val="center"/>
        </w:trPr>
        <w:tc>
          <w:tcPr>
            <w:tcW w:w="79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kern w:val="0"/>
                <w:szCs w:val="21"/>
                <w:highlight w:val="none"/>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测压管进水</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灵敏度试验</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680" w:hRule="atLeast"/>
          <w:jc w:val="center"/>
        </w:trPr>
        <w:tc>
          <w:tcPr>
            <w:tcW w:w="79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kern w:val="0"/>
                <w:szCs w:val="21"/>
                <w:highlight w:val="none"/>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测压管内淤积</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高程观测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kern w:val="0"/>
                <w:szCs w:val="21"/>
                <w:highlight w:val="none"/>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管内水位人工比测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每季度1次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1361" w:hRule="atLeast"/>
          <w:jc w:val="center"/>
        </w:trPr>
        <w:tc>
          <w:tcPr>
            <w:tcW w:w="794"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p>
        </w:tc>
        <w:tc>
          <w:tcPr>
            <w:tcW w:w="12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测压管清淤</w:t>
            </w:r>
          </w:p>
        </w:tc>
        <w:tc>
          <w:tcPr>
            <w:tcW w:w="21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测压管管内淤积清理</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每年1次</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对指定的测压管进行管内清淤，含原始记录、</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资料分析</w:t>
            </w:r>
          </w:p>
        </w:tc>
      </w:tr>
      <w:tr>
        <w:tblPrEx>
          <w:tblCellMar>
            <w:top w:w="0" w:type="dxa"/>
            <w:left w:w="108" w:type="dxa"/>
            <w:bottom w:w="0" w:type="dxa"/>
            <w:right w:w="108" w:type="dxa"/>
          </w:tblCellMar>
        </w:tblPrEx>
        <w:trPr>
          <w:trHeight w:val="680" w:hRule="atLeast"/>
          <w:jc w:val="center"/>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2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伸缩缝</w:t>
            </w:r>
          </w:p>
        </w:tc>
        <w:tc>
          <w:tcPr>
            <w:tcW w:w="21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对水闸、泵站5处伸缩缝进行观测分析</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每季度1次</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含原始记录、</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资料分析、</w:t>
            </w:r>
          </w:p>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出具相关报告</w:t>
            </w:r>
          </w:p>
        </w:tc>
      </w:tr>
      <w:tr>
        <w:tblPrEx>
          <w:tblCellMar>
            <w:top w:w="0" w:type="dxa"/>
            <w:left w:w="108" w:type="dxa"/>
            <w:bottom w:w="0" w:type="dxa"/>
            <w:right w:w="108" w:type="dxa"/>
          </w:tblCellMar>
        </w:tblPrEx>
        <w:trPr>
          <w:trHeight w:val="680" w:hRule="atLeast"/>
          <w:jc w:val="center"/>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2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水尺水位比测</w:t>
            </w:r>
          </w:p>
        </w:tc>
        <w:tc>
          <w:tcPr>
            <w:tcW w:w="21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对工程上下游5处水尺进行比测校核</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每季度1次</w:t>
            </w:r>
          </w:p>
        </w:tc>
        <w:tc>
          <w:tcPr>
            <w:tcW w:w="181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现场校准、调试，提交原始记录</w:t>
            </w:r>
          </w:p>
        </w:tc>
      </w:tr>
    </w:tbl>
    <w:p>
      <w:pPr>
        <w:spacing w:line="360" w:lineRule="auto"/>
        <w:jc w:val="left"/>
        <w:rPr>
          <w:color w:val="auto"/>
          <w:sz w:val="24"/>
          <w:szCs w:val="21"/>
          <w:highlight w:val="none"/>
        </w:rPr>
      </w:pPr>
    </w:p>
    <w:p>
      <w:pPr>
        <w:snapToGrid w:val="0"/>
        <w:spacing w:line="480" w:lineRule="exact"/>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五、服务期限和服务地点</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1、服务期限：自合同签订之日起至2024年12月31日止（</w:t>
      </w:r>
      <w:r>
        <w:rPr>
          <w:rFonts w:hint="eastAsia" w:ascii="宋体" w:hAnsi="宋体" w:cs="宋体"/>
          <w:bCs/>
          <w:color w:val="auto"/>
          <w:sz w:val="24"/>
          <w:highlight w:val="none"/>
          <w:lang w:val="zh-CN"/>
        </w:rPr>
        <w:t>本项目</w:t>
      </w:r>
      <w:r>
        <w:rPr>
          <w:rFonts w:hint="eastAsia" w:ascii="宋体" w:hAnsi="宋体" w:cs="宋体"/>
          <w:bCs/>
          <w:color w:val="auto"/>
          <w:sz w:val="24"/>
          <w:highlight w:val="none"/>
        </w:rPr>
        <w:t>11月中旬须完成第四季度监测）。</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2、服务地点：采购人指定地点。</w:t>
      </w:r>
    </w:p>
    <w:p>
      <w:pPr>
        <w:snapToGrid w:val="0"/>
        <w:spacing w:line="480" w:lineRule="exact"/>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六、履约保证金</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免收。</w:t>
      </w:r>
    </w:p>
    <w:p>
      <w:pPr>
        <w:snapToGrid w:val="0"/>
        <w:spacing w:line="480" w:lineRule="exact"/>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七、付款方式</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2024年5月底完成相应测量任务，提交相应观测成果资料并经采购人审查符合要求后付合同价的50%。</w:t>
      </w:r>
      <w:r>
        <w:rPr>
          <w:rFonts w:hint="eastAsia" w:ascii="宋体" w:hAnsi="宋体" w:cs="宋体"/>
          <w:bCs/>
          <w:color w:val="auto"/>
          <w:sz w:val="24"/>
          <w:highlight w:val="none"/>
          <w:lang w:val="zh-CN"/>
        </w:rPr>
        <w:t>服务期限结束、涉及的所有服务内容完成、所有资料汇总整编并通过采购人组织的评审后，付清余款。</w:t>
      </w:r>
    </w:p>
    <w:p>
      <w:pPr>
        <w:rPr>
          <w:rStyle w:val="123"/>
          <w:rFonts w:hint="default"/>
          <w:bCs/>
          <w:color w:val="auto"/>
          <w:sz w:val="28"/>
          <w:szCs w:val="28"/>
          <w:highlight w:val="none"/>
        </w:rPr>
      </w:pPr>
      <w:r>
        <w:rPr>
          <w:rStyle w:val="123"/>
          <w:rFonts w:hint="default"/>
          <w:bCs/>
          <w:color w:val="auto"/>
          <w:sz w:val="28"/>
          <w:szCs w:val="28"/>
          <w:highlight w:val="none"/>
        </w:rPr>
        <w:br w:type="page"/>
      </w:r>
    </w:p>
    <w:p>
      <w:pPr>
        <w:pStyle w:val="62"/>
        <w:rPr>
          <w:rStyle w:val="123"/>
          <w:rFonts w:hint="default"/>
          <w:color w:val="auto"/>
          <w:sz w:val="28"/>
          <w:szCs w:val="28"/>
          <w:highlight w:val="none"/>
        </w:rPr>
      </w:pPr>
      <w:r>
        <w:rPr>
          <w:rStyle w:val="123"/>
          <w:rFonts w:hint="default"/>
          <w:color w:val="auto"/>
          <w:sz w:val="28"/>
          <w:szCs w:val="28"/>
          <w:highlight w:val="none"/>
        </w:rPr>
        <w:t>第四章  评审方法和程序</w:t>
      </w:r>
    </w:p>
    <w:p>
      <w:pPr>
        <w:snapToGrid w:val="0"/>
        <w:spacing w:line="360" w:lineRule="auto"/>
        <w:ind w:firstLine="480" w:firstLineChars="200"/>
        <w:outlineLvl w:val="1"/>
        <w:rPr>
          <w:rFonts w:ascii="宋体" w:hAnsi="宋体"/>
          <w:b/>
          <w:color w:val="auto"/>
          <w:sz w:val="24"/>
          <w:highlight w:val="none"/>
        </w:rPr>
      </w:pPr>
      <w:bookmarkStart w:id="14" w:name="OLE_LINK65"/>
      <w:bookmarkStart w:id="15" w:name="OLE_LINK61"/>
      <w:r>
        <w:rPr>
          <w:rFonts w:ascii="宋体" w:hAnsi="宋体"/>
          <w:b/>
          <w:color w:val="auto"/>
          <w:sz w:val="24"/>
          <w:highlight w:val="none"/>
        </w:rPr>
        <w:t>一、采购人委托代理机构组织开标</w:t>
      </w:r>
    </w:p>
    <w:p>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1、成立评标委员会，由有关专家依法组成。</w:t>
      </w:r>
    </w:p>
    <w:p>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2、投标人的法定代表人或被授权人须持身份证准时参加投标会。</w:t>
      </w:r>
    </w:p>
    <w:p>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投标人递交投标文件时，投标人的法定代表人（或其授权代理人）必须携带本人身份证原件、法定代表人身份证明（或授权委托书）原件准时参加开标会议。否则，其投标文件不予受理。</w:t>
      </w:r>
    </w:p>
    <w:p>
      <w:pPr>
        <w:autoSpaceDE w:val="0"/>
        <w:autoSpaceDN w:val="0"/>
        <w:adjustRightInd w:val="0"/>
        <w:spacing w:line="360" w:lineRule="auto"/>
        <w:ind w:firstLine="480" w:firstLineChars="200"/>
        <w:rPr>
          <w:rFonts w:ascii="宋体" w:hAnsi="宋体" w:cs="宋体"/>
          <w:b/>
          <w:bCs/>
          <w:color w:val="auto"/>
          <w:sz w:val="24"/>
          <w:highlight w:val="none"/>
        </w:rPr>
      </w:pPr>
      <w:r>
        <w:rPr>
          <w:rFonts w:hint="eastAsia" w:ascii="宋体" w:hAnsi="宋体" w:cs="宋体"/>
          <w:b/>
          <w:color w:val="auto"/>
          <w:sz w:val="24"/>
          <w:highlight w:val="none"/>
        </w:rPr>
        <w:t>注：法定代表人身份证明（或授权委托书）</w:t>
      </w:r>
      <w:r>
        <w:rPr>
          <w:rFonts w:hint="eastAsia" w:ascii="宋体" w:hAnsi="宋体" w:cs="宋体"/>
          <w:b/>
          <w:bCs/>
          <w:color w:val="auto"/>
          <w:sz w:val="24"/>
          <w:highlight w:val="none"/>
        </w:rPr>
        <w:t>不仅需要装订在投标文件中，还需要一份</w:t>
      </w:r>
      <w:r>
        <w:rPr>
          <w:rFonts w:hint="eastAsia" w:ascii="宋体" w:hAnsi="宋体" w:cs="宋体"/>
          <w:b/>
          <w:color w:val="auto"/>
          <w:sz w:val="24"/>
          <w:highlight w:val="none"/>
        </w:rPr>
        <w:t>原件</w:t>
      </w:r>
      <w:r>
        <w:rPr>
          <w:rFonts w:hint="eastAsia" w:ascii="宋体" w:hAnsi="宋体" w:cs="宋体"/>
          <w:b/>
          <w:bCs/>
          <w:color w:val="auto"/>
          <w:sz w:val="24"/>
          <w:highlight w:val="none"/>
        </w:rPr>
        <w:t>由法定代表人（或其授权代理人）在投标时随身携带，供递交投标文件时核验。</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二、开标</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、采购代理机构主持开标并记录，及时处理投标人代表提出的询问或者回避申请。</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投标人不足</w:t>
      </w:r>
      <w:r>
        <w:rPr>
          <w:rFonts w:ascii="宋体" w:hAnsi="宋体"/>
          <w:color w:val="auto"/>
          <w:sz w:val="24"/>
          <w:highlight w:val="none"/>
        </w:rPr>
        <w:t>3</w:t>
      </w:r>
      <w:r>
        <w:rPr>
          <w:rFonts w:hint="eastAsia" w:ascii="宋体" w:hAnsi="宋体"/>
          <w:color w:val="auto"/>
          <w:sz w:val="24"/>
          <w:highlight w:val="none"/>
        </w:rPr>
        <w:t>家的不得开标，相应处理方式见本招标文件第四章第十一条的规定。</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三、资格审查</w:t>
      </w:r>
    </w:p>
    <w:p>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、开标后，采购人及其委托的采购代理机构依据中华人民共和国财政部令第87号《政府采购货物和服务招标投标管理办法》文件第四十四条的规定，根据招标文件载明的资格审查要求，对投标人的资格进行审查。</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2、资格审查合格的投标人进入评标。</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3、合格投标人不足3家的，不得评标，相应处理方式见本招标文件第四部分第十一条的规定。</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四、评标</w:t>
      </w:r>
    </w:p>
    <w:p>
      <w:pPr>
        <w:adjustRightInd w:val="0"/>
        <w:snapToGrid w:val="0"/>
        <w:spacing w:line="360" w:lineRule="auto"/>
        <w:ind w:firstLine="484" w:firstLineChars="202"/>
        <w:rPr>
          <w:rFonts w:ascii="宋体" w:hAnsi="宋体"/>
          <w:b/>
          <w:color w:val="auto"/>
          <w:sz w:val="24"/>
          <w:highlight w:val="none"/>
        </w:rPr>
      </w:pPr>
      <w:r>
        <w:rPr>
          <w:rFonts w:hint="eastAsia" w:ascii="宋体" w:hAnsi="宋体"/>
          <w:color w:val="auto"/>
          <w:sz w:val="24"/>
          <w:highlight w:val="none"/>
        </w:rPr>
        <w:t>1、评标时间：</w:t>
      </w:r>
      <w:r>
        <w:rPr>
          <w:rFonts w:hint="eastAsia" w:ascii="宋体" w:hAnsi="宋体"/>
          <w:b/>
          <w:color w:val="auto"/>
          <w:sz w:val="24"/>
          <w:highlight w:val="none"/>
        </w:rPr>
        <w:t>开标后。</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2、采购代理机构负责组织评标工作，并履行下列职责：</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（1）核对评审专家身份，对评审专家在政府采购活动中的职责履行情况予以记录，并及时将有关违法违规行为向财政部门报告。</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（2）宣布评标纪律。</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（3）公布投标人名单，告知评审专家应当回避的情形。</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（4）组织评标委员会推选评标组长，采购人代表不得担任组长。</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（6）根据评标委员会的要求介绍政府采购相关政策法规、招标文件。</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（8）核对评标结果，有下列规定情形的，要求评标委员会复核或者书面说明理由，评标委员会拒绝的，则予以书面记录并向本级财政部门报告：</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① 分值汇总计算错误的；</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② 分项评分超出评分标准范围的；</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③ 评标委员会成员对客观评审因素评分不一致的；</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④ 经评标委员会认定评分畸高、畸低的。</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（9）评审工作完成后，按照规定向评审专家支付劳务报酬和异地评审差旅费，不得向评审专家以外的其他人员支付评审劳务报酬；</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（10）处理与评标有关的其他事项。</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3、评标委员会负责具体评标事务：</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4、评标委员会成员独立履行以下职责与义务：</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（1）遵纪守法，客观、公正、廉洁地履行职责；</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（2）审查合格投标人的投标文件是否实质性响应招标文件要求，并做出评价；</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（3）按照招标文件规定的评标办法和评标标准进行评标，对评审意见承担个人责任；</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（4）可以要求投标人对投标文件有关事项作出解释或澄清；</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（5）对评标过程和结果，以及投标人的商业秘密保密；</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（6）配合相关部门的投诉处理工作；</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（7）配合采购人或采购代理机构答复投标人提出的质疑。</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7、评审期间，合格投标人的投标文件仍有可能被评标委员会根据规定判为无效投标。</w:t>
      </w:r>
    </w:p>
    <w:p>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8、在投标文件的评审、澄清、评价和比较以及授予合同的过程中，投标人对采购人和评标委员会成员有施加影响的任何行为，都将取消其可能的中标资格。</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五、评审原则</w:t>
      </w:r>
    </w:p>
    <w:p>
      <w:pPr>
        <w:snapToGrid w:val="0"/>
        <w:spacing w:line="360" w:lineRule="auto"/>
        <w:ind w:firstLine="484" w:firstLineChars="202"/>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本项目采用</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综合评分法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，即指投标文件满足本项目招标文件全部实质性要求，且按照评审因素的量化指标，经评审后总得分最高的投标人推荐为中标人的评标方法。</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4、对投标文件的评审判定，只依据投标文件内容本身，不依靠开标后任何外来证明文件。</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六、评审方法</w:t>
      </w:r>
    </w:p>
    <w:p>
      <w:pPr>
        <w:snapToGrid w:val="0"/>
        <w:spacing w:line="360" w:lineRule="auto"/>
        <w:ind w:firstLine="484" w:firstLineChars="202"/>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评标程序：</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资格符合性评审——商务技术标评审——价格标评审——确定中标候选人。</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本次资格审查采用资格后审，各投标人资格审查通过后方能进入商务技术标的开标。先开商务技术标，商务技术标打分结束后再开价格标。</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3、本次项目的商务技术标和价格标评审总分值为100分。两部分评审因素比重如下：</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商务技术标分值占总分值的比重为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7</w:t>
      </w:r>
      <w:r>
        <w:rPr>
          <w:rFonts w:ascii="宋体" w:hAnsi="宋体" w:cs="宋体"/>
          <w:b/>
          <w:bCs/>
          <w:color w:val="auto"/>
          <w:sz w:val="24"/>
          <w:highlight w:val="none"/>
          <w:u w:val="single"/>
        </w:rPr>
        <w:t>0</w:t>
      </w:r>
      <w:r>
        <w:rPr>
          <w:rFonts w:hint="eastAsia" w:ascii="宋体" w:hAnsi="宋体" w:cs="宋体"/>
          <w:b/>
          <w:bCs/>
          <w:color w:val="auto"/>
          <w:sz w:val="24"/>
          <w:highlight w:val="none"/>
          <w:u w:val="single"/>
        </w:rPr>
        <w:t xml:space="preserve">%（权重）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价格标分值占总分值的比重为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3</w:t>
      </w:r>
      <w:r>
        <w:rPr>
          <w:rFonts w:ascii="宋体" w:hAnsi="宋体" w:cs="宋体"/>
          <w:b/>
          <w:bCs/>
          <w:color w:val="auto"/>
          <w:sz w:val="24"/>
          <w:highlight w:val="none"/>
          <w:u w:val="single"/>
        </w:rPr>
        <w:t>0</w:t>
      </w:r>
      <w:r>
        <w:rPr>
          <w:rFonts w:hint="eastAsia" w:ascii="宋体" w:hAnsi="宋体" w:cs="宋体"/>
          <w:b/>
          <w:bCs/>
          <w:color w:val="auto"/>
          <w:sz w:val="24"/>
          <w:highlight w:val="none"/>
          <w:u w:val="single"/>
        </w:rPr>
        <w:t>%（权重）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4、评标委员会严格按照招标文件的要求、条件、评分标准，对投标人所提供货物或服务的先进性、可靠性、售后服务承诺、质量保证承诺等实质性响应内容进行比较。</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5、评标委员会构成共5人；评标委员会各成员独立对每个进入打分程序的有效投标人的投标文件的技术部分以打分的形式进行评审和评价。</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6、商务技术标得分按算术平均值计算（计算结果均四舍五入保留两位小数）。</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7、开启投标人的商务报价标，现场唱标后由投标人代表签名确认。</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8、投标人的价格标评审得分直接计算取得，并与其商务技术标得分相加为该投标人的综合得分（计算结果均四舍五入保留两位小数）。</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10、评标结果按投标文件满足招标文件全部实质性要求，且按照评审因素的量化指标评审综合得分从高到低的顺序依次推荐3名中标候选人，出具评审报告并将结果通知所有投标人。</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七、关于投标价格评审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1、针对投标价格实质响应的评审</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2、针对投标价格合理性的评审</w:t>
      </w:r>
    </w:p>
    <w:p>
      <w:pPr>
        <w:snapToGrid w:val="0"/>
        <w:spacing w:line="360" w:lineRule="auto"/>
        <w:ind w:firstLine="484" w:firstLineChars="202"/>
        <w:rPr>
          <w:rFonts w:ascii="宋体" w:hAnsi="宋体"/>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 xml:space="preserve"> </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八、评审评分项</w:t>
      </w:r>
    </w:p>
    <w:p>
      <w:pPr>
        <w:spacing w:line="360" w:lineRule="auto"/>
        <w:ind w:firstLine="480" w:firstLineChars="200"/>
        <w:rPr>
          <w:rFonts w:ascii="宋体" w:hAnsi="宋体"/>
          <w:b/>
          <w:bCs/>
          <w:color w:val="auto"/>
          <w:sz w:val="24"/>
          <w:highlight w:val="none"/>
        </w:rPr>
      </w:pPr>
      <w:r>
        <w:rPr>
          <w:rFonts w:hint="eastAsia" w:ascii="宋体" w:hAnsi="宋体"/>
          <w:b/>
          <w:bCs/>
          <w:color w:val="auto"/>
          <w:sz w:val="24"/>
          <w:highlight w:val="none"/>
        </w:rPr>
        <w:t>（一）商务技术标</w:t>
      </w:r>
      <w:r>
        <w:rPr>
          <w:rFonts w:ascii="宋体" w:hAnsi="宋体"/>
          <w:b/>
          <w:bCs/>
          <w:color w:val="auto"/>
          <w:sz w:val="24"/>
          <w:highlight w:val="none"/>
        </w:rPr>
        <w:t xml:space="preserve">  （</w:t>
      </w:r>
      <w:r>
        <w:rPr>
          <w:rFonts w:hint="eastAsia" w:ascii="宋体" w:hAnsi="宋体"/>
          <w:b/>
          <w:bCs/>
          <w:color w:val="auto"/>
          <w:sz w:val="24"/>
          <w:highlight w:val="none"/>
        </w:rPr>
        <w:t>7</w:t>
      </w:r>
      <w:r>
        <w:rPr>
          <w:rFonts w:ascii="宋体" w:hAnsi="宋体"/>
          <w:b/>
          <w:bCs/>
          <w:color w:val="auto"/>
          <w:sz w:val="24"/>
          <w:highlight w:val="none"/>
        </w:rPr>
        <w:t>0分）</w:t>
      </w:r>
    </w:p>
    <w:bookmarkEnd w:id="14"/>
    <w:bookmarkEnd w:id="15"/>
    <w:tbl>
      <w:tblPr>
        <w:tblStyle w:val="64"/>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89"/>
        <w:gridCol w:w="836"/>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6" w:type="dxa"/>
            <w:vAlign w:val="center"/>
          </w:tcPr>
          <w:p>
            <w:pPr>
              <w:snapToGrid w:val="0"/>
              <w:contextualSpacing/>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序号</w:t>
            </w:r>
          </w:p>
        </w:tc>
        <w:tc>
          <w:tcPr>
            <w:tcW w:w="1789" w:type="dxa"/>
            <w:vAlign w:val="center"/>
          </w:tcPr>
          <w:p>
            <w:pPr>
              <w:snapToGrid w:val="0"/>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评分点名称</w:t>
            </w:r>
          </w:p>
        </w:tc>
        <w:tc>
          <w:tcPr>
            <w:tcW w:w="836" w:type="dxa"/>
            <w:vAlign w:val="center"/>
          </w:tcPr>
          <w:p>
            <w:pPr>
              <w:snapToGrid w:val="0"/>
              <w:contextualSpacing/>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分值</w:t>
            </w:r>
          </w:p>
        </w:tc>
        <w:tc>
          <w:tcPr>
            <w:tcW w:w="5886" w:type="dxa"/>
            <w:vAlign w:val="center"/>
          </w:tcPr>
          <w:p>
            <w:pPr>
              <w:snapToGrid w:val="0"/>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widowControl/>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1</w:t>
            </w:r>
          </w:p>
        </w:tc>
        <w:tc>
          <w:tcPr>
            <w:tcW w:w="1789" w:type="dxa"/>
            <w:vAlign w:val="center"/>
          </w:tcPr>
          <w:p>
            <w:pPr>
              <w:widowControl/>
              <w:jc w:val="center"/>
              <w:rPr>
                <w:rFonts w:ascii="宋体" w:hAnsi="宋体" w:cs="宋体"/>
                <w:b/>
                <w:bCs/>
                <w:color w:val="auto"/>
                <w:kern w:val="0"/>
                <w:sz w:val="24"/>
                <w:highlight w:val="none"/>
              </w:rPr>
            </w:pPr>
            <w:r>
              <w:rPr>
                <w:rFonts w:hint="eastAsia" w:ascii="宋体" w:hAnsi="宋体" w:cs="宋体"/>
                <w:b/>
                <w:color w:val="auto"/>
                <w:sz w:val="24"/>
                <w:highlight w:val="none"/>
              </w:rPr>
              <w:t>投标人业绩</w:t>
            </w:r>
          </w:p>
        </w:tc>
        <w:tc>
          <w:tcPr>
            <w:tcW w:w="836" w:type="dxa"/>
            <w:vAlign w:val="center"/>
          </w:tcPr>
          <w:p>
            <w:pPr>
              <w:widowControl/>
              <w:jc w:val="center"/>
              <w:rPr>
                <w:rFonts w:ascii="宋体" w:hAnsi="宋体" w:cs="宋体"/>
                <w:b/>
                <w:bCs/>
                <w:color w:val="auto"/>
                <w:kern w:val="0"/>
                <w:sz w:val="24"/>
                <w:highlight w:val="none"/>
              </w:rPr>
            </w:pPr>
            <w:r>
              <w:rPr>
                <w:rFonts w:hint="eastAsia" w:ascii="宋体" w:hAnsi="宋体" w:cs="宋体"/>
                <w:color w:val="auto"/>
                <w:sz w:val="24"/>
                <w:highlight w:val="none"/>
              </w:rPr>
              <w:t>15</w:t>
            </w:r>
            <w:r>
              <w:rPr>
                <w:rFonts w:hint="eastAsia" w:ascii="宋体" w:hAnsi="宋体" w:cs="宋体"/>
                <w:b/>
                <w:bCs/>
                <w:color w:val="auto"/>
                <w:kern w:val="0"/>
                <w:sz w:val="24"/>
                <w:highlight w:val="none"/>
              </w:rPr>
              <w:t>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供应商近5年来（2018年1月1日以后，以合同签订日期为准），具有本项目同类水闸或泵站工程沉降位移监测业绩，有一个得3分，本项最多得15分（同时提供合同、中标通知书和验收证明材料原件复印件并加盖公章，三者缺一不可，提供不全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w:t>
            </w:r>
          </w:p>
        </w:tc>
        <w:tc>
          <w:tcPr>
            <w:tcW w:w="1789" w:type="dxa"/>
            <w:vAlign w:val="center"/>
          </w:tcPr>
          <w:p>
            <w:pPr>
              <w:widowControl/>
              <w:jc w:val="center"/>
              <w:rPr>
                <w:rFonts w:ascii="宋体" w:hAnsi="宋体" w:cs="宋体"/>
                <w:b/>
                <w:bCs/>
                <w:color w:val="auto"/>
                <w:kern w:val="0"/>
                <w:sz w:val="24"/>
                <w:highlight w:val="none"/>
              </w:rPr>
            </w:pPr>
            <w:r>
              <w:rPr>
                <w:rFonts w:hint="eastAsia" w:ascii="宋体" w:hAnsi="宋体" w:cs="宋体"/>
                <w:b/>
                <w:color w:val="auto"/>
                <w:sz w:val="24"/>
                <w:highlight w:val="none"/>
              </w:rPr>
              <w:t>项目组成员及设备</w:t>
            </w:r>
          </w:p>
        </w:tc>
        <w:tc>
          <w:tcPr>
            <w:tcW w:w="83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16分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1、拟投入的项目技术负责人（项目负责人、技术人员除外）具备水利工程专业高级工程师及以上职称的得2分，具备注册测绘师的得1分，本项最多得3分；</w:t>
            </w:r>
          </w:p>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2、拟投入技术人员（不含项目负责人、项目技术负责人、技术人员）具有水利工程专业中级及以上职称有1个得2分，本项最高得10分。</w:t>
            </w:r>
          </w:p>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3、针对测量观测的实际工作，提供详细的观测、测量所需的各类设备清单。提供设备器材全面、有针对性的：2-3分；提供设备器材较全面、有针对性的：1-1.9分；提供设备器材有但不全面的0-0.9分。</w:t>
            </w:r>
          </w:p>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注明：以上1-2条款项目负责人、技术负责人、技术人员不可重复计算，需提供人员证书复印件及投标企业所在地社保机构出具的企业为其缴纳的最近6个月中任意一个月的社保缴费证明并加盖公章，可提供原件复印件件或官网打印具有二维码或验证码的官网打印件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w:t>
            </w:r>
          </w:p>
        </w:tc>
        <w:tc>
          <w:tcPr>
            <w:tcW w:w="1789" w:type="dxa"/>
            <w:vAlign w:val="center"/>
          </w:tcPr>
          <w:p>
            <w:pPr>
              <w:tabs>
                <w:tab w:val="left" w:pos="2850"/>
                <w:tab w:val="center" w:pos="4153"/>
              </w:tabs>
              <w:adjustRightInd w:val="0"/>
              <w:jc w:val="center"/>
              <w:rPr>
                <w:rFonts w:ascii="宋体" w:hAnsi="宋体" w:cs="宋体"/>
                <w:b/>
                <w:bCs/>
                <w:color w:val="auto"/>
                <w:kern w:val="0"/>
                <w:sz w:val="24"/>
                <w:highlight w:val="none"/>
              </w:rPr>
            </w:pPr>
            <w:r>
              <w:rPr>
                <w:rFonts w:hint="eastAsia" w:ascii="宋体" w:hAnsi="宋体" w:cs="宋体"/>
                <w:b/>
                <w:color w:val="auto"/>
                <w:sz w:val="24"/>
                <w:highlight w:val="none"/>
              </w:rPr>
              <w:t>投标人对本项目的理解及总体规划思路</w:t>
            </w:r>
          </w:p>
        </w:tc>
        <w:tc>
          <w:tcPr>
            <w:tcW w:w="836" w:type="dxa"/>
            <w:vAlign w:val="center"/>
          </w:tcPr>
          <w:p>
            <w:pPr>
              <w:jc w:val="center"/>
              <w:rPr>
                <w:rFonts w:ascii="宋体" w:hAnsi="宋体" w:cs="宋体"/>
                <w:b/>
                <w:bCs/>
                <w:color w:val="auto"/>
                <w:kern w:val="0"/>
                <w:sz w:val="24"/>
                <w:highlight w:val="none"/>
              </w:rPr>
            </w:pPr>
            <w:r>
              <w:rPr>
                <w:rFonts w:hint="eastAsia" w:ascii="宋体" w:hAnsi="宋体" w:cs="宋体"/>
                <w:b/>
                <w:color w:val="auto"/>
                <w:sz w:val="24"/>
                <w:highlight w:val="none"/>
              </w:rPr>
              <w:t>8分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了解项目总体情况；对本工程具体情况是否熟悉，对本项目理解是否透彻等进行评审。监测工作内容熟悉、理解透彻得6-8分；监测工作内容较熟悉、理解较透彻得3-5.9分；不熟悉、内容粗略得0-2.9分，其他情况或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4</w:t>
            </w:r>
          </w:p>
        </w:tc>
        <w:tc>
          <w:tcPr>
            <w:tcW w:w="1789" w:type="dxa"/>
            <w:vAlign w:val="center"/>
          </w:tcPr>
          <w:p>
            <w:pPr>
              <w:tabs>
                <w:tab w:val="left" w:pos="2850"/>
                <w:tab w:val="center" w:pos="4153"/>
              </w:tabs>
              <w:adjustRightInd w:val="0"/>
              <w:jc w:val="center"/>
              <w:rPr>
                <w:rFonts w:ascii="宋体" w:hAnsi="宋体" w:cs="宋体"/>
                <w:b/>
                <w:bCs/>
                <w:color w:val="auto"/>
                <w:kern w:val="0"/>
                <w:sz w:val="24"/>
                <w:highlight w:val="none"/>
              </w:rPr>
            </w:pPr>
            <w:r>
              <w:rPr>
                <w:rFonts w:hint="eastAsia" w:ascii="宋体" w:hAnsi="宋体" w:cs="宋体"/>
                <w:b/>
                <w:color w:val="auto"/>
                <w:sz w:val="24"/>
                <w:highlight w:val="none"/>
              </w:rPr>
              <w:t>技术方案</w:t>
            </w:r>
          </w:p>
        </w:tc>
        <w:tc>
          <w:tcPr>
            <w:tcW w:w="836" w:type="dxa"/>
            <w:vAlign w:val="center"/>
          </w:tcPr>
          <w:p>
            <w:pPr>
              <w:jc w:val="center"/>
              <w:rPr>
                <w:rFonts w:ascii="宋体" w:hAnsi="宋体" w:cs="宋体"/>
                <w:b/>
                <w:bCs/>
                <w:color w:val="auto"/>
                <w:kern w:val="0"/>
                <w:sz w:val="24"/>
                <w:highlight w:val="none"/>
              </w:rPr>
            </w:pPr>
            <w:r>
              <w:rPr>
                <w:rFonts w:hint="eastAsia" w:ascii="宋体" w:hAnsi="宋体" w:cs="宋体"/>
                <w:b/>
                <w:color w:val="auto"/>
                <w:sz w:val="24"/>
                <w:highlight w:val="none"/>
              </w:rPr>
              <w:t>10分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监测分析技术方案：针对内容是否全面、思路是否清、技术路线是否正确等情况，思路切合工程实际、可行，测量技术手段先进、仪器设备检校方案科学合理的6-10分；思路较切合工程实际、可行，测量技术手段较先进、仪器设备检校方案较科学合理的3-5.9分；有思路分析，但不科学、不合理的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5</w:t>
            </w:r>
          </w:p>
        </w:tc>
        <w:tc>
          <w:tcPr>
            <w:tcW w:w="1789" w:type="dxa"/>
            <w:vAlign w:val="center"/>
          </w:tcPr>
          <w:p>
            <w:pPr>
              <w:tabs>
                <w:tab w:val="left" w:pos="2850"/>
                <w:tab w:val="center" w:pos="4153"/>
              </w:tabs>
              <w:adjustRightInd w:val="0"/>
              <w:jc w:val="center"/>
              <w:rPr>
                <w:rFonts w:ascii="宋体" w:hAnsi="宋体" w:cs="宋体"/>
                <w:b/>
                <w:bCs/>
                <w:color w:val="auto"/>
                <w:kern w:val="0"/>
                <w:sz w:val="24"/>
                <w:highlight w:val="none"/>
              </w:rPr>
            </w:pPr>
            <w:r>
              <w:rPr>
                <w:rFonts w:hint="eastAsia" w:ascii="宋体" w:hAnsi="宋体" w:cs="宋体"/>
                <w:b/>
                <w:color w:val="auto"/>
                <w:sz w:val="24"/>
                <w:highlight w:val="none"/>
              </w:rPr>
              <w:t>基础资料</w:t>
            </w:r>
          </w:p>
        </w:tc>
        <w:tc>
          <w:tcPr>
            <w:tcW w:w="836" w:type="dxa"/>
            <w:vAlign w:val="center"/>
          </w:tcPr>
          <w:p>
            <w:pPr>
              <w:jc w:val="center"/>
              <w:rPr>
                <w:rFonts w:ascii="宋体" w:hAnsi="宋体" w:cs="宋体"/>
                <w:b/>
                <w:bCs/>
                <w:color w:val="auto"/>
                <w:kern w:val="0"/>
                <w:sz w:val="24"/>
                <w:highlight w:val="none"/>
              </w:rPr>
            </w:pPr>
            <w:r>
              <w:rPr>
                <w:rFonts w:hint="eastAsia" w:ascii="宋体" w:hAnsi="宋体" w:cs="宋体"/>
                <w:b/>
                <w:color w:val="auto"/>
                <w:sz w:val="24"/>
                <w:highlight w:val="none"/>
              </w:rPr>
              <w:t>3分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基础资料收集方案内容完整，收集保障措施切实可行。内业成果处理正确、处理软件成熟、成果可靠有保障。所有涉及内容合理可靠的得2-3分；内容较全面、合理的得1-1.9分；内容一般全面、合理的得0-0.9分；内容不全面、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6</w:t>
            </w:r>
          </w:p>
        </w:tc>
        <w:tc>
          <w:tcPr>
            <w:tcW w:w="1789" w:type="dxa"/>
            <w:vAlign w:val="center"/>
          </w:tcPr>
          <w:p>
            <w:pPr>
              <w:tabs>
                <w:tab w:val="left" w:pos="2850"/>
                <w:tab w:val="center" w:pos="4153"/>
              </w:tabs>
              <w:adjustRightInd w:val="0"/>
              <w:jc w:val="center"/>
              <w:rPr>
                <w:rFonts w:ascii="宋体" w:hAnsi="宋体" w:cs="宋体"/>
                <w:b/>
                <w:color w:val="auto"/>
                <w:sz w:val="24"/>
                <w:highlight w:val="none"/>
              </w:rPr>
            </w:pPr>
            <w:r>
              <w:rPr>
                <w:rFonts w:hint="eastAsia" w:ascii="宋体" w:hAnsi="宋体" w:cs="宋体"/>
                <w:b/>
                <w:color w:val="auto"/>
                <w:sz w:val="24"/>
                <w:highlight w:val="none"/>
              </w:rPr>
              <w:t>进度安排</w:t>
            </w:r>
          </w:p>
        </w:tc>
        <w:tc>
          <w:tcPr>
            <w:tcW w:w="836" w:type="dxa"/>
            <w:vAlign w:val="center"/>
          </w:tcPr>
          <w:p>
            <w:pPr>
              <w:jc w:val="center"/>
              <w:rPr>
                <w:rFonts w:ascii="宋体" w:hAnsi="宋体" w:cs="宋体"/>
                <w:b/>
                <w:bCs/>
                <w:color w:val="auto"/>
                <w:kern w:val="0"/>
                <w:sz w:val="24"/>
                <w:highlight w:val="none"/>
              </w:rPr>
            </w:pPr>
            <w:r>
              <w:rPr>
                <w:rFonts w:hint="eastAsia" w:ascii="宋体" w:hAnsi="宋体" w:cs="宋体"/>
                <w:b/>
                <w:color w:val="auto"/>
                <w:sz w:val="24"/>
                <w:highlight w:val="none"/>
              </w:rPr>
              <w:t>3分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进度计划需满足招标文件要求，进度保证措施是否合理等进行评审。针对采购需求中进度安排、思路清晰明了、合理齐全，便于执行的得2-3分；方案满足采购需求，对进度方案建议基本完整、且可执行的得1-1.9分；方案粗略、虽然存在缺陷，但通过后期优化，能够满足采购需求的得0-0.9分，其他情况或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7</w:t>
            </w:r>
          </w:p>
        </w:tc>
        <w:tc>
          <w:tcPr>
            <w:tcW w:w="1789" w:type="dxa"/>
            <w:vAlign w:val="center"/>
          </w:tcPr>
          <w:p>
            <w:pPr>
              <w:tabs>
                <w:tab w:val="left" w:pos="2850"/>
                <w:tab w:val="center" w:pos="4153"/>
              </w:tabs>
              <w:adjustRightInd w:val="0"/>
              <w:jc w:val="center"/>
              <w:rPr>
                <w:rFonts w:ascii="宋体" w:hAnsi="宋体" w:cs="宋体"/>
                <w:b/>
                <w:color w:val="auto"/>
                <w:sz w:val="24"/>
                <w:highlight w:val="none"/>
              </w:rPr>
            </w:pPr>
            <w:r>
              <w:rPr>
                <w:rFonts w:hint="eastAsia" w:ascii="宋体" w:hAnsi="宋体" w:cs="宋体"/>
                <w:b/>
                <w:color w:val="auto"/>
                <w:sz w:val="24"/>
                <w:highlight w:val="none"/>
              </w:rPr>
              <w:t>质量与安全保障</w:t>
            </w:r>
          </w:p>
        </w:tc>
        <w:tc>
          <w:tcPr>
            <w:tcW w:w="836" w:type="dxa"/>
            <w:vAlign w:val="center"/>
          </w:tcPr>
          <w:p>
            <w:pPr>
              <w:jc w:val="center"/>
              <w:rPr>
                <w:rFonts w:ascii="宋体" w:hAnsi="宋体" w:cs="宋体"/>
                <w:b/>
                <w:bCs/>
                <w:color w:val="auto"/>
                <w:kern w:val="0"/>
                <w:sz w:val="24"/>
                <w:highlight w:val="none"/>
              </w:rPr>
            </w:pPr>
            <w:r>
              <w:rPr>
                <w:rFonts w:hint="eastAsia" w:ascii="宋体" w:hAnsi="宋体" w:cs="宋体"/>
                <w:b/>
                <w:color w:val="auto"/>
                <w:sz w:val="24"/>
                <w:highlight w:val="none"/>
              </w:rPr>
              <w:t>3分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监测分析质量保障制度是否健全、是否措施可行、安全保障措施是否完整、是否切实可行等进行评审。内容合理完善得2-3分；内容合理但不完善1-1.9分；内容粗略得0-0.9分，其他情况或没有内容不得分。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8</w:t>
            </w:r>
          </w:p>
        </w:tc>
        <w:tc>
          <w:tcPr>
            <w:tcW w:w="1789" w:type="dxa"/>
            <w:vAlign w:val="center"/>
          </w:tcPr>
          <w:p>
            <w:pPr>
              <w:tabs>
                <w:tab w:val="left" w:pos="2850"/>
                <w:tab w:val="center" w:pos="4153"/>
              </w:tabs>
              <w:adjustRightInd w:val="0"/>
              <w:jc w:val="center"/>
              <w:rPr>
                <w:rFonts w:ascii="宋体" w:hAnsi="宋体" w:cs="宋体"/>
                <w:b/>
                <w:color w:val="auto"/>
                <w:sz w:val="24"/>
                <w:highlight w:val="none"/>
              </w:rPr>
            </w:pPr>
            <w:r>
              <w:rPr>
                <w:rFonts w:hint="eastAsia" w:ascii="宋体" w:hAnsi="宋体" w:cs="宋体"/>
                <w:b/>
                <w:color w:val="auto"/>
                <w:sz w:val="24"/>
                <w:highlight w:val="none"/>
              </w:rPr>
              <w:t>后续服务</w:t>
            </w:r>
          </w:p>
        </w:tc>
        <w:tc>
          <w:tcPr>
            <w:tcW w:w="836" w:type="dxa"/>
            <w:vAlign w:val="center"/>
          </w:tcPr>
          <w:p>
            <w:pPr>
              <w:jc w:val="center"/>
              <w:rPr>
                <w:rFonts w:ascii="宋体" w:hAnsi="宋体" w:cs="宋体"/>
                <w:b/>
                <w:bCs/>
                <w:color w:val="auto"/>
                <w:kern w:val="0"/>
                <w:sz w:val="24"/>
                <w:highlight w:val="none"/>
              </w:rPr>
            </w:pPr>
            <w:r>
              <w:rPr>
                <w:rFonts w:hint="eastAsia" w:ascii="宋体" w:hAnsi="宋体" w:cs="宋体"/>
                <w:b/>
                <w:color w:val="auto"/>
                <w:sz w:val="24"/>
                <w:highlight w:val="none"/>
              </w:rPr>
              <w:t>3分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后续服务具体措施是否得当、是否清晰等进行评审。内容合理完善得2-3分；内容合理但不完善1-1.9分；内容粗略得0-0.9分，其他情况或没有内容不得分。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16"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9</w:t>
            </w:r>
          </w:p>
        </w:tc>
        <w:tc>
          <w:tcPr>
            <w:tcW w:w="1789" w:type="dxa"/>
            <w:vAlign w:val="center"/>
          </w:tcPr>
          <w:p>
            <w:pPr>
              <w:tabs>
                <w:tab w:val="left" w:pos="2850"/>
                <w:tab w:val="center" w:pos="4153"/>
              </w:tabs>
              <w:adjustRightInd w:val="0"/>
              <w:jc w:val="center"/>
              <w:rPr>
                <w:rFonts w:ascii="宋体" w:hAnsi="宋体" w:cs="宋体"/>
                <w:b/>
                <w:color w:val="auto"/>
                <w:sz w:val="24"/>
                <w:highlight w:val="none"/>
              </w:rPr>
            </w:pPr>
            <w:r>
              <w:rPr>
                <w:rFonts w:hint="eastAsia" w:ascii="宋体" w:hAnsi="宋体" w:cs="宋体"/>
                <w:b/>
                <w:color w:val="auto"/>
                <w:sz w:val="24"/>
                <w:highlight w:val="none"/>
              </w:rPr>
              <w:t>重点、难点分析</w:t>
            </w:r>
          </w:p>
        </w:tc>
        <w:tc>
          <w:tcPr>
            <w:tcW w:w="836" w:type="dxa"/>
            <w:vAlign w:val="center"/>
          </w:tcPr>
          <w:p>
            <w:pPr>
              <w:jc w:val="center"/>
              <w:rPr>
                <w:rFonts w:ascii="宋体" w:hAnsi="宋体" w:cs="宋体"/>
                <w:b/>
                <w:bCs/>
                <w:color w:val="auto"/>
                <w:kern w:val="0"/>
                <w:sz w:val="24"/>
                <w:highlight w:val="none"/>
              </w:rPr>
            </w:pPr>
            <w:r>
              <w:rPr>
                <w:rFonts w:hint="eastAsia" w:ascii="宋体" w:hAnsi="宋体" w:cs="宋体"/>
                <w:b/>
                <w:color w:val="auto"/>
                <w:sz w:val="24"/>
                <w:highlight w:val="none"/>
              </w:rPr>
              <w:t>9分</w:t>
            </w:r>
          </w:p>
        </w:tc>
        <w:tc>
          <w:tcPr>
            <w:tcW w:w="5886" w:type="dxa"/>
            <w:vAlign w:val="center"/>
          </w:tcPr>
          <w:p>
            <w:pPr>
              <w:keepNext/>
              <w:keepLines/>
              <w:adjustRightInd w:val="0"/>
              <w:snapToGrid w:val="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询价小组根据招标文件要求及各投标人投标文件的相关内容对监测项目重点和难点分析是否全面、准确、清晰；根据项目内容，对监测过程中的重点事项和难点事项进行事前预估并提出详实的分析和对策方案：方案全面、准确、清晰得6-9分；方案较全面、准确、清晰得3-5.9分；有方案，但不完整得0-2.9分，其他情况或没有内容不得分。</w:t>
            </w:r>
          </w:p>
        </w:tc>
      </w:tr>
    </w:tbl>
    <w:p>
      <w:pPr>
        <w:snapToGrid w:val="0"/>
        <w:spacing w:line="360" w:lineRule="auto"/>
        <w:ind w:firstLine="480" w:firstLineChars="200"/>
        <w:rPr>
          <w:rFonts w:ascii="宋体" w:hAnsi="宋体"/>
          <w:b/>
          <w:color w:val="auto"/>
          <w:sz w:val="24"/>
          <w:highlight w:val="none"/>
        </w:rPr>
      </w:pPr>
      <w:r>
        <w:rPr>
          <w:rFonts w:ascii="宋体" w:hAnsi="宋体" w:cs="宋体"/>
          <w:b/>
          <w:color w:val="auto"/>
          <w:sz w:val="24"/>
          <w:highlight w:val="none"/>
        </w:rPr>
        <w:t>（二）</w:t>
      </w:r>
      <w:r>
        <w:rPr>
          <w:rFonts w:hint="eastAsia" w:ascii="宋体" w:hAnsi="宋体" w:cs="宋体"/>
          <w:b/>
          <w:color w:val="auto"/>
          <w:sz w:val="24"/>
          <w:highlight w:val="none"/>
        </w:rPr>
        <w:t>价格</w:t>
      </w:r>
      <w:r>
        <w:rPr>
          <w:rFonts w:ascii="宋体" w:hAnsi="宋体" w:cs="宋体"/>
          <w:b/>
          <w:color w:val="auto"/>
          <w:sz w:val="24"/>
          <w:highlight w:val="none"/>
        </w:rPr>
        <w:t>标评分（</w:t>
      </w:r>
      <w:r>
        <w:rPr>
          <w:rFonts w:hint="eastAsia" w:ascii="宋体" w:hAnsi="宋体" w:cs="宋体"/>
          <w:b/>
          <w:color w:val="auto"/>
          <w:sz w:val="24"/>
          <w:highlight w:val="none"/>
        </w:rPr>
        <w:t>3</w:t>
      </w:r>
      <w:r>
        <w:rPr>
          <w:rFonts w:ascii="宋体" w:hAnsi="宋体" w:cs="宋体"/>
          <w:b/>
          <w:color w:val="auto"/>
          <w:sz w:val="24"/>
          <w:highlight w:val="none"/>
        </w:rPr>
        <w:t>0分）：</w:t>
      </w:r>
      <w:r>
        <w:rPr>
          <w:rFonts w:ascii="宋体" w:hAnsi="宋体"/>
          <w:b/>
          <w:color w:val="auto"/>
          <w:sz w:val="24"/>
          <w:highlight w:val="none"/>
        </w:rPr>
        <w:tab/>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1、本次项目最高限价为人民币</w:t>
      </w:r>
      <w:r>
        <w:rPr>
          <w:rFonts w:hint="eastAsia" w:ascii="宋体" w:hAnsi="宋体" w:cs="宋体"/>
          <w:b/>
          <w:color w:val="auto"/>
          <w:sz w:val="24"/>
          <w:highlight w:val="none"/>
        </w:rPr>
        <w:t>18万元</w:t>
      </w:r>
      <w:r>
        <w:rPr>
          <w:rFonts w:ascii="宋体" w:hAnsi="宋体"/>
          <w:color w:val="auto"/>
          <w:sz w:val="24"/>
          <w:highlight w:val="none"/>
        </w:rPr>
        <w:t>。超</w:t>
      </w:r>
      <w:bookmarkStart w:id="29" w:name="_GoBack"/>
      <w:bookmarkEnd w:id="29"/>
      <w:r>
        <w:rPr>
          <w:rFonts w:ascii="宋体" w:hAnsi="宋体"/>
          <w:color w:val="auto"/>
          <w:sz w:val="24"/>
          <w:highlight w:val="none"/>
        </w:rPr>
        <w:t>过限价作无效投标处理。</w:t>
      </w:r>
    </w:p>
    <w:p>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2、满足招标文件要求且投标报价最低的报价为评标基准价，其</w:t>
      </w:r>
      <w:r>
        <w:rPr>
          <w:rFonts w:hint="eastAsia" w:ascii="宋体" w:hAnsi="宋体"/>
          <w:color w:val="auto"/>
          <w:sz w:val="24"/>
          <w:highlight w:val="none"/>
        </w:rPr>
        <w:t>价格</w:t>
      </w:r>
      <w:r>
        <w:rPr>
          <w:rFonts w:ascii="宋体" w:hAnsi="宋体"/>
          <w:color w:val="auto"/>
          <w:sz w:val="24"/>
          <w:highlight w:val="none"/>
        </w:rPr>
        <w:t>标得分为满分</w:t>
      </w:r>
      <w:r>
        <w:rPr>
          <w:rFonts w:hint="eastAsia" w:ascii="宋体" w:hAnsi="宋体"/>
          <w:color w:val="auto"/>
          <w:sz w:val="24"/>
          <w:highlight w:val="none"/>
        </w:rPr>
        <w:t>30</w:t>
      </w:r>
      <w:r>
        <w:rPr>
          <w:rFonts w:ascii="宋体" w:hAnsi="宋体"/>
          <w:color w:val="auto"/>
          <w:sz w:val="24"/>
          <w:highlight w:val="none"/>
        </w:rPr>
        <w:t>分。</w:t>
      </w:r>
    </w:p>
    <w:p>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3、其他投标人的</w:t>
      </w:r>
      <w:r>
        <w:rPr>
          <w:rFonts w:hint="eastAsia" w:ascii="宋体" w:hAnsi="宋体"/>
          <w:color w:val="auto"/>
          <w:sz w:val="24"/>
          <w:highlight w:val="none"/>
        </w:rPr>
        <w:t>价格</w:t>
      </w:r>
      <w:r>
        <w:rPr>
          <w:rFonts w:ascii="宋体" w:hAnsi="宋体"/>
          <w:color w:val="auto"/>
          <w:sz w:val="24"/>
          <w:highlight w:val="none"/>
        </w:rPr>
        <w:t>标得分分别按照下列公式计算：</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价格</w:t>
      </w:r>
      <w:r>
        <w:rPr>
          <w:rFonts w:ascii="宋体" w:hAnsi="宋体"/>
          <w:color w:val="auto"/>
          <w:sz w:val="24"/>
          <w:highlight w:val="none"/>
        </w:rPr>
        <w:t>标得分=（评标基准价/投标报价）×</w:t>
      </w:r>
      <w:r>
        <w:rPr>
          <w:rFonts w:hint="eastAsia" w:ascii="宋体" w:hAnsi="宋体"/>
          <w:color w:val="auto"/>
          <w:sz w:val="24"/>
          <w:highlight w:val="none"/>
        </w:rPr>
        <w:t>3</w:t>
      </w:r>
      <w:r>
        <w:rPr>
          <w:rFonts w:ascii="宋体" w:hAnsi="宋体"/>
          <w:color w:val="auto"/>
          <w:sz w:val="24"/>
          <w:highlight w:val="none"/>
        </w:rPr>
        <w:t>0%×100</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4、小微型企业价格扣除</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（1）本项目对小型和微型企业产品给予</w:t>
      </w:r>
      <w:r>
        <w:rPr>
          <w:rFonts w:ascii="宋体" w:hAnsi="宋体" w:cs="仿宋_GB2312"/>
          <w:b/>
          <w:color w:val="auto"/>
          <w:sz w:val="24"/>
          <w:highlight w:val="none"/>
        </w:rPr>
        <w:t>10</w:t>
      </w:r>
      <w:r>
        <w:rPr>
          <w:rFonts w:hint="eastAsia" w:ascii="宋体" w:hAnsi="宋体" w:cs="仿宋_GB2312"/>
          <w:b/>
          <w:color w:val="auto"/>
          <w:sz w:val="24"/>
          <w:highlight w:val="none"/>
        </w:rPr>
        <w:t>%的扣除价格，用扣除后的价格参与评审。</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（2）投标人需按照采购文件的要求提供相应的《中小企业声明函》。</w:t>
      </w:r>
    </w:p>
    <w:p>
      <w:pPr>
        <w:spacing w:line="360" w:lineRule="auto"/>
        <w:ind w:firstLine="484" w:firstLineChars="202"/>
        <w:rPr>
          <w:rFonts w:ascii="宋体" w:hAnsi="宋体" w:cs="仿宋_GB2312"/>
          <w:b/>
          <w:color w:val="auto"/>
          <w:sz w:val="24"/>
          <w:highlight w:val="none"/>
        </w:rPr>
      </w:pPr>
      <w:r>
        <w:rPr>
          <w:rFonts w:hint="eastAsia" w:ascii="宋体" w:hAnsi="宋体" w:cs="仿宋_GB2312"/>
          <w:b/>
          <w:color w:val="auto"/>
          <w:sz w:val="24"/>
          <w:highlight w:val="none"/>
        </w:rPr>
        <w:t>（3）</w:t>
      </w:r>
      <w:r>
        <w:rPr>
          <w:rFonts w:hint="eastAsia" w:ascii="宋体" w:hAnsi="宋体" w:cs="宋体"/>
          <w:b/>
          <w:bCs/>
          <w:color w:val="auto"/>
          <w:sz w:val="24"/>
          <w:highlight w:val="none"/>
        </w:rPr>
        <w:t>本次采购项目属于</w:t>
      </w:r>
      <w:r>
        <w:rPr>
          <w:rFonts w:ascii="宋体" w:hAnsi="宋体"/>
          <w:b/>
          <w:bCs/>
          <w:color w:val="auto"/>
          <w:sz w:val="24"/>
          <w:highlight w:val="none"/>
          <w:u w:val="thick" w:color="FF0000"/>
        </w:rPr>
        <w:t xml:space="preserve"> </w:t>
      </w:r>
      <w:r>
        <w:rPr>
          <w:rFonts w:hint="eastAsia" w:ascii="宋体" w:hAnsi="宋体"/>
          <w:b/>
          <w:bCs/>
          <w:color w:val="auto"/>
          <w:sz w:val="24"/>
          <w:highlight w:val="none"/>
          <w:u w:val="thick" w:color="FF0000"/>
        </w:rPr>
        <w:t>服务</w:t>
      </w:r>
      <w:r>
        <w:rPr>
          <w:rFonts w:ascii="宋体" w:hAnsi="宋体"/>
          <w:b/>
          <w:bCs/>
          <w:color w:val="auto"/>
          <w:sz w:val="24"/>
          <w:highlight w:val="none"/>
          <w:u w:val="thick" w:color="FF0000"/>
        </w:rPr>
        <w:t xml:space="preserve"> </w:t>
      </w:r>
      <w:r>
        <w:rPr>
          <w:rFonts w:hint="eastAsia" w:ascii="宋体" w:hAnsi="宋体" w:cs="宋体"/>
          <w:b/>
          <w:bCs/>
          <w:color w:val="auto"/>
          <w:sz w:val="24"/>
          <w:highlight w:val="none"/>
        </w:rPr>
        <w:t>项目，其投标人符合：工信部联企业〔</w:t>
      </w:r>
      <w:r>
        <w:rPr>
          <w:rFonts w:ascii="宋体" w:hAnsi="宋体"/>
          <w:b/>
          <w:bCs/>
          <w:color w:val="auto"/>
          <w:sz w:val="24"/>
          <w:highlight w:val="none"/>
        </w:rPr>
        <w:t>2011</w:t>
      </w:r>
      <w:r>
        <w:rPr>
          <w:rFonts w:hint="eastAsia" w:ascii="宋体" w:hAnsi="宋体" w:cs="宋体"/>
          <w:b/>
          <w:bCs/>
          <w:color w:val="auto"/>
          <w:sz w:val="24"/>
          <w:highlight w:val="none"/>
        </w:rPr>
        <w:t>〕</w:t>
      </w:r>
      <w:r>
        <w:rPr>
          <w:rFonts w:ascii="宋体" w:hAnsi="宋体"/>
          <w:b/>
          <w:bCs/>
          <w:color w:val="auto"/>
          <w:sz w:val="24"/>
          <w:highlight w:val="none"/>
        </w:rPr>
        <w:t>300</w:t>
      </w:r>
      <w:r>
        <w:rPr>
          <w:rFonts w:hint="eastAsia" w:ascii="宋体" w:hAnsi="宋体" w:cs="宋体"/>
          <w:b/>
          <w:bCs/>
          <w:color w:val="auto"/>
          <w:sz w:val="24"/>
          <w:highlight w:val="none"/>
        </w:rPr>
        <w:t>号《关于印发中小企业划型标准规定的通知》中的中小企业“</w:t>
      </w:r>
      <w:r>
        <w:rPr>
          <w:rFonts w:hint="eastAsia" w:ascii="宋体" w:hAnsi="宋体" w:cs="宋体"/>
          <w:b/>
          <w:bCs/>
          <w:color w:val="auto"/>
          <w:sz w:val="24"/>
          <w:highlight w:val="none"/>
          <w:u w:val="thick" w:color="FF0000"/>
        </w:rPr>
        <w:t>其他未列明行业</w:t>
      </w:r>
      <w:r>
        <w:rPr>
          <w:rFonts w:hint="eastAsia" w:ascii="宋体" w:hAnsi="宋体" w:cs="宋体"/>
          <w:b/>
          <w:bCs/>
          <w:color w:val="auto"/>
          <w:sz w:val="24"/>
          <w:highlight w:val="none"/>
        </w:rPr>
        <w:t>”类的划型标准规定的，将享受中小企业扶持政策。</w:t>
      </w:r>
    </w:p>
    <w:p>
      <w:pPr>
        <w:spacing w:line="360" w:lineRule="auto"/>
        <w:ind w:firstLine="484" w:firstLineChars="202"/>
        <w:rPr>
          <w:rFonts w:ascii="宋体" w:hAnsi="宋体" w:cs="宋体"/>
          <w:b/>
          <w:bCs/>
          <w:color w:val="auto"/>
          <w:sz w:val="24"/>
          <w:highlight w:val="none"/>
          <w:u w:val="thick" w:color="FF0000"/>
        </w:rPr>
      </w:pPr>
      <w:r>
        <w:rPr>
          <w:rFonts w:hint="eastAsia" w:ascii="宋体" w:hAnsi="宋体" w:cs="宋体"/>
          <w:b/>
          <w:bCs/>
          <w:color w:val="auto"/>
          <w:sz w:val="24"/>
          <w:highlight w:val="none"/>
        </w:rPr>
        <w:t>“</w:t>
      </w:r>
      <w:r>
        <w:rPr>
          <w:rFonts w:hint="eastAsia" w:ascii="宋体" w:hAnsi="宋体" w:cs="宋体"/>
          <w:b/>
          <w:bCs/>
          <w:color w:val="auto"/>
          <w:sz w:val="24"/>
          <w:highlight w:val="none"/>
          <w:u w:val="thick" w:color="FF0000"/>
        </w:rPr>
        <w:t>其他未列明行业</w:t>
      </w:r>
      <w:r>
        <w:rPr>
          <w:rFonts w:hint="eastAsia" w:ascii="宋体" w:hAnsi="宋体" w:cs="宋体"/>
          <w:b/>
          <w:bCs/>
          <w:color w:val="auto"/>
          <w:sz w:val="24"/>
          <w:highlight w:val="none"/>
        </w:rPr>
        <w:t>”类中小企业划型标准</w:t>
      </w:r>
      <w:r>
        <w:rPr>
          <w:rFonts w:hint="eastAsia" w:ascii="宋体" w:hAnsi="宋体" w:cs="宋体"/>
          <w:color w:val="auto"/>
          <w:sz w:val="24"/>
          <w:highlight w:val="none"/>
        </w:rPr>
        <w:t>：</w:t>
      </w:r>
      <w:r>
        <w:rPr>
          <w:rFonts w:hint="eastAsia" w:ascii="宋体" w:hAnsi="宋体" w:cs="宋体"/>
          <w:b/>
          <w:bCs/>
          <w:color w:val="auto"/>
          <w:sz w:val="24"/>
          <w:highlight w:val="none"/>
          <w:u w:val="thick" w:color="FF0000"/>
        </w:rPr>
        <w:t>从业人员300人以下的为中小微型企业。其中，从业人员100人及以上的为中型企业；从业人员10人及以上的为小型企业；从业人员10人以下的为微型企业。</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4、残疾人福利单位价格扣除</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（1）本项目对残疾人福利性单位视同小型、微型企业，给予</w:t>
      </w:r>
      <w:r>
        <w:rPr>
          <w:rFonts w:ascii="宋体" w:hAnsi="宋体" w:cs="仿宋_GB2312"/>
          <w:b/>
          <w:color w:val="auto"/>
          <w:sz w:val="24"/>
          <w:highlight w:val="none"/>
        </w:rPr>
        <w:t>10</w:t>
      </w:r>
      <w:r>
        <w:rPr>
          <w:rFonts w:hint="eastAsia" w:ascii="宋体" w:hAnsi="宋体" w:cs="仿宋_GB2312"/>
          <w:b/>
          <w:color w:val="auto"/>
          <w:sz w:val="24"/>
          <w:highlight w:val="none"/>
        </w:rPr>
        <w:t>%的价格扣除，用扣除后的价格参与评审。</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（2）残疾人福利单位需按照采购文件的要求提供《残疾人福利性单位声明函》。</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（3）残疾人福利单位标准请参照《关于促进残疾人就业政府采购政策的通知》（财库〔2017〕141号）。</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5、监狱和戒毒企业价格扣除</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（1）本项目对监狱和戒毒企业（简称监狱企业）视同小型、微型企业，给予</w:t>
      </w:r>
      <w:r>
        <w:rPr>
          <w:rFonts w:ascii="宋体" w:hAnsi="宋体" w:cs="仿宋_GB2312"/>
          <w:b/>
          <w:color w:val="auto"/>
          <w:sz w:val="24"/>
          <w:highlight w:val="none"/>
        </w:rPr>
        <w:t>10</w:t>
      </w:r>
      <w:r>
        <w:rPr>
          <w:rFonts w:hint="eastAsia" w:ascii="宋体" w:hAnsi="宋体" w:cs="仿宋_GB2312"/>
          <w:b/>
          <w:color w:val="auto"/>
          <w:sz w:val="24"/>
          <w:highlight w:val="none"/>
        </w:rPr>
        <w:t>%的价格扣除，用扣除后的价格参与评审。</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（2）监狱企业参加政府采购活动时，需提供由省级以上监狱管理局、戒毒管理局(含新疆生产建设兵团)出具的属于监狱企业的证明文件。投标人如不提供上述证明文件，价格将不做相应扣除。</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（3）监狱企业标准请参照《关于政府采购支持监狱企业发展有关问题的通知》（</w:t>
      </w:r>
      <w:r>
        <w:rPr>
          <w:rFonts w:ascii="宋体" w:hAnsi="宋体" w:cs="仿宋_GB2312"/>
          <w:b/>
          <w:color w:val="auto"/>
          <w:sz w:val="24"/>
          <w:highlight w:val="none"/>
        </w:rPr>
        <w:t>财库[2014]68号</w:t>
      </w:r>
      <w:r>
        <w:rPr>
          <w:rFonts w:hint="eastAsia" w:ascii="宋体" w:hAnsi="宋体" w:cs="仿宋_GB2312"/>
          <w:b/>
          <w:color w:val="auto"/>
          <w:sz w:val="24"/>
          <w:highlight w:val="none"/>
        </w:rPr>
        <w:t>）。</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6、残疾人福利单位、监狱企业属于小型、微型企业的，不重复享受政策。</w:t>
      </w:r>
    </w:p>
    <w:p>
      <w:pPr>
        <w:snapToGrid w:val="0"/>
        <w:spacing w:line="360" w:lineRule="auto"/>
        <w:ind w:firstLine="480" w:firstLineChars="200"/>
        <w:rPr>
          <w:rFonts w:ascii="宋体" w:hAnsi="宋体" w:cs="仿宋_GB2312"/>
          <w:b/>
          <w:color w:val="auto"/>
          <w:sz w:val="24"/>
          <w:highlight w:val="none"/>
        </w:rPr>
      </w:pPr>
      <w:r>
        <w:rPr>
          <w:rFonts w:hint="eastAsia" w:ascii="宋体" w:hAnsi="宋体" w:cs="仿宋_GB2312"/>
          <w:b/>
          <w:color w:val="auto"/>
          <w:sz w:val="24"/>
          <w:highlight w:val="none"/>
        </w:rPr>
        <w:t>7、根据《江苏省政府采购信用管理暂行办法》的规定，对有失信行为的投标人将根据信用评价结果按规定予以扣分或价格加成。</w:t>
      </w:r>
    </w:p>
    <w:p>
      <w:pPr>
        <w:snapToGrid w:val="0"/>
        <w:spacing w:line="360" w:lineRule="auto"/>
        <w:ind w:firstLine="570"/>
        <w:rPr>
          <w:rFonts w:ascii="宋体" w:hAnsi="宋体" w:cs="仿宋_GB2312"/>
          <w:b/>
          <w:bCs/>
          <w:color w:val="auto"/>
          <w:sz w:val="24"/>
          <w:highlight w:val="none"/>
        </w:rPr>
      </w:pPr>
      <w:r>
        <w:rPr>
          <w:rFonts w:hint="eastAsia" w:ascii="宋体" w:hAnsi="宋体" w:cs="仿宋_GB2312"/>
          <w:b/>
          <w:bCs/>
          <w:color w:val="auto"/>
          <w:sz w:val="24"/>
          <w:highlight w:val="none"/>
        </w:rPr>
        <w:t>（二）评标争议</w:t>
      </w:r>
    </w:p>
    <w:p>
      <w:pPr>
        <w:snapToGrid w:val="0"/>
        <w:spacing w:line="360" w:lineRule="auto"/>
        <w:ind w:firstLine="573"/>
        <w:rPr>
          <w:rFonts w:ascii="宋体" w:hAnsi="宋体" w:cs="仿宋_GB2312"/>
          <w:color w:val="auto"/>
          <w:sz w:val="24"/>
          <w:highlight w:val="none"/>
        </w:rPr>
      </w:pPr>
      <w:r>
        <w:rPr>
          <w:rFonts w:hint="eastAsia" w:ascii="宋体" w:hAnsi="宋体" w:cs="仿宋_GB2312"/>
          <w:color w:val="auto"/>
          <w:sz w:val="24"/>
          <w:highlight w:val="none"/>
        </w:rPr>
        <w:t>评标时评委对评标的细则若有争议，由评标</w:t>
      </w:r>
      <w:r>
        <w:rPr>
          <w:rFonts w:hint="eastAsia" w:ascii="宋体" w:hAnsi="宋体"/>
          <w:color w:val="auto"/>
          <w:sz w:val="24"/>
          <w:highlight w:val="none"/>
        </w:rPr>
        <w:t>委员会</w:t>
      </w:r>
      <w:r>
        <w:rPr>
          <w:rFonts w:hint="eastAsia" w:ascii="宋体" w:hAnsi="宋体" w:cs="仿宋_GB2312"/>
          <w:color w:val="auto"/>
          <w:sz w:val="24"/>
          <w:highlight w:val="none"/>
        </w:rPr>
        <w:t>评委集体讨论确定，并对未尽情况有最终解释权。</w:t>
      </w:r>
    </w:p>
    <w:p>
      <w:pPr>
        <w:snapToGrid w:val="0"/>
        <w:spacing w:line="360" w:lineRule="auto"/>
        <w:ind w:firstLine="480" w:firstLineChars="200"/>
        <w:rPr>
          <w:rFonts w:ascii="宋体" w:hAnsi="宋体" w:cs="仿宋_GB2312"/>
          <w:b/>
          <w:bCs/>
          <w:color w:val="auto"/>
          <w:sz w:val="24"/>
          <w:highlight w:val="none"/>
        </w:rPr>
      </w:pPr>
      <w:r>
        <w:rPr>
          <w:rFonts w:hint="eastAsia" w:ascii="宋体" w:hAnsi="宋体" w:cs="仿宋_GB2312"/>
          <w:b/>
          <w:bCs/>
          <w:color w:val="auto"/>
          <w:sz w:val="24"/>
          <w:highlight w:val="none"/>
        </w:rPr>
        <w:t>（三）落标原因</w:t>
      </w:r>
    </w:p>
    <w:p>
      <w:pPr>
        <w:snapToGrid w:val="0"/>
        <w:spacing w:line="360" w:lineRule="auto"/>
        <w:ind w:firstLine="573"/>
        <w:rPr>
          <w:rFonts w:ascii="宋体" w:hAnsi="宋体" w:cs="仿宋_GB2312"/>
          <w:color w:val="auto"/>
          <w:sz w:val="24"/>
          <w:highlight w:val="none"/>
        </w:rPr>
      </w:pPr>
      <w:r>
        <w:rPr>
          <w:rFonts w:hint="eastAsia" w:ascii="宋体" w:hAnsi="宋体" w:cs="仿宋_GB2312"/>
          <w:color w:val="auto"/>
          <w:sz w:val="24"/>
          <w:highlight w:val="none"/>
        </w:rPr>
        <w:t>评标委员会不对落标的投标人做落标原因的解释。</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九、出现下列情形之一的，作无效投标处理：</w:t>
      </w:r>
    </w:p>
    <w:p>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2、不具备招标文件中规定的资格要求的；</w:t>
      </w:r>
    </w:p>
    <w:p>
      <w:pPr>
        <w:snapToGrid w:val="0"/>
        <w:spacing w:line="360" w:lineRule="auto"/>
        <w:ind w:firstLine="573"/>
        <w:rPr>
          <w:rFonts w:ascii="宋体" w:hAnsi="宋体" w:cs="宋体"/>
          <w:color w:val="auto"/>
          <w:sz w:val="24"/>
          <w:highlight w:val="none"/>
        </w:rPr>
      </w:pPr>
      <w:bookmarkStart w:id="16" w:name="_Hlk81473737"/>
      <w:r>
        <w:rPr>
          <w:rFonts w:hint="eastAsia" w:ascii="宋体" w:hAnsi="宋体" w:cs="宋体"/>
          <w:color w:val="auto"/>
          <w:sz w:val="24"/>
          <w:highlight w:val="none"/>
        </w:rPr>
        <w:t>3、投标人的资格证明文件不符合本采购文件要求的；</w:t>
      </w:r>
    </w:p>
    <w:bookmarkEnd w:id="16"/>
    <w:p>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、报价超过招标文件中规定的预算金额或者最高限价的；</w:t>
      </w:r>
    </w:p>
    <w:p>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、投标文件含有采购人不能接受的附加条件的；</w:t>
      </w:r>
    </w:p>
    <w:p>
      <w:pPr>
        <w:snapToGrid w:val="0"/>
        <w:spacing w:line="360" w:lineRule="auto"/>
        <w:ind w:firstLine="573"/>
        <w:rPr>
          <w:rFonts w:ascii="宋体" w:hAnsi="宋体" w:cs="宋体"/>
          <w:color w:val="auto"/>
          <w:sz w:val="24"/>
          <w:highlight w:val="none"/>
        </w:rPr>
      </w:pPr>
      <w:bookmarkStart w:id="17" w:name="_Hlk81473764"/>
      <w:r>
        <w:rPr>
          <w:rFonts w:hint="eastAsia" w:ascii="宋体" w:hAnsi="宋体" w:cs="宋体"/>
          <w:color w:val="auto"/>
          <w:sz w:val="24"/>
          <w:highlight w:val="none"/>
        </w:rPr>
        <w:t>6、投标人有欺诈行为或隐瞒自身违规问题的，提供虚假、伪造、变造、过期资料的；</w:t>
      </w:r>
    </w:p>
    <w:bookmarkEnd w:id="17"/>
    <w:p>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、法律、法规和招标文件规定的其他无效情形。</w:t>
      </w:r>
    </w:p>
    <w:p>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十、有下列情形之一的，视为投标人串通投标，其投标无效</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、不同投标人的投标文件由同一单位或者个人编制；</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、不同投标人委托同一单位或者个人办理投标事宜；</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、不同投标人的投标文件载明的项目管理成员或者联系人员为同一人；</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、不同投标人的投标文件异常一致或者投标报价呈规律性差异；</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、不同投标人的投标文件相互混装。</w:t>
      </w:r>
    </w:p>
    <w:p>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十一、变更为其他方式采购的情形处理</w:t>
      </w:r>
    </w:p>
    <w:p>
      <w:pPr>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依据《政府采购货物和服务招标投标管理办法》财政部</w:t>
      </w:r>
      <w:r>
        <w:rPr>
          <w:rFonts w:ascii="宋体" w:hAnsi="宋体"/>
          <w:color w:val="auto"/>
          <w:sz w:val="24"/>
          <w:highlight w:val="none"/>
        </w:rPr>
        <w:t>87</w:t>
      </w:r>
      <w:r>
        <w:rPr>
          <w:rFonts w:hint="eastAsia" w:ascii="宋体" w:hAnsi="宋体"/>
          <w:color w:val="auto"/>
          <w:sz w:val="24"/>
          <w:highlight w:val="none"/>
        </w:rPr>
        <w:t>号令第四十三条的规定：公开招标数额标准以上的采购项目，投标截止后投标人不足</w:t>
      </w:r>
      <w:r>
        <w:rPr>
          <w:rFonts w:ascii="宋体" w:hAnsi="宋体"/>
          <w:color w:val="auto"/>
          <w:sz w:val="24"/>
          <w:highlight w:val="none"/>
        </w:rPr>
        <w:t>3</w:t>
      </w:r>
      <w:r>
        <w:rPr>
          <w:rFonts w:hint="eastAsia" w:ascii="宋体" w:hAnsi="宋体"/>
          <w:color w:val="auto"/>
          <w:sz w:val="24"/>
          <w:highlight w:val="none"/>
        </w:rPr>
        <w:t>家或者通过资格审查或符合性审查的投标人不足</w:t>
      </w:r>
      <w:r>
        <w:rPr>
          <w:rFonts w:ascii="宋体" w:hAnsi="宋体"/>
          <w:color w:val="auto"/>
          <w:sz w:val="24"/>
          <w:highlight w:val="none"/>
        </w:rPr>
        <w:t>3</w:t>
      </w:r>
      <w:r>
        <w:rPr>
          <w:rFonts w:hint="eastAsia" w:ascii="宋体" w:hAnsi="宋体"/>
          <w:color w:val="auto"/>
          <w:sz w:val="24"/>
          <w:highlight w:val="none"/>
        </w:rPr>
        <w:t>家的，除采购任务取消情形外，按照以下方式处理：</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、招标文件存在不合理条款或者招标程序不符合规定的，采购人、采购代理机构改正后依法重新招标；</w:t>
      </w:r>
    </w:p>
    <w:p>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、招标文件没有不合理条款、招标程序符合规定，需要采用其他采购方式采购的，采购人应当依法报财政部门批准。</w:t>
      </w:r>
    </w:p>
    <w:p>
      <w:pPr>
        <w:snapToGrid w:val="0"/>
        <w:spacing w:line="360" w:lineRule="auto"/>
        <w:ind w:firstLine="564" w:firstLineChars="235"/>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、依据《政府采购非招标采购方式管理办法》财政部</w:t>
      </w:r>
      <w:r>
        <w:rPr>
          <w:rFonts w:ascii="宋体" w:hAnsi="宋体"/>
          <w:color w:val="auto"/>
          <w:sz w:val="24"/>
          <w:highlight w:val="none"/>
        </w:rPr>
        <w:t>74</w:t>
      </w:r>
      <w:r>
        <w:rPr>
          <w:rFonts w:hint="eastAsia" w:ascii="宋体" w:hAnsi="宋体"/>
          <w:color w:val="auto"/>
          <w:sz w:val="24"/>
          <w:highlight w:val="none"/>
        </w:rPr>
        <w:t>号令第三条第（三）款的规定：达到公开招标数额标准、经批准采用非公开招标的货物、服务，可以采用竞争性谈判、单一来源采购方式采购，采购货物的，还可以采用询价采购方式。</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十二、出现下列情形之一的，作废标处理：</w:t>
      </w:r>
      <w:r>
        <w:rPr>
          <w:rFonts w:ascii="宋体" w:hAnsi="宋体"/>
          <w:b/>
          <w:color w:val="auto"/>
          <w:sz w:val="24"/>
          <w:highlight w:val="none"/>
        </w:rPr>
        <w:t xml:space="preserve">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、出现影响采购公正的违法违规行为的；</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、所有投标人报价超出采购预算价的；</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、因重大变故，采购任务被取消的；</w:t>
      </w:r>
    </w:p>
    <w:p>
      <w:pPr>
        <w:snapToGrid w:val="0"/>
        <w:spacing w:line="360" w:lineRule="auto"/>
        <w:ind w:firstLine="480" w:firstLineChars="200"/>
        <w:rPr>
          <w:rFonts w:ascii="宋体" w:hAnsi="宋体"/>
          <w:color w:val="auto"/>
          <w:sz w:val="24"/>
          <w:highlight w:val="none"/>
        </w:rPr>
      </w:pPr>
      <w:bookmarkStart w:id="18" w:name="_Hlk81473907"/>
      <w:r>
        <w:rPr>
          <w:rFonts w:hint="eastAsia" w:ascii="宋体" w:hAnsi="宋体"/>
          <w:color w:val="auto"/>
          <w:sz w:val="24"/>
          <w:highlight w:val="none"/>
        </w:rPr>
        <w:t>4、经评标委员会</w:t>
      </w:r>
      <w:bookmarkStart w:id="19" w:name="_Hlk81472270"/>
      <w:r>
        <w:rPr>
          <w:rFonts w:hint="eastAsia" w:ascii="宋体" w:hAnsi="宋体"/>
          <w:color w:val="auto"/>
          <w:sz w:val="24"/>
          <w:highlight w:val="none"/>
        </w:rPr>
        <w:t>资格符合性评审</w:t>
      </w:r>
      <w:bookmarkEnd w:id="19"/>
      <w:r>
        <w:rPr>
          <w:rFonts w:hint="eastAsia" w:ascii="宋体" w:hAnsi="宋体"/>
          <w:color w:val="auto"/>
          <w:sz w:val="24"/>
          <w:highlight w:val="none"/>
        </w:rPr>
        <w:t>后，通过资格符合性评审的投标人不足三家的；</w:t>
      </w:r>
    </w:p>
    <w:bookmarkEnd w:id="18"/>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、评标委员会依据法律法规可以认定为废标的其他情况。</w:t>
      </w:r>
    </w:p>
    <w:p>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十三、中标通知</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、开标结束后，采购人自中标人确定之日起</w:t>
      </w:r>
      <w:r>
        <w:rPr>
          <w:rFonts w:ascii="宋体" w:hAnsi="宋体"/>
          <w:color w:val="auto"/>
          <w:sz w:val="24"/>
          <w:highlight w:val="none"/>
        </w:rPr>
        <w:t>2</w:t>
      </w:r>
      <w:r>
        <w:rPr>
          <w:rFonts w:hint="eastAsia" w:ascii="宋体" w:hAnsi="宋体"/>
          <w:color w:val="auto"/>
          <w:sz w:val="24"/>
          <w:highlight w:val="none"/>
        </w:rPr>
        <w:t>个工作日内在指定媒体上公告中标结果。</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、中标公告期限为</w:t>
      </w:r>
      <w:r>
        <w:rPr>
          <w:rFonts w:ascii="宋体" w:hAnsi="宋体"/>
          <w:color w:val="auto"/>
          <w:sz w:val="24"/>
          <w:highlight w:val="none"/>
        </w:rPr>
        <w:t>1</w:t>
      </w:r>
      <w:r>
        <w:rPr>
          <w:rFonts w:hint="eastAsia" w:ascii="宋体" w:hAnsi="宋体"/>
          <w:color w:val="auto"/>
          <w:sz w:val="24"/>
          <w:highlight w:val="none"/>
        </w:rPr>
        <w:t>个工作日，期限结束后向中标人发出《中标通知书》。</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、《中标通知书》一经发出，即具有法律效力。采购人、中标人依法承担法律责任。</w:t>
      </w:r>
    </w:p>
    <w:p>
      <w:pPr>
        <w:pStyle w:val="62"/>
        <w:rPr>
          <w:rFonts w:ascii="宋体"/>
          <w:color w:val="auto"/>
          <w:highlight w:val="none"/>
        </w:rPr>
      </w:pPr>
      <w:r>
        <w:rPr>
          <w:rFonts w:ascii="宋体"/>
          <w:color w:val="auto"/>
          <w:highlight w:val="none"/>
        </w:rPr>
        <w:br w:type="page"/>
      </w:r>
      <w:bookmarkStart w:id="20" w:name="_Toc179632627"/>
      <w:bookmarkStart w:id="21" w:name="_Toc144974577"/>
      <w:bookmarkStart w:id="22" w:name="_Toc152042387"/>
      <w:bookmarkStart w:id="23" w:name="_Toc318874023"/>
      <w:bookmarkStart w:id="24" w:name="_Toc152045609"/>
      <w:r>
        <w:rPr>
          <w:rStyle w:val="123"/>
          <w:color w:val="auto"/>
          <w:sz w:val="28"/>
          <w:szCs w:val="28"/>
          <w:highlight w:val="none"/>
        </w:rPr>
        <w:t>第</w:t>
      </w:r>
      <w:r>
        <w:rPr>
          <w:rStyle w:val="123"/>
          <w:rFonts w:hint="default"/>
          <w:color w:val="auto"/>
          <w:sz w:val="28"/>
          <w:szCs w:val="28"/>
          <w:highlight w:val="none"/>
        </w:rPr>
        <w:t>五</w:t>
      </w:r>
      <w:r>
        <w:rPr>
          <w:rStyle w:val="123"/>
          <w:color w:val="auto"/>
          <w:sz w:val="28"/>
          <w:szCs w:val="28"/>
          <w:highlight w:val="none"/>
        </w:rPr>
        <w:t xml:space="preserve">章 </w:t>
      </w:r>
      <w:r>
        <w:rPr>
          <w:rStyle w:val="123"/>
          <w:rFonts w:hint="default"/>
          <w:color w:val="auto"/>
          <w:sz w:val="28"/>
          <w:szCs w:val="28"/>
          <w:highlight w:val="none"/>
        </w:rPr>
        <w:t xml:space="preserve"> </w:t>
      </w:r>
      <w:r>
        <w:rPr>
          <w:rStyle w:val="123"/>
          <w:color w:val="auto"/>
          <w:sz w:val="28"/>
          <w:szCs w:val="28"/>
          <w:highlight w:val="none"/>
        </w:rPr>
        <w:t>合同条款及格式</w:t>
      </w:r>
      <w:bookmarkEnd w:id="20"/>
      <w:bookmarkEnd w:id="21"/>
      <w:bookmarkEnd w:id="22"/>
      <w:bookmarkEnd w:id="23"/>
      <w:bookmarkEnd w:id="24"/>
      <w:r>
        <w:rPr>
          <w:rStyle w:val="123"/>
          <w:color w:val="auto"/>
          <w:sz w:val="28"/>
          <w:szCs w:val="28"/>
          <w:highlight w:val="none"/>
        </w:rPr>
        <w:t>（参考）</w:t>
      </w:r>
    </w:p>
    <w:p>
      <w:pPr>
        <w:rPr>
          <w:color w:val="auto"/>
          <w:highlight w:val="none"/>
        </w:rPr>
      </w:pP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委托方（以下简称甲方）</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承揽方（以下简称乙方）</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根据《中华人民共和国民法典》和有关法律法规，经甲乙双方协商一致签订本合同。</w:t>
      </w:r>
    </w:p>
    <w:p>
      <w:pPr>
        <w:adjustRightInd w:val="0"/>
        <w:spacing w:line="480" w:lineRule="exact"/>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 xml:space="preserve">第一条  </w:t>
      </w:r>
      <w:r>
        <w:rPr>
          <w:rFonts w:hint="eastAsia" w:ascii="宋体" w:hAnsi="宋体" w:cs="宋体"/>
          <w:color w:val="auto"/>
          <w:sz w:val="24"/>
          <w:highlight w:val="none"/>
        </w:rPr>
        <w:t>项目内容：为保障通吕运河水利枢纽工程的安全运行，按照江苏省《水利工程观测规程》（DB32/T 1713-2011）要求开展工程观测。主要观测内容包括：通吕闸、泵站沉降观测和水平位移观测，扬压力（管口高程考证、进水灵敏度试验、淤积高程观测，管内水位人工比测）和测压管内清淤（8根），伸缩缝观测以及水尺水位比测等。详见工程量清单。</w:t>
      </w:r>
    </w:p>
    <w:p>
      <w:pPr>
        <w:adjustRightInd w:val="0"/>
        <w:spacing w:line="480" w:lineRule="exact"/>
        <w:ind w:firstLine="480" w:firstLineChars="200"/>
        <w:rPr>
          <w:rFonts w:ascii="宋体" w:hAnsi="宋体" w:cs="宋体"/>
          <w:color w:val="auto"/>
          <w:sz w:val="24"/>
          <w:highlight w:val="none"/>
        </w:rPr>
      </w:pPr>
      <w:r>
        <w:rPr>
          <w:rFonts w:hint="eastAsia" w:ascii="宋体" w:hAnsi="宋体" w:cs="宋体"/>
          <w:b/>
          <w:color w:val="auto"/>
          <w:sz w:val="24"/>
          <w:highlight w:val="none"/>
        </w:rPr>
        <w:t xml:space="preserve">第二条  </w:t>
      </w:r>
      <w:r>
        <w:rPr>
          <w:rFonts w:hint="eastAsia" w:ascii="宋体" w:hAnsi="宋体" w:cs="宋体"/>
          <w:color w:val="auto"/>
          <w:sz w:val="24"/>
          <w:highlight w:val="none"/>
        </w:rPr>
        <w:t>执行技术标准：达到二等测量要求，符合《工程测量规范》（GB 50026-2007），《建筑变形测量规范》（JGJ 8-2016），《国家一二等水准测量规范》（GB/T 24314-2009），《水利工程观测规程》（DB32/T 1732-2011）等规范规程要求。</w:t>
      </w:r>
    </w:p>
    <w:p>
      <w:pPr>
        <w:adjustRightInd w:val="0"/>
        <w:spacing w:line="480" w:lineRule="exact"/>
        <w:ind w:firstLine="480" w:firstLineChars="200"/>
        <w:rPr>
          <w:rFonts w:ascii="宋体" w:hAnsi="宋体" w:cs="宋体"/>
          <w:color w:val="auto"/>
          <w:sz w:val="24"/>
          <w:highlight w:val="none"/>
        </w:rPr>
      </w:pPr>
      <w:r>
        <w:rPr>
          <w:rFonts w:hint="eastAsia" w:ascii="宋体" w:hAnsi="宋体" w:cs="宋体"/>
          <w:b/>
          <w:color w:val="auto"/>
          <w:sz w:val="24"/>
          <w:highlight w:val="none"/>
        </w:rPr>
        <w:t xml:space="preserve">第三条  </w:t>
      </w:r>
      <w:r>
        <w:rPr>
          <w:rFonts w:hint="eastAsia" w:ascii="宋体" w:hAnsi="宋体" w:cs="宋体"/>
          <w:color w:val="auto"/>
          <w:sz w:val="24"/>
          <w:highlight w:val="none"/>
        </w:rPr>
        <w:t xml:space="preserve">合同价格：（大写）：          (人民币)（小写）：        </w:t>
      </w:r>
    </w:p>
    <w:p>
      <w:pPr>
        <w:adjustRightInd w:val="0"/>
        <w:spacing w:line="480" w:lineRule="exact"/>
        <w:ind w:firstLine="480" w:firstLineChars="200"/>
        <w:rPr>
          <w:rFonts w:ascii="宋体" w:hAnsi="宋体" w:cs="宋体"/>
          <w:color w:val="auto"/>
          <w:sz w:val="24"/>
          <w:highlight w:val="none"/>
        </w:rPr>
      </w:pPr>
      <w:r>
        <w:rPr>
          <w:rFonts w:hint="eastAsia" w:ascii="宋体" w:hAnsi="宋体" w:cs="宋体"/>
          <w:b/>
          <w:color w:val="auto"/>
          <w:sz w:val="24"/>
          <w:highlight w:val="none"/>
        </w:rPr>
        <w:t xml:space="preserve">第四条  </w:t>
      </w:r>
      <w:r>
        <w:rPr>
          <w:rFonts w:hint="eastAsia" w:ascii="宋体" w:hAnsi="宋体" w:cs="宋体"/>
          <w:color w:val="auto"/>
          <w:sz w:val="24"/>
          <w:highlight w:val="none"/>
        </w:rPr>
        <w:t>甲方的义务</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1、自本合同签订后</w:t>
      </w:r>
      <w:r>
        <w:rPr>
          <w:rFonts w:ascii="宋体" w:hAnsi="宋体" w:cs="宋体"/>
          <w:color w:val="auto"/>
          <w:sz w:val="24"/>
          <w:highlight w:val="none"/>
        </w:rPr>
        <w:t>，</w:t>
      </w:r>
      <w:r>
        <w:rPr>
          <w:rFonts w:hint="eastAsia" w:ascii="宋体" w:hAnsi="宋体" w:cs="宋体"/>
          <w:color w:val="auto"/>
          <w:sz w:val="24"/>
          <w:highlight w:val="none"/>
        </w:rPr>
        <w:t>向乙方提交有关资料和提出技术要求。</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2、做好乙方编制的技术设计书的审定工作。</w:t>
      </w:r>
    </w:p>
    <w:p>
      <w:pPr>
        <w:adjustRightInd w:val="0"/>
        <w:spacing w:line="480" w:lineRule="exact"/>
        <w:ind w:firstLine="480" w:firstLineChars="200"/>
        <w:rPr>
          <w:rFonts w:ascii="宋体" w:hAnsi="宋体" w:cs="宋体"/>
          <w:color w:val="auto"/>
          <w:sz w:val="24"/>
          <w:highlight w:val="none"/>
        </w:rPr>
      </w:pPr>
      <w:r>
        <w:rPr>
          <w:rFonts w:hint="eastAsia" w:ascii="宋体" w:hAnsi="宋体" w:cs="宋体"/>
          <w:b/>
          <w:color w:val="auto"/>
          <w:sz w:val="24"/>
          <w:highlight w:val="none"/>
        </w:rPr>
        <w:t xml:space="preserve">第五条  </w:t>
      </w:r>
      <w:r>
        <w:rPr>
          <w:rFonts w:hint="eastAsia" w:ascii="宋体" w:hAnsi="宋体" w:cs="宋体"/>
          <w:color w:val="auto"/>
          <w:sz w:val="24"/>
          <w:highlight w:val="none"/>
        </w:rPr>
        <w:t>乙方的义务</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1、自收到甲方的有关资料和技术要求之日起，根据甲方的有关资料和技术要求完成技术设计书的编制，并交甲方审定。</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2、按照甲方对技术设计书同意实施的审定意见及观测</w:t>
      </w:r>
      <w:r>
        <w:rPr>
          <w:rFonts w:ascii="宋体" w:hAnsi="宋体" w:cs="宋体"/>
          <w:color w:val="auto"/>
          <w:sz w:val="24"/>
          <w:highlight w:val="none"/>
        </w:rPr>
        <w:t>要求，</w:t>
      </w:r>
      <w:r>
        <w:rPr>
          <w:rFonts w:hint="eastAsia" w:ascii="宋体" w:hAnsi="宋体" w:cs="宋体"/>
          <w:color w:val="auto"/>
          <w:sz w:val="24"/>
          <w:highlight w:val="none"/>
        </w:rPr>
        <w:t>组织观测人员进场作业。乙方应当根据技术设计书要求按合同工期确保观测项目完成。</w:t>
      </w:r>
    </w:p>
    <w:p>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3、乙方必须无条件配合财政、水利、审计单位和甲方对年度工程实际成本的延伸审计或资金使用情况检查。</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4、乙方项目负责人：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adjustRightInd w:val="0"/>
        <w:spacing w:line="480" w:lineRule="exact"/>
        <w:ind w:firstLine="480" w:firstLineChars="200"/>
        <w:rPr>
          <w:rFonts w:ascii="宋体" w:hAnsi="宋体" w:cs="宋体"/>
          <w:color w:val="auto"/>
          <w:sz w:val="24"/>
          <w:highlight w:val="none"/>
        </w:rPr>
      </w:pPr>
      <w:r>
        <w:rPr>
          <w:rFonts w:hint="eastAsia" w:ascii="宋体" w:hAnsi="宋体" w:cs="宋体"/>
          <w:b/>
          <w:color w:val="auto"/>
          <w:sz w:val="24"/>
          <w:highlight w:val="none"/>
        </w:rPr>
        <w:t xml:space="preserve">第六条  </w:t>
      </w:r>
      <w:r>
        <w:rPr>
          <w:rFonts w:hint="eastAsia" w:ascii="宋体" w:hAnsi="宋体" w:cs="宋体"/>
          <w:color w:val="auto"/>
          <w:sz w:val="24"/>
          <w:highlight w:val="none"/>
        </w:rPr>
        <w:t>观测项目完成工期：自合同签订之日起至2024年12月31日止（本项目11月中旬须完成第四季度监测），</w:t>
      </w:r>
      <w:r>
        <w:rPr>
          <w:rFonts w:ascii="宋体" w:hAnsi="宋体" w:cs="宋体"/>
          <w:color w:val="auto"/>
          <w:sz w:val="24"/>
          <w:highlight w:val="none"/>
        </w:rPr>
        <w:t>具体时间可</w:t>
      </w:r>
      <w:r>
        <w:rPr>
          <w:rFonts w:hint="eastAsia" w:ascii="宋体" w:hAnsi="宋体" w:cs="宋体"/>
          <w:color w:val="auto"/>
          <w:sz w:val="24"/>
          <w:highlight w:val="none"/>
        </w:rPr>
        <w:t>根据甲方要求。</w:t>
      </w:r>
    </w:p>
    <w:p>
      <w:pPr>
        <w:spacing w:line="480" w:lineRule="exact"/>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第七条  观测成果资料整编的要求：按江苏省《水利工程观测规程》（DB32/T 1732-2011）的要求进行测量成果整编及分析。</w:t>
      </w:r>
    </w:p>
    <w:p>
      <w:pPr>
        <w:spacing w:line="480" w:lineRule="exact"/>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1、观测工作说明</w:t>
      </w:r>
      <w:r>
        <w:rPr>
          <w:rFonts w:hint="eastAsia" w:ascii="宋体" w:hAnsi="宋体" w:cs="宋体"/>
          <w:color w:val="auto"/>
          <w:sz w:val="24"/>
          <w:highlight w:val="none"/>
        </w:rPr>
        <w:t>：按照江苏省《水利工程观测规程》（DB32/T 1713-2011），</w:t>
      </w:r>
      <w:r>
        <w:rPr>
          <w:rFonts w:ascii="宋体" w:hAnsi="宋体" w:cs="宋体"/>
          <w:color w:val="auto"/>
          <w:sz w:val="24"/>
          <w:highlight w:val="none"/>
        </w:rPr>
        <w:t>内容</w:t>
      </w:r>
      <w:r>
        <w:rPr>
          <w:rFonts w:hint="eastAsia" w:ascii="宋体" w:hAnsi="宋体" w:cs="宋体"/>
          <w:color w:val="auto"/>
          <w:sz w:val="24"/>
          <w:highlight w:val="none"/>
        </w:rPr>
        <w:t>包括观测手段、仪器配备、观测时的水情、气象和工程运用状况、观测时发生的问题和处理办法、经验教训，观测手段的改进和革新，观测精度的自我评价等。</w:t>
      </w:r>
    </w:p>
    <w:p>
      <w:pPr>
        <w:spacing w:line="480" w:lineRule="exact"/>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2、资料成果</w:t>
      </w:r>
    </w:p>
    <w:p>
      <w:pPr>
        <w:spacing w:line="480" w:lineRule="exact"/>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（1）原始资料</w:t>
      </w:r>
    </w:p>
    <w:p>
      <w:pPr>
        <w:spacing w:line="480" w:lineRule="exact"/>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提供垂直位移、水平位移、扬压力观测（含清淤）、伸缩缝观测及水尺比测等现场的观测记录、原始资料。</w:t>
      </w:r>
    </w:p>
    <w:p>
      <w:pPr>
        <w:spacing w:line="480" w:lineRule="exact"/>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（2）绘制图表（包括但不限于）</w:t>
      </w:r>
    </w:p>
    <w:p>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2.1垂直位移观测</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垂直位移观测标点及观测线路示意图 </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垂直位移工作基点考证表 </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垂直位移工作基点高程考证表 </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垂直位移观测标点考证表 </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水准观测记录表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观测点高程计算表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垂直位移观测成果表 </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I角检验记录表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垂直位移观测汇总表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沉降变化曲线图</w:t>
      </w:r>
    </w:p>
    <w:p>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2.2水平位移观测</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水平位移观测标点及观测线路示意图</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水平位移工作基点考证表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水平位移观测记录表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观测点位移计算表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水平位移观测成果表 </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水平位移观测汇总表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水平位移变化曲线图</w:t>
      </w:r>
    </w:p>
    <w:p>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2.3扬压力观测</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测压管位置示意图</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测压管考证表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测压管管口高程考证表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测压管注水试验成果表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测压管淤积深度统计表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测压管水位统计表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测压管水位过程线</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观测成果分析</w:t>
      </w:r>
    </w:p>
    <w:p>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2.4伸缩缝观测</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伸缩缝位置示意图</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伸缩缝缝宽记录表统计表</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伸缩缝变化过程线</w:t>
      </w:r>
    </w:p>
    <w:p>
      <w:pPr>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观测成果分析</w:t>
      </w:r>
    </w:p>
    <w:p>
      <w:pPr>
        <w:spacing w:line="480" w:lineRule="exact"/>
        <w:ind w:firstLine="480" w:firstLineChars="200"/>
        <w:jc w:val="left"/>
        <w:rPr>
          <w:rFonts w:ascii="宋体" w:hAnsi="宋体" w:cs="宋体"/>
          <w:color w:val="auto"/>
          <w:kern w:val="0"/>
          <w:sz w:val="24"/>
          <w:highlight w:val="none"/>
        </w:rPr>
      </w:pPr>
      <w:r>
        <w:rPr>
          <w:rFonts w:hint="eastAsia" w:ascii="宋体" w:hAnsi="宋体" w:cs="宋体"/>
          <w:b/>
          <w:color w:val="auto"/>
          <w:sz w:val="24"/>
          <w:highlight w:val="none"/>
        </w:rPr>
        <w:t>（3）成果分析报告</w:t>
      </w:r>
    </w:p>
    <w:p>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按照《工程测量规范》（GB 50026-2007）、《水利工程观测规程》（DB32/T 1713-2011）等要求，对观测结果进行整编分析，并根据分析对工程运行状态进行评价，对工程控制运用和维修加固等提出初步意见。报告内容还需包括概况、技术依据、观测手段、测网及观测点的布设、坐标系统、作业方法简述、仪器配备、观测时的水情气象和工程运用状况、观测时发生的问题和处理办法、经验教训，观测手段的改进和革新，观测精度的自我评价、成果初步分析、技术结论等。</w:t>
      </w:r>
    </w:p>
    <w:p>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垂直位移和水平位移观测成果分析应根据每次垂直位移和水平位移观测成果，结合其他观测资料、水文地质资料及工程维修改造情况，分析垂直位移和水平位移的变化规律及趋势，并与上次观测成果及初始值进行比较分析其是否正常。重点分析近期位移量的最大、最小值及累计、间隔位移量和相对不均匀位移量的极值与异常部位，根据分析对工程的运行状态进行评价，对工程控制运用和维修加固等提出初步意见。测压管水位和伸缩缝变化应进行有效分析，并提出对工程安全运行的意见。</w:t>
      </w:r>
    </w:p>
    <w:p>
      <w:pPr>
        <w:spacing w:line="420" w:lineRule="exact"/>
        <w:ind w:left="-424" w:leftChars="-202" w:right="-482" w:rightChars="-230" w:firstLine="801" w:firstLineChars="334"/>
        <w:jc w:val="left"/>
        <w:rPr>
          <w:rFonts w:ascii="宋体" w:hAnsi="宋体" w:cs="宋体"/>
          <w:b/>
          <w:color w:val="auto"/>
          <w:sz w:val="24"/>
          <w:highlight w:val="none"/>
        </w:rPr>
      </w:pPr>
      <w:r>
        <w:rPr>
          <w:rFonts w:hint="eastAsia" w:ascii="宋体" w:hAnsi="宋体" w:cs="宋体"/>
          <w:b/>
          <w:color w:val="auto"/>
          <w:sz w:val="24"/>
          <w:highlight w:val="none"/>
        </w:rPr>
        <w:t>4、工程量清单：</w:t>
      </w:r>
    </w:p>
    <w:tbl>
      <w:tblPr>
        <w:tblStyle w:val="64"/>
        <w:tblW w:w="9351" w:type="dxa"/>
        <w:jc w:val="center"/>
        <w:tblLayout w:type="autofit"/>
        <w:tblCellMar>
          <w:top w:w="0" w:type="dxa"/>
          <w:left w:w="108" w:type="dxa"/>
          <w:bottom w:w="0" w:type="dxa"/>
          <w:right w:w="108" w:type="dxa"/>
        </w:tblCellMar>
      </w:tblPr>
      <w:tblGrid>
        <w:gridCol w:w="794"/>
        <w:gridCol w:w="1247"/>
        <w:gridCol w:w="2154"/>
        <w:gridCol w:w="907"/>
        <w:gridCol w:w="907"/>
        <w:gridCol w:w="1531"/>
        <w:gridCol w:w="1811"/>
      </w:tblGrid>
      <w:tr>
        <w:tblPrEx>
          <w:tblCellMar>
            <w:top w:w="0" w:type="dxa"/>
            <w:left w:w="108" w:type="dxa"/>
            <w:bottom w:w="0" w:type="dxa"/>
            <w:right w:w="108" w:type="dxa"/>
          </w:tblCellMar>
        </w:tblPrEx>
        <w:trPr>
          <w:trHeight w:val="518"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
                <w:b/>
                <w:bCs/>
                <w:color w:val="auto"/>
                <w:kern w:val="0"/>
                <w:szCs w:val="21"/>
                <w:highlight w:val="none"/>
              </w:rPr>
            </w:pPr>
            <w:r>
              <w:rPr>
                <w:rFonts w:eastAsia="仿宋"/>
                <w:b/>
                <w:bCs/>
                <w:color w:val="auto"/>
                <w:kern w:val="0"/>
                <w:szCs w:val="21"/>
                <w:highlight w:val="none"/>
              </w:rPr>
              <w:t>序号</w:t>
            </w:r>
          </w:p>
        </w:tc>
        <w:tc>
          <w:tcPr>
            <w:tcW w:w="12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
                <w:b/>
                <w:bCs/>
                <w:color w:val="auto"/>
                <w:kern w:val="0"/>
                <w:szCs w:val="21"/>
                <w:highlight w:val="none"/>
              </w:rPr>
            </w:pPr>
            <w:r>
              <w:rPr>
                <w:rFonts w:eastAsia="仿宋"/>
                <w:b/>
                <w:bCs/>
                <w:color w:val="auto"/>
                <w:kern w:val="0"/>
                <w:szCs w:val="21"/>
                <w:highlight w:val="none"/>
              </w:rPr>
              <w:t>名称</w:t>
            </w:r>
          </w:p>
        </w:tc>
        <w:tc>
          <w:tcPr>
            <w:tcW w:w="21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
                <w:b/>
                <w:bCs/>
                <w:color w:val="auto"/>
                <w:kern w:val="0"/>
                <w:szCs w:val="21"/>
                <w:highlight w:val="none"/>
              </w:rPr>
            </w:pPr>
            <w:r>
              <w:rPr>
                <w:rFonts w:eastAsia="仿宋"/>
                <w:b/>
                <w:bCs/>
                <w:color w:val="auto"/>
                <w:kern w:val="0"/>
                <w:szCs w:val="21"/>
                <w:highlight w:val="none"/>
              </w:rPr>
              <w:t>观测内容</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
                <w:b/>
                <w:bCs/>
                <w:color w:val="auto"/>
                <w:kern w:val="0"/>
                <w:szCs w:val="21"/>
                <w:highlight w:val="none"/>
              </w:rPr>
            </w:pPr>
            <w:r>
              <w:rPr>
                <w:rFonts w:eastAsia="仿宋"/>
                <w:b/>
                <w:bCs/>
                <w:color w:val="auto"/>
                <w:kern w:val="0"/>
                <w:szCs w:val="21"/>
                <w:highlight w:val="none"/>
              </w:rPr>
              <w:t>数量</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
                <w:b/>
                <w:bCs/>
                <w:color w:val="auto"/>
                <w:kern w:val="0"/>
                <w:szCs w:val="21"/>
                <w:highlight w:val="none"/>
              </w:rPr>
            </w:pPr>
            <w:r>
              <w:rPr>
                <w:rFonts w:eastAsia="仿宋"/>
                <w:b/>
                <w:bCs/>
                <w:color w:val="auto"/>
                <w:kern w:val="0"/>
                <w:szCs w:val="21"/>
                <w:highlight w:val="none"/>
              </w:rPr>
              <w:t>次数</w:t>
            </w: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
                <w:b/>
                <w:bCs/>
                <w:color w:val="auto"/>
                <w:kern w:val="0"/>
                <w:szCs w:val="21"/>
                <w:highlight w:val="none"/>
              </w:rPr>
            </w:pPr>
            <w:r>
              <w:rPr>
                <w:rFonts w:eastAsia="仿宋"/>
                <w:b/>
                <w:bCs/>
                <w:color w:val="auto"/>
                <w:kern w:val="0"/>
                <w:szCs w:val="21"/>
                <w:highlight w:val="none"/>
              </w:rPr>
              <w:t>观测周期</w:t>
            </w:r>
          </w:p>
        </w:tc>
        <w:tc>
          <w:tcPr>
            <w:tcW w:w="18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
                <w:b/>
                <w:bCs/>
                <w:color w:val="auto"/>
                <w:kern w:val="0"/>
                <w:szCs w:val="21"/>
                <w:highlight w:val="none"/>
              </w:rPr>
            </w:pPr>
            <w:r>
              <w:rPr>
                <w:rFonts w:eastAsia="仿宋"/>
                <w:b/>
                <w:bCs/>
                <w:color w:val="auto"/>
                <w:kern w:val="0"/>
                <w:szCs w:val="21"/>
                <w:highlight w:val="none"/>
              </w:rPr>
              <w:t>备注</w:t>
            </w:r>
          </w:p>
        </w:tc>
      </w:tr>
      <w:tr>
        <w:tblPrEx>
          <w:tblCellMar>
            <w:top w:w="0" w:type="dxa"/>
            <w:left w:w="108" w:type="dxa"/>
            <w:bottom w:w="0" w:type="dxa"/>
            <w:right w:w="108" w:type="dxa"/>
          </w:tblCellMar>
        </w:tblPrEx>
        <w:trPr>
          <w:trHeight w:val="510" w:hRule="atLeast"/>
          <w:jc w:val="center"/>
        </w:trPr>
        <w:tc>
          <w:tcPr>
            <w:tcW w:w="79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1</w:t>
            </w:r>
          </w:p>
        </w:tc>
        <w:tc>
          <w:tcPr>
            <w:tcW w:w="124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沉降观测</w:t>
            </w: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工作基点考证</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2</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每年2次</w:t>
            </w:r>
          </w:p>
        </w:tc>
        <w:tc>
          <w:tcPr>
            <w:tcW w:w="18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含</w:t>
            </w:r>
            <w:r>
              <w:rPr>
                <w:rFonts w:hint="eastAsia"/>
                <w:color w:val="auto"/>
                <w:kern w:val="0"/>
                <w:szCs w:val="21"/>
                <w:highlight w:val="none"/>
              </w:rPr>
              <w:t>原始记录、</w:t>
            </w:r>
          </w:p>
          <w:p>
            <w:pPr>
              <w:widowControl/>
              <w:jc w:val="center"/>
              <w:rPr>
                <w:color w:val="auto"/>
                <w:kern w:val="0"/>
                <w:szCs w:val="21"/>
                <w:highlight w:val="none"/>
              </w:rPr>
            </w:pPr>
            <w:r>
              <w:rPr>
                <w:color w:val="auto"/>
                <w:kern w:val="0"/>
                <w:szCs w:val="21"/>
                <w:highlight w:val="none"/>
              </w:rPr>
              <w:t>资料分析、</w:t>
            </w:r>
          </w:p>
          <w:p>
            <w:pPr>
              <w:widowControl/>
              <w:jc w:val="center"/>
              <w:rPr>
                <w:color w:val="auto"/>
                <w:kern w:val="0"/>
                <w:szCs w:val="21"/>
                <w:highlight w:val="none"/>
              </w:rPr>
            </w:pPr>
            <w:r>
              <w:rPr>
                <w:color w:val="auto"/>
                <w:kern w:val="0"/>
                <w:szCs w:val="21"/>
                <w:highlight w:val="none"/>
              </w:rPr>
              <w:t>出具相关报告</w:t>
            </w:r>
          </w:p>
        </w:tc>
      </w:tr>
      <w:tr>
        <w:tblPrEx>
          <w:tblCellMar>
            <w:top w:w="0" w:type="dxa"/>
            <w:left w:w="108" w:type="dxa"/>
            <w:bottom w:w="0" w:type="dxa"/>
            <w:right w:w="108" w:type="dxa"/>
          </w:tblCellMar>
        </w:tblPrEx>
        <w:trPr>
          <w:trHeight w:val="510" w:hRule="atLeast"/>
          <w:jc w:val="center"/>
        </w:trPr>
        <w:tc>
          <w:tcPr>
            <w:tcW w:w="794"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c>
          <w:tcPr>
            <w:tcW w:w="12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沉降点监测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90</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每季度1次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c>
          <w:tcPr>
            <w:tcW w:w="12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水准线路</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2</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每季度1次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restart"/>
            <w:tcBorders>
              <w:top w:val="nil"/>
              <w:left w:val="single" w:color="auto" w:sz="4" w:space="0"/>
              <w:right w:val="single" w:color="auto" w:sz="4" w:space="0"/>
            </w:tcBorders>
            <w:vAlign w:val="center"/>
          </w:tcPr>
          <w:p>
            <w:pPr>
              <w:widowControl/>
              <w:jc w:val="center"/>
              <w:rPr>
                <w:color w:val="auto"/>
                <w:kern w:val="0"/>
                <w:szCs w:val="21"/>
                <w:highlight w:val="none"/>
              </w:rPr>
            </w:pPr>
            <w:r>
              <w:rPr>
                <w:color w:val="auto"/>
                <w:kern w:val="0"/>
                <w:szCs w:val="21"/>
                <w:highlight w:val="none"/>
              </w:rPr>
              <w:t>2</w:t>
            </w:r>
          </w:p>
        </w:tc>
        <w:tc>
          <w:tcPr>
            <w:tcW w:w="1247" w:type="dxa"/>
            <w:vMerge w:val="restart"/>
            <w:tcBorders>
              <w:top w:val="nil"/>
              <w:left w:val="single" w:color="auto" w:sz="4" w:space="0"/>
              <w:right w:val="single" w:color="auto" w:sz="4" w:space="0"/>
            </w:tcBorders>
            <w:vAlign w:val="center"/>
          </w:tcPr>
          <w:p>
            <w:pPr>
              <w:widowControl/>
              <w:jc w:val="center"/>
              <w:rPr>
                <w:color w:val="auto"/>
                <w:kern w:val="0"/>
                <w:szCs w:val="21"/>
                <w:highlight w:val="none"/>
              </w:rPr>
            </w:pPr>
            <w:r>
              <w:rPr>
                <w:color w:val="auto"/>
                <w:kern w:val="0"/>
                <w:szCs w:val="21"/>
                <w:highlight w:val="none"/>
              </w:rPr>
              <w:t>水平位移观测</w:t>
            </w: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工作基点考证</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每季度1次</w:t>
            </w:r>
          </w:p>
        </w:tc>
        <w:tc>
          <w:tcPr>
            <w:tcW w:w="1811" w:type="dxa"/>
            <w:vMerge w:val="restart"/>
            <w:tcBorders>
              <w:top w:val="nil"/>
              <w:left w:val="single" w:color="auto" w:sz="4" w:space="0"/>
              <w:right w:val="single" w:color="auto" w:sz="4" w:space="0"/>
            </w:tcBorders>
            <w:vAlign w:val="center"/>
          </w:tcPr>
          <w:p>
            <w:pPr>
              <w:widowControl/>
              <w:jc w:val="center"/>
              <w:rPr>
                <w:color w:val="auto"/>
                <w:kern w:val="0"/>
                <w:szCs w:val="21"/>
                <w:highlight w:val="none"/>
              </w:rPr>
            </w:pPr>
            <w:r>
              <w:rPr>
                <w:color w:val="auto"/>
                <w:kern w:val="0"/>
                <w:szCs w:val="21"/>
                <w:highlight w:val="none"/>
              </w:rPr>
              <w:t>含</w:t>
            </w:r>
            <w:r>
              <w:rPr>
                <w:rFonts w:hint="eastAsia"/>
                <w:color w:val="auto"/>
                <w:kern w:val="0"/>
                <w:szCs w:val="21"/>
                <w:highlight w:val="none"/>
              </w:rPr>
              <w:t>原始记录、</w:t>
            </w:r>
          </w:p>
          <w:p>
            <w:pPr>
              <w:widowControl/>
              <w:jc w:val="center"/>
              <w:rPr>
                <w:color w:val="auto"/>
                <w:kern w:val="0"/>
                <w:szCs w:val="21"/>
                <w:highlight w:val="none"/>
              </w:rPr>
            </w:pPr>
            <w:r>
              <w:rPr>
                <w:color w:val="auto"/>
                <w:kern w:val="0"/>
                <w:szCs w:val="21"/>
                <w:highlight w:val="none"/>
              </w:rPr>
              <w:t>资料分析、</w:t>
            </w:r>
          </w:p>
          <w:p>
            <w:pPr>
              <w:widowControl/>
              <w:jc w:val="center"/>
              <w:rPr>
                <w:color w:val="auto"/>
                <w:kern w:val="0"/>
                <w:szCs w:val="21"/>
                <w:highlight w:val="none"/>
              </w:rPr>
            </w:pPr>
            <w:r>
              <w:rPr>
                <w:color w:val="auto"/>
                <w:kern w:val="0"/>
                <w:szCs w:val="21"/>
                <w:highlight w:val="none"/>
              </w:rPr>
              <w:t>出具相关报告</w:t>
            </w:r>
          </w:p>
        </w:tc>
      </w:tr>
      <w:tr>
        <w:tblPrEx>
          <w:tblCellMar>
            <w:top w:w="0" w:type="dxa"/>
            <w:left w:w="108" w:type="dxa"/>
            <w:bottom w:w="0" w:type="dxa"/>
            <w:right w:w="108" w:type="dxa"/>
          </w:tblCellMar>
        </w:tblPrEx>
        <w:trPr>
          <w:trHeight w:val="510" w:hRule="atLeast"/>
          <w:jc w:val="center"/>
        </w:trPr>
        <w:tc>
          <w:tcPr>
            <w:tcW w:w="794" w:type="dxa"/>
            <w:vMerge w:val="continue"/>
            <w:tcBorders>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c>
          <w:tcPr>
            <w:tcW w:w="1247" w:type="dxa"/>
            <w:vMerge w:val="continue"/>
            <w:tcBorders>
              <w:left w:val="single" w:color="auto" w:sz="4" w:space="0"/>
              <w:bottom w:val="single" w:color="auto" w:sz="4" w:space="0"/>
              <w:right w:val="single" w:color="auto" w:sz="4" w:space="0"/>
            </w:tcBorders>
            <w:vAlign w:val="center"/>
          </w:tcPr>
          <w:p>
            <w:pPr>
              <w:widowControl/>
              <w:jc w:val="left"/>
              <w:rPr>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水平位移监测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8</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每季度1次</w:t>
            </w:r>
          </w:p>
        </w:tc>
        <w:tc>
          <w:tcPr>
            <w:tcW w:w="1811" w:type="dxa"/>
            <w:vMerge w:val="continue"/>
            <w:tcBorders>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restart"/>
            <w:tcBorders>
              <w:top w:val="nil"/>
              <w:left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3</w:t>
            </w:r>
          </w:p>
        </w:tc>
        <w:tc>
          <w:tcPr>
            <w:tcW w:w="124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测压管</w:t>
            </w:r>
          </w:p>
          <w:p>
            <w:pPr>
              <w:widowControl/>
              <w:jc w:val="center"/>
              <w:rPr>
                <w:color w:val="auto"/>
                <w:kern w:val="0"/>
                <w:szCs w:val="21"/>
                <w:highlight w:val="none"/>
              </w:rPr>
            </w:pPr>
            <w:r>
              <w:rPr>
                <w:color w:val="auto"/>
                <w:kern w:val="0"/>
                <w:szCs w:val="21"/>
                <w:highlight w:val="none"/>
              </w:rPr>
              <w:t>观测</w:t>
            </w:r>
          </w:p>
        </w:tc>
        <w:tc>
          <w:tcPr>
            <w:tcW w:w="215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管口高程考证</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每年1次</w:t>
            </w:r>
          </w:p>
        </w:tc>
        <w:tc>
          <w:tcPr>
            <w:tcW w:w="18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含</w:t>
            </w:r>
            <w:r>
              <w:rPr>
                <w:rFonts w:hint="eastAsia"/>
                <w:color w:val="auto"/>
                <w:kern w:val="0"/>
                <w:szCs w:val="21"/>
                <w:highlight w:val="none"/>
              </w:rPr>
              <w:t>原始记录、</w:t>
            </w:r>
          </w:p>
          <w:p>
            <w:pPr>
              <w:widowControl/>
              <w:jc w:val="center"/>
              <w:rPr>
                <w:color w:val="auto"/>
                <w:kern w:val="0"/>
                <w:szCs w:val="21"/>
                <w:highlight w:val="none"/>
              </w:rPr>
            </w:pPr>
            <w:r>
              <w:rPr>
                <w:color w:val="auto"/>
                <w:kern w:val="0"/>
                <w:szCs w:val="21"/>
                <w:highlight w:val="none"/>
              </w:rPr>
              <w:t>资料分析、</w:t>
            </w:r>
          </w:p>
          <w:p>
            <w:pPr>
              <w:widowControl/>
              <w:jc w:val="center"/>
              <w:rPr>
                <w:color w:val="auto"/>
                <w:kern w:val="0"/>
                <w:szCs w:val="21"/>
                <w:highlight w:val="none"/>
              </w:rPr>
            </w:pPr>
            <w:r>
              <w:rPr>
                <w:color w:val="auto"/>
                <w:kern w:val="0"/>
                <w:szCs w:val="21"/>
                <w:highlight w:val="none"/>
              </w:rPr>
              <w:t>出具相关报告</w:t>
            </w:r>
          </w:p>
        </w:tc>
      </w:tr>
      <w:tr>
        <w:tblPrEx>
          <w:tblCellMar>
            <w:top w:w="0" w:type="dxa"/>
            <w:left w:w="108" w:type="dxa"/>
            <w:bottom w:w="0" w:type="dxa"/>
            <w:right w:w="108" w:type="dxa"/>
          </w:tblCellMar>
        </w:tblPrEx>
        <w:trPr>
          <w:trHeight w:val="680" w:hRule="atLeast"/>
          <w:jc w:val="center"/>
        </w:trPr>
        <w:tc>
          <w:tcPr>
            <w:tcW w:w="794" w:type="dxa"/>
            <w:vMerge w:val="continue"/>
            <w:tcBorders>
              <w:left w:val="single" w:color="auto" w:sz="4" w:space="0"/>
              <w:right w:val="single" w:color="auto" w:sz="4" w:space="0"/>
            </w:tcBorders>
            <w:vAlign w:val="center"/>
          </w:tcPr>
          <w:p>
            <w:pPr>
              <w:jc w:val="center"/>
              <w:rPr>
                <w:color w:val="auto"/>
                <w:kern w:val="0"/>
                <w:szCs w:val="21"/>
                <w:highlight w:val="none"/>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测压管进水</w:t>
            </w:r>
          </w:p>
          <w:p>
            <w:pPr>
              <w:widowControl/>
              <w:jc w:val="center"/>
              <w:rPr>
                <w:color w:val="auto"/>
                <w:kern w:val="0"/>
                <w:szCs w:val="21"/>
                <w:highlight w:val="none"/>
              </w:rPr>
            </w:pPr>
            <w:r>
              <w:rPr>
                <w:color w:val="auto"/>
                <w:kern w:val="0"/>
                <w:szCs w:val="21"/>
                <w:highlight w:val="none"/>
              </w:rPr>
              <w:t>灵敏度试验</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每年1次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680" w:hRule="atLeast"/>
          <w:jc w:val="center"/>
        </w:trPr>
        <w:tc>
          <w:tcPr>
            <w:tcW w:w="794" w:type="dxa"/>
            <w:vMerge w:val="continue"/>
            <w:tcBorders>
              <w:left w:val="single" w:color="auto" w:sz="4" w:space="0"/>
              <w:right w:val="single" w:color="auto" w:sz="4" w:space="0"/>
            </w:tcBorders>
            <w:vAlign w:val="center"/>
          </w:tcPr>
          <w:p>
            <w:pPr>
              <w:jc w:val="center"/>
              <w:rPr>
                <w:color w:val="auto"/>
                <w:kern w:val="0"/>
                <w:szCs w:val="21"/>
                <w:highlight w:val="none"/>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测压管内淤积</w:t>
            </w:r>
          </w:p>
          <w:p>
            <w:pPr>
              <w:widowControl/>
              <w:jc w:val="center"/>
              <w:rPr>
                <w:color w:val="auto"/>
                <w:kern w:val="0"/>
                <w:szCs w:val="21"/>
                <w:highlight w:val="none"/>
              </w:rPr>
            </w:pPr>
            <w:r>
              <w:rPr>
                <w:color w:val="auto"/>
                <w:kern w:val="0"/>
                <w:szCs w:val="21"/>
                <w:highlight w:val="none"/>
              </w:rPr>
              <w:t>高程观测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每年1次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10" w:hRule="atLeast"/>
          <w:jc w:val="center"/>
        </w:trPr>
        <w:tc>
          <w:tcPr>
            <w:tcW w:w="794" w:type="dxa"/>
            <w:vMerge w:val="continue"/>
            <w:tcBorders>
              <w:left w:val="single" w:color="auto" w:sz="4" w:space="0"/>
              <w:right w:val="single" w:color="auto" w:sz="4" w:space="0"/>
            </w:tcBorders>
            <w:vAlign w:val="center"/>
          </w:tcPr>
          <w:p>
            <w:pPr>
              <w:jc w:val="center"/>
              <w:rPr>
                <w:color w:val="auto"/>
                <w:kern w:val="0"/>
                <w:szCs w:val="21"/>
                <w:highlight w:val="none"/>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c>
          <w:tcPr>
            <w:tcW w:w="215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管内水位人工比测</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23</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每季度1次</w:t>
            </w:r>
          </w:p>
        </w:tc>
        <w:tc>
          <w:tcPr>
            <w:tcW w:w="1811"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1166" w:hRule="atLeast"/>
          <w:jc w:val="center"/>
        </w:trPr>
        <w:tc>
          <w:tcPr>
            <w:tcW w:w="794"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p>
        </w:tc>
        <w:tc>
          <w:tcPr>
            <w:tcW w:w="124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测压管清淤</w:t>
            </w:r>
          </w:p>
        </w:tc>
        <w:tc>
          <w:tcPr>
            <w:tcW w:w="215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测压管管内淤积清理</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8</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1</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每年1次</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对指定的测压管进行管内清淤，</w:t>
            </w:r>
            <w:r>
              <w:rPr>
                <w:rFonts w:hint="eastAsia"/>
                <w:color w:val="auto"/>
                <w:kern w:val="0"/>
                <w:szCs w:val="21"/>
                <w:highlight w:val="none"/>
              </w:rPr>
              <w:t>含原始记录、</w:t>
            </w:r>
          </w:p>
          <w:p>
            <w:pPr>
              <w:widowControl/>
              <w:jc w:val="center"/>
              <w:rPr>
                <w:color w:val="auto"/>
                <w:kern w:val="0"/>
                <w:szCs w:val="21"/>
                <w:highlight w:val="none"/>
              </w:rPr>
            </w:pPr>
            <w:r>
              <w:rPr>
                <w:rFonts w:hint="eastAsia"/>
                <w:color w:val="auto"/>
                <w:kern w:val="0"/>
                <w:szCs w:val="21"/>
                <w:highlight w:val="none"/>
              </w:rPr>
              <w:t>资料分析</w:t>
            </w:r>
          </w:p>
        </w:tc>
      </w:tr>
      <w:tr>
        <w:tblPrEx>
          <w:tblCellMar>
            <w:top w:w="0" w:type="dxa"/>
            <w:left w:w="108" w:type="dxa"/>
            <w:bottom w:w="0" w:type="dxa"/>
            <w:right w:w="108" w:type="dxa"/>
          </w:tblCellMar>
        </w:tblPrEx>
        <w:trPr>
          <w:trHeight w:val="680" w:hRule="atLeast"/>
          <w:jc w:val="center"/>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124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伸缩缝</w:t>
            </w:r>
          </w:p>
        </w:tc>
        <w:tc>
          <w:tcPr>
            <w:tcW w:w="215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对水闸、泵站5处伸缩缝进行观测分析</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5</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每季度1次</w:t>
            </w:r>
          </w:p>
        </w:tc>
        <w:tc>
          <w:tcPr>
            <w:tcW w:w="1811"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含</w:t>
            </w:r>
            <w:r>
              <w:rPr>
                <w:rFonts w:hint="eastAsia"/>
                <w:color w:val="auto"/>
                <w:kern w:val="0"/>
                <w:szCs w:val="21"/>
                <w:highlight w:val="none"/>
              </w:rPr>
              <w:t>原始记录、</w:t>
            </w:r>
          </w:p>
          <w:p>
            <w:pPr>
              <w:widowControl/>
              <w:jc w:val="center"/>
              <w:rPr>
                <w:color w:val="auto"/>
                <w:kern w:val="0"/>
                <w:szCs w:val="21"/>
                <w:highlight w:val="none"/>
              </w:rPr>
            </w:pPr>
            <w:r>
              <w:rPr>
                <w:color w:val="auto"/>
                <w:kern w:val="0"/>
                <w:szCs w:val="21"/>
                <w:highlight w:val="none"/>
              </w:rPr>
              <w:t>资料分析、</w:t>
            </w:r>
          </w:p>
          <w:p>
            <w:pPr>
              <w:widowControl/>
              <w:jc w:val="center"/>
              <w:rPr>
                <w:color w:val="auto"/>
                <w:kern w:val="0"/>
                <w:szCs w:val="21"/>
                <w:highlight w:val="none"/>
              </w:rPr>
            </w:pPr>
            <w:r>
              <w:rPr>
                <w:color w:val="auto"/>
                <w:kern w:val="0"/>
                <w:szCs w:val="21"/>
                <w:highlight w:val="none"/>
              </w:rPr>
              <w:t>出具相关报告</w:t>
            </w:r>
          </w:p>
        </w:tc>
      </w:tr>
      <w:tr>
        <w:tblPrEx>
          <w:tblCellMar>
            <w:top w:w="0" w:type="dxa"/>
            <w:left w:w="108" w:type="dxa"/>
            <w:bottom w:w="0" w:type="dxa"/>
            <w:right w:w="108" w:type="dxa"/>
          </w:tblCellMar>
        </w:tblPrEx>
        <w:trPr>
          <w:trHeight w:val="680" w:hRule="atLeast"/>
          <w:jc w:val="center"/>
        </w:trPr>
        <w:tc>
          <w:tcPr>
            <w:tcW w:w="7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5</w:t>
            </w:r>
          </w:p>
        </w:tc>
        <w:tc>
          <w:tcPr>
            <w:tcW w:w="124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水尺水位比测</w:t>
            </w:r>
          </w:p>
        </w:tc>
        <w:tc>
          <w:tcPr>
            <w:tcW w:w="215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highlight w:val="none"/>
              </w:rPr>
            </w:pPr>
            <w:r>
              <w:rPr>
                <w:color w:val="auto"/>
                <w:kern w:val="0"/>
                <w:szCs w:val="21"/>
                <w:highlight w:val="none"/>
              </w:rPr>
              <w:t>对工程上下游5处水尺进行比测校核</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5</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4</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highlight w:val="none"/>
              </w:rPr>
            </w:pPr>
            <w:r>
              <w:rPr>
                <w:color w:val="auto"/>
                <w:kern w:val="0"/>
                <w:szCs w:val="21"/>
                <w:highlight w:val="none"/>
              </w:rPr>
              <w:t>每季度1次</w:t>
            </w:r>
          </w:p>
        </w:tc>
        <w:tc>
          <w:tcPr>
            <w:tcW w:w="1811" w:type="dxa"/>
            <w:tcBorders>
              <w:top w:val="nil"/>
              <w:left w:val="nil"/>
              <w:bottom w:val="single" w:color="auto" w:sz="4" w:space="0"/>
              <w:right w:val="single" w:color="auto" w:sz="4" w:space="0"/>
            </w:tcBorders>
            <w:shd w:val="clear" w:color="auto" w:fill="auto"/>
            <w:noWrap/>
            <w:vAlign w:val="center"/>
          </w:tcPr>
          <w:p>
            <w:pPr>
              <w:widowControl/>
              <w:rPr>
                <w:color w:val="auto"/>
                <w:kern w:val="0"/>
                <w:szCs w:val="21"/>
                <w:highlight w:val="none"/>
              </w:rPr>
            </w:pPr>
            <w:r>
              <w:rPr>
                <w:color w:val="auto"/>
                <w:kern w:val="0"/>
                <w:szCs w:val="21"/>
                <w:highlight w:val="none"/>
              </w:rPr>
              <w:t>现场校准、调试</w:t>
            </w:r>
            <w:r>
              <w:rPr>
                <w:rFonts w:hint="eastAsia"/>
                <w:color w:val="auto"/>
                <w:kern w:val="0"/>
                <w:szCs w:val="21"/>
                <w:highlight w:val="none"/>
              </w:rPr>
              <w:t>，</w:t>
            </w:r>
            <w:r>
              <w:rPr>
                <w:color w:val="auto"/>
                <w:kern w:val="0"/>
                <w:szCs w:val="21"/>
                <w:highlight w:val="none"/>
              </w:rPr>
              <w:t>提交</w:t>
            </w:r>
            <w:r>
              <w:rPr>
                <w:rFonts w:hint="eastAsia"/>
                <w:color w:val="auto"/>
                <w:kern w:val="0"/>
                <w:szCs w:val="21"/>
                <w:highlight w:val="none"/>
              </w:rPr>
              <w:t>原始记录</w:t>
            </w:r>
          </w:p>
        </w:tc>
      </w:tr>
    </w:tbl>
    <w:p>
      <w:pPr>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第九条  合同价款支付</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2024年5月底完成相应测量任务，提交相应观测成果资料并经采购人审查符合要求后付合同价的50%。</w:t>
      </w:r>
      <w:r>
        <w:rPr>
          <w:rFonts w:hint="eastAsia" w:ascii="宋体" w:hAnsi="宋体" w:cs="宋体"/>
          <w:bCs/>
          <w:color w:val="auto"/>
          <w:sz w:val="24"/>
          <w:highlight w:val="none"/>
          <w:lang w:val="zh-CN"/>
        </w:rPr>
        <w:t>本项目服务期限结束、涉及的所有服务内容完成、所有资料汇总整编并通过采购人组织的评审后，付清余款。</w:t>
      </w:r>
    </w:p>
    <w:p>
      <w:pPr>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第十条  甲方违约责任</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1、合同签订后，甲方应履约实施本项目。</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2、对于乙方提供的图纸等资料以及属于乙方的观测成果，甲方有义务保密，不得向第三方提供或用于本合同以外的项目，否则乙方有权对因此造成的损失追究责任。</w:t>
      </w:r>
    </w:p>
    <w:p>
      <w:pPr>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第十一条  乙方违约责任</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1、合同生效后，如乙方擅自中途停止或解除合同，甲方有权向乙方索赔。</w:t>
      </w:r>
    </w:p>
    <w:p>
      <w:pPr>
        <w:spacing w:line="480" w:lineRule="exact"/>
        <w:ind w:firstLine="480" w:firstLineChars="200"/>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、乙方未能按合同规定的日期提交观测成果时，应向甲方偿付拖期损失费，每天的拖期损失费按本合同约定的工程总价款的1%计算。</w:t>
      </w:r>
    </w:p>
    <w:p>
      <w:pPr>
        <w:spacing w:line="480" w:lineRule="exact"/>
        <w:ind w:firstLine="480" w:firstLineChars="200"/>
        <w:jc w:val="left"/>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乙方提供的观测成果质量不合格，乙方应负责无偿给予重测或采取补救措施，以达到质量要求。因观测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4、对于甲方提供的图纸和技术资料以及属于甲方的观测成果，乙方有义务保密，不得向第三方转让，否则，甲方有权对因此造成的损失追究责任。</w:t>
      </w:r>
    </w:p>
    <w:p>
      <w:pPr>
        <w:spacing w:line="480" w:lineRule="exact"/>
        <w:ind w:firstLine="480" w:firstLineChars="200"/>
        <w:jc w:val="left"/>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、本项目不允许分包或转包，乙方若有分包或转包的情况，经甲方核实后，甲方有权取消其中标权利。</w:t>
      </w:r>
    </w:p>
    <w:p>
      <w:pPr>
        <w:tabs>
          <w:tab w:val="left" w:pos="709"/>
        </w:tabs>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 xml:space="preserve">第十二条  </w:t>
      </w:r>
      <w:r>
        <w:rPr>
          <w:rFonts w:hint="eastAsia" w:ascii="宋体" w:hAnsi="宋体" w:cs="宋体"/>
          <w:color w:val="auto"/>
          <w:sz w:val="24"/>
          <w:highlight w:val="none"/>
        </w:rPr>
        <w:t>由于不可抗力，致使合同无法履行时，双方应按有关法律规定及时协商处理。</w:t>
      </w:r>
    </w:p>
    <w:p>
      <w:pPr>
        <w:tabs>
          <w:tab w:val="left" w:pos="709"/>
        </w:tabs>
        <w:spacing w:line="480" w:lineRule="exact"/>
        <w:ind w:firstLine="480" w:firstLineChars="200"/>
        <w:jc w:val="left"/>
        <w:rPr>
          <w:rFonts w:ascii="宋体" w:hAnsi="宋体" w:cs="宋体"/>
          <w:color w:val="auto"/>
          <w:sz w:val="24"/>
          <w:highlight w:val="none"/>
        </w:rPr>
      </w:pPr>
      <w:r>
        <w:rPr>
          <w:rFonts w:hint="eastAsia" w:ascii="宋体" w:hAnsi="宋体" w:cs="宋体"/>
          <w:b/>
          <w:color w:val="auto"/>
          <w:sz w:val="24"/>
          <w:highlight w:val="none"/>
        </w:rPr>
        <w:t xml:space="preserve">第十三条 </w:t>
      </w:r>
      <w:r>
        <w:rPr>
          <w:rFonts w:ascii="宋体" w:hAnsi="宋体" w:cs="宋体"/>
          <w:b/>
          <w:color w:val="auto"/>
          <w:sz w:val="24"/>
          <w:highlight w:val="none"/>
        </w:rPr>
        <w:t xml:space="preserve"> </w:t>
      </w:r>
      <w:r>
        <w:rPr>
          <w:rFonts w:hint="eastAsia" w:ascii="宋体" w:hAnsi="宋体" w:cs="宋体"/>
          <w:color w:val="auto"/>
          <w:sz w:val="24"/>
          <w:highlight w:val="none"/>
        </w:rPr>
        <w:t>本合同执行过程中的未尽事宜，双方应本着实事求是友好协商的态度加以解决。双方协商一致的，签订补充协议。补充协议和本合同具有同等效力。</w:t>
      </w:r>
    </w:p>
    <w:p>
      <w:pPr>
        <w:tabs>
          <w:tab w:val="left" w:pos="709"/>
        </w:tabs>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 xml:space="preserve">第十四条 </w:t>
      </w:r>
      <w:r>
        <w:rPr>
          <w:rFonts w:ascii="宋体" w:hAnsi="宋体" w:cs="宋体"/>
          <w:b/>
          <w:color w:val="auto"/>
          <w:sz w:val="24"/>
          <w:highlight w:val="none"/>
        </w:rPr>
        <w:t xml:space="preserve"> </w:t>
      </w:r>
      <w:r>
        <w:rPr>
          <w:rFonts w:hint="eastAsia" w:ascii="宋体" w:hAnsi="宋体" w:cs="宋体"/>
          <w:color w:val="auto"/>
          <w:sz w:val="24"/>
          <w:highlight w:val="none"/>
        </w:rPr>
        <w:t>因合同执行过程中双方发生纠纷，可由双方协商解决或由双方主管部门调解，若达不成协议，双方同意就本合同产生的纠纷向仲裁委员会申请仲裁（当事人双方不在合同约定仲裁机构的，事后又没有达成书面仲裁协议的，可向有管辖权的人民法院起诉）。</w:t>
      </w:r>
    </w:p>
    <w:p>
      <w:pPr>
        <w:tabs>
          <w:tab w:val="left" w:pos="709"/>
        </w:tabs>
        <w:spacing w:line="48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 xml:space="preserve">第十五条 </w:t>
      </w:r>
      <w:r>
        <w:rPr>
          <w:rFonts w:ascii="宋体" w:hAnsi="宋体" w:cs="宋体"/>
          <w:b/>
          <w:color w:val="auto"/>
          <w:sz w:val="24"/>
          <w:highlight w:val="none"/>
        </w:rPr>
        <w:t xml:space="preserve"> </w:t>
      </w:r>
      <w:r>
        <w:rPr>
          <w:rFonts w:hint="eastAsia" w:ascii="宋体" w:hAnsi="宋体" w:cs="宋体"/>
          <w:b/>
          <w:color w:val="auto"/>
          <w:sz w:val="24"/>
          <w:highlight w:val="none"/>
        </w:rPr>
        <w:t>附则</w:t>
      </w:r>
    </w:p>
    <w:p>
      <w:pPr>
        <w:tabs>
          <w:tab w:val="left" w:pos="709"/>
        </w:tabs>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1、本合同由双方代表签字，加盖双方公章或合同专用章即生效。全部成果交接完毕和观测工作费结算完成后，本合同终止。</w:t>
      </w:r>
    </w:p>
    <w:p>
      <w:pPr>
        <w:tabs>
          <w:tab w:val="left" w:pos="709"/>
        </w:tabs>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2、本合同一式  肆  份，甲乙双方各执  贰  份。</w:t>
      </w:r>
    </w:p>
    <w:p>
      <w:pPr>
        <w:tabs>
          <w:tab w:val="left" w:pos="709"/>
        </w:tabs>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3、合同签订地点：</w:t>
      </w:r>
    </w:p>
    <w:p>
      <w:pPr>
        <w:tabs>
          <w:tab w:val="left" w:pos="709"/>
        </w:tabs>
        <w:spacing w:line="480" w:lineRule="exact"/>
        <w:ind w:firstLine="480" w:firstLineChars="200"/>
        <w:jc w:val="left"/>
        <w:rPr>
          <w:rFonts w:ascii="宋体" w:hAnsi="宋体" w:cs="宋体"/>
          <w:color w:val="auto"/>
          <w:sz w:val="24"/>
          <w:highlight w:val="none"/>
        </w:rPr>
      </w:pPr>
    </w:p>
    <w:p>
      <w:pPr>
        <w:tabs>
          <w:tab w:val="left" w:pos="709"/>
        </w:tabs>
        <w:spacing w:line="480" w:lineRule="exact"/>
        <w:ind w:firstLine="480" w:firstLineChars="200"/>
        <w:jc w:val="left"/>
        <w:rPr>
          <w:rFonts w:hint="eastAsia" w:ascii="宋体" w:hAnsi="宋体" w:cs="宋体"/>
          <w:color w:val="auto"/>
          <w:sz w:val="24"/>
          <w:highlight w:val="none"/>
        </w:rPr>
      </w:pPr>
    </w:p>
    <w:p>
      <w:pPr>
        <w:tabs>
          <w:tab w:val="left" w:pos="709"/>
        </w:tabs>
        <w:spacing w:line="480" w:lineRule="exact"/>
        <w:ind w:firstLine="458" w:firstLineChars="191"/>
        <w:jc w:val="left"/>
        <w:rPr>
          <w:rFonts w:ascii="宋体" w:hAnsi="宋体" w:cs="宋体"/>
          <w:color w:val="auto"/>
          <w:sz w:val="24"/>
          <w:highlight w:val="none"/>
        </w:rPr>
      </w:pPr>
      <w:r>
        <w:rPr>
          <w:rFonts w:hint="eastAsia" w:ascii="宋体" w:hAnsi="宋体" w:cs="宋体"/>
          <w:color w:val="auto"/>
          <w:sz w:val="24"/>
          <w:highlight w:val="none"/>
        </w:rPr>
        <w:t>甲方单位名称（盖章）                乙方单位名称（盖章）</w:t>
      </w:r>
    </w:p>
    <w:p>
      <w:pPr>
        <w:tabs>
          <w:tab w:val="left" w:pos="709"/>
        </w:tabs>
        <w:spacing w:line="480" w:lineRule="exact"/>
        <w:ind w:firstLine="458" w:firstLineChars="191"/>
        <w:jc w:val="left"/>
        <w:rPr>
          <w:rFonts w:ascii="宋体" w:hAnsi="宋体" w:cs="宋体"/>
          <w:color w:val="auto"/>
          <w:sz w:val="24"/>
          <w:highlight w:val="none"/>
        </w:rPr>
      </w:pPr>
      <w:r>
        <w:rPr>
          <w:rFonts w:hint="eastAsia" w:ascii="宋体" w:hAnsi="宋体" w:cs="宋体"/>
          <w:color w:val="auto"/>
          <w:sz w:val="24"/>
          <w:highlight w:val="none"/>
        </w:rPr>
        <w:t>法定代表人（或委托代理人）          法定代表人（或委托代理人）</w:t>
      </w:r>
    </w:p>
    <w:p>
      <w:pPr>
        <w:tabs>
          <w:tab w:val="left" w:pos="709"/>
        </w:tabs>
        <w:spacing w:line="480" w:lineRule="exact"/>
        <w:ind w:firstLine="1176" w:firstLineChars="490"/>
        <w:jc w:val="left"/>
        <w:rPr>
          <w:rFonts w:ascii="宋体" w:hAnsi="宋体" w:cs="宋体"/>
          <w:color w:val="auto"/>
          <w:sz w:val="24"/>
          <w:highlight w:val="none"/>
        </w:rPr>
      </w:pPr>
      <w:r>
        <w:rPr>
          <w:rFonts w:hint="eastAsia" w:ascii="宋体" w:hAnsi="宋体" w:cs="宋体"/>
          <w:color w:val="auto"/>
          <w:sz w:val="24"/>
          <w:highlight w:val="none"/>
        </w:rPr>
        <w:t xml:space="preserve">签字：                              签字：    </w:t>
      </w:r>
      <w:r>
        <w:rPr>
          <w:rFonts w:ascii="宋体" w:hAnsi="宋体" w:cs="宋体"/>
          <w:color w:val="auto"/>
          <w:sz w:val="24"/>
          <w:highlight w:val="none"/>
        </w:rPr>
        <w:t xml:space="preserve">    </w:t>
      </w:r>
    </w:p>
    <w:p>
      <w:pPr>
        <w:tabs>
          <w:tab w:val="left" w:pos="709"/>
        </w:tabs>
        <w:spacing w:line="480" w:lineRule="exact"/>
        <w:ind w:firstLine="1176" w:firstLineChars="490"/>
        <w:jc w:val="left"/>
        <w:rPr>
          <w:rFonts w:ascii="宋体" w:hAnsi="宋体" w:cs="宋体"/>
          <w:color w:val="auto"/>
          <w:sz w:val="24"/>
          <w:highlight w:val="none"/>
        </w:rPr>
      </w:pPr>
    </w:p>
    <w:p>
      <w:pPr>
        <w:tabs>
          <w:tab w:val="left" w:pos="709"/>
        </w:tabs>
        <w:spacing w:line="480" w:lineRule="exact"/>
        <w:ind w:firstLine="1176" w:firstLineChars="490"/>
        <w:jc w:val="left"/>
        <w:rPr>
          <w:rFonts w:ascii="宋体" w:hAnsi="宋体" w:cs="宋体"/>
          <w:color w:val="auto"/>
          <w:sz w:val="24"/>
          <w:highlight w:val="none"/>
        </w:rPr>
      </w:pPr>
    </w:p>
    <w:p>
      <w:pPr>
        <w:spacing w:line="480" w:lineRule="exact"/>
        <w:jc w:val="right"/>
        <w:rPr>
          <w:rFonts w:ascii="宋体" w:hAnsi="宋体" w:cs="宋体"/>
          <w:b/>
          <w:bCs/>
          <w:color w:val="auto"/>
          <w:sz w:val="24"/>
          <w:highlight w:val="none"/>
          <w:lang w:val="zh-CN"/>
        </w:rPr>
      </w:pPr>
      <w:r>
        <w:rPr>
          <w:rFonts w:hint="eastAsia" w:ascii="宋体" w:hAnsi="宋体" w:cs="宋体"/>
          <w:color w:val="auto"/>
          <w:sz w:val="24"/>
          <w:highlight w:val="none"/>
        </w:rPr>
        <w:t xml:space="preserve">                 合同订立时间：     年 </w:t>
      </w:r>
      <w:r>
        <w:rPr>
          <w:rFonts w:ascii="宋体" w:hAnsi="宋体" w:cs="宋体"/>
          <w:color w:val="auto"/>
          <w:sz w:val="24"/>
          <w:highlight w:val="none"/>
        </w:rPr>
        <w:t xml:space="preserve">   </w:t>
      </w:r>
      <w:r>
        <w:rPr>
          <w:rFonts w:hint="eastAsia" w:ascii="宋体" w:hAnsi="宋体" w:cs="宋体"/>
          <w:color w:val="auto"/>
          <w:sz w:val="24"/>
          <w:highlight w:val="none"/>
        </w:rPr>
        <w:t xml:space="preserve"> 月  </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rStyle w:val="123"/>
          <w:rFonts w:hint="default"/>
          <w:bCs/>
          <w:color w:val="auto"/>
          <w:sz w:val="28"/>
          <w:szCs w:val="28"/>
          <w:highlight w:val="none"/>
        </w:rPr>
      </w:pPr>
      <w:r>
        <w:rPr>
          <w:rStyle w:val="123"/>
          <w:rFonts w:hint="default"/>
          <w:bCs/>
          <w:color w:val="auto"/>
          <w:sz w:val="28"/>
          <w:szCs w:val="28"/>
          <w:highlight w:val="none"/>
        </w:rPr>
        <w:br w:type="page"/>
      </w:r>
    </w:p>
    <w:p>
      <w:pPr>
        <w:pStyle w:val="62"/>
        <w:rPr>
          <w:rStyle w:val="123"/>
          <w:rFonts w:hint="default"/>
          <w:color w:val="auto"/>
          <w:sz w:val="28"/>
          <w:szCs w:val="28"/>
          <w:highlight w:val="none"/>
        </w:rPr>
      </w:pPr>
      <w:r>
        <w:rPr>
          <w:rStyle w:val="123"/>
          <w:rFonts w:hint="default"/>
          <w:color w:val="auto"/>
          <w:sz w:val="28"/>
          <w:szCs w:val="28"/>
          <w:highlight w:val="none"/>
        </w:rPr>
        <w:t>第六章  合同授予</w:t>
      </w:r>
    </w:p>
    <w:p>
      <w:pPr>
        <w:snapToGrid w:val="0"/>
        <w:spacing w:line="360" w:lineRule="auto"/>
        <w:ind w:firstLine="480" w:firstLineChars="200"/>
        <w:rPr>
          <w:rFonts w:ascii="宋体" w:hAnsi="宋体"/>
          <w:color w:val="auto"/>
          <w:sz w:val="24"/>
          <w:highlight w:val="none"/>
        </w:rPr>
      </w:pPr>
      <w:r>
        <w:rPr>
          <w:rFonts w:ascii="宋体" w:hAnsi="宋体"/>
          <w:b/>
          <w:color w:val="auto"/>
          <w:sz w:val="24"/>
          <w:highlight w:val="none"/>
        </w:rPr>
        <w:t>一</w:t>
      </w:r>
      <w:r>
        <w:rPr>
          <w:rFonts w:ascii="宋体" w:hAnsi="宋体"/>
          <w:color w:val="auto"/>
          <w:sz w:val="24"/>
          <w:highlight w:val="none"/>
        </w:rPr>
        <w:t>、中标供应商和采购人在发出《中标通知书》后</w:t>
      </w:r>
      <w:r>
        <w:rPr>
          <w:rFonts w:hint="eastAsia" w:ascii="宋体" w:hAnsi="宋体"/>
          <w:color w:val="auto"/>
          <w:sz w:val="24"/>
          <w:highlight w:val="none"/>
        </w:rPr>
        <w:t>15</w:t>
      </w:r>
      <w:r>
        <w:rPr>
          <w:rFonts w:ascii="宋体" w:hAnsi="宋体"/>
          <w:color w:val="auto"/>
          <w:sz w:val="24"/>
          <w:highlight w:val="none"/>
        </w:rPr>
        <w:t>日内签订合同。合同签订后中标供应商方可履约，否则引起的一切后果由中标供应商自行承担。</w:t>
      </w:r>
      <w:r>
        <w:rPr>
          <w:rFonts w:ascii="宋体" w:hAnsi="宋体"/>
          <w:color w:val="auto"/>
          <w:sz w:val="24"/>
          <w:highlight w:val="none"/>
          <w:lang w:val="zh-CN"/>
        </w:rPr>
        <w:t>所签合同不得对采购文件作实质性修改</w:t>
      </w:r>
      <w:r>
        <w:rPr>
          <w:rFonts w:ascii="宋体" w:hAnsi="宋体"/>
          <w:color w:val="auto"/>
          <w:sz w:val="24"/>
          <w:highlight w:val="none"/>
        </w:rPr>
        <w:t>。采购人不得向中标供应商提出不合理的要求作为签订合同的条件，不得与中标供应商私下订立背离采购文件实质性内容的协议。</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的原则上5个工作日内支付相应款项。</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三、采购人故意推迟项目验收时间的，与中标供应商串通或要求中标供应商</w:t>
      </w:r>
      <w:r>
        <w:rPr>
          <w:rFonts w:ascii="宋体" w:hAnsi="宋体"/>
          <w:color w:val="auto"/>
          <w:kern w:val="0"/>
          <w:sz w:val="24"/>
          <w:szCs w:val="18"/>
          <w:highlight w:val="none"/>
          <w:lang w:bidi="zh-CN"/>
        </w:rPr>
        <w:t>通过减少货物数量或降低服务标准的，在履行合同中采取更改配置、调换物品等手段的，</w:t>
      </w:r>
      <w:r>
        <w:rPr>
          <w:rFonts w:ascii="宋体" w:hAnsi="宋体"/>
          <w:color w:val="auto"/>
          <w:sz w:val="24"/>
          <w:highlight w:val="none"/>
        </w:rPr>
        <w:t>要求中标供应商出具虚假发票或任意更改销售发票的，谋取不正当利益的，承担相应的法律责任。</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五、不响应付款方式的，视同无效投标处理。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每次付款前，中标供应商须根据结算金额按国家有关财税规定开出合法发票交采购方办理付款手续。</w:t>
      </w:r>
    </w:p>
    <w:p>
      <w:pPr>
        <w:kinsoku w:val="0"/>
        <w:topLinePunct/>
        <w:autoSpaceDE w:val="0"/>
        <w:autoSpaceDN w:val="0"/>
        <w:snapToGrid w:val="0"/>
        <w:spacing w:line="360" w:lineRule="auto"/>
        <w:ind w:right="210" w:firstLine="513" w:firstLineChars="214"/>
        <w:contextualSpacing/>
        <w:rPr>
          <w:rFonts w:ascii="宋体" w:hAnsi="宋体"/>
          <w:b/>
          <w:color w:val="auto"/>
          <w:sz w:val="24"/>
          <w:highlight w:val="none"/>
        </w:rPr>
      </w:pPr>
      <w:r>
        <w:rPr>
          <w:rFonts w:hint="eastAsia" w:ascii="宋体" w:hAnsi="宋体"/>
          <w:b/>
          <w:color w:val="auto"/>
          <w:sz w:val="24"/>
          <w:highlight w:val="none"/>
        </w:rPr>
        <w:t>六、其他：</w:t>
      </w:r>
    </w:p>
    <w:p>
      <w:pPr>
        <w:kinsoku w:val="0"/>
        <w:topLinePunct/>
        <w:autoSpaceDE w:val="0"/>
        <w:autoSpaceDN w:val="0"/>
        <w:snapToGrid w:val="0"/>
        <w:spacing w:line="360" w:lineRule="auto"/>
        <w:ind w:right="210" w:firstLine="513" w:firstLineChars="214"/>
        <w:contextualSpacing/>
        <w:rPr>
          <w:rFonts w:hint="eastAsia" w:ascii="宋体" w:hAnsi="宋体"/>
          <w:b/>
          <w:color w:val="auto"/>
          <w:sz w:val="24"/>
          <w:highlight w:val="none"/>
        </w:rPr>
      </w:pPr>
      <w:r>
        <w:rPr>
          <w:rFonts w:hint="eastAsia" w:ascii="宋体" w:hAnsi="宋体"/>
          <w:b/>
          <w:color w:val="auto"/>
          <w:sz w:val="24"/>
          <w:highlight w:val="none"/>
        </w:rPr>
        <w:t>本项目服务期限结束，所有服务内容完成且验收合格后，招标人可经批准后，视情况与中标供应商续签年度委托合同，最多可续签两次。</w:t>
      </w:r>
    </w:p>
    <w:p>
      <w:pPr>
        <w:snapToGrid w:val="0"/>
        <w:spacing w:line="360" w:lineRule="auto"/>
        <w:ind w:firstLine="480" w:firstLineChars="200"/>
        <w:rPr>
          <w:rFonts w:hint="eastAsia" w:ascii="宋体" w:hAnsi="宋体"/>
          <w:color w:val="auto"/>
          <w:sz w:val="24"/>
          <w:highlight w:val="none"/>
        </w:rPr>
      </w:pPr>
    </w:p>
    <w:p>
      <w:pPr>
        <w:pStyle w:val="62"/>
        <w:rPr>
          <w:rStyle w:val="123"/>
          <w:rFonts w:hint="default"/>
          <w:bCs w:val="0"/>
          <w:color w:val="auto"/>
          <w:sz w:val="28"/>
          <w:szCs w:val="28"/>
          <w:highlight w:val="none"/>
        </w:rPr>
      </w:pPr>
      <w:r>
        <w:rPr>
          <w:rFonts w:ascii="宋体"/>
          <w:color w:val="auto"/>
          <w:sz w:val="24"/>
          <w:highlight w:val="none"/>
        </w:rPr>
        <w:br w:type="page"/>
      </w:r>
      <w:r>
        <w:rPr>
          <w:rStyle w:val="123"/>
          <w:rFonts w:hint="default"/>
          <w:color w:val="auto"/>
          <w:sz w:val="28"/>
          <w:szCs w:val="28"/>
          <w:highlight w:val="none"/>
        </w:rPr>
        <w:t>第七章  质疑提出和处理</w:t>
      </w:r>
    </w:p>
    <w:p>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rPr>
      </w:pPr>
      <w:r>
        <w:rPr>
          <w:rFonts w:ascii="宋体" w:hAnsi="宋体"/>
          <w:b/>
          <w:color w:val="auto"/>
          <w:kern w:val="0"/>
          <w:sz w:val="24"/>
          <w:highlight w:val="none"/>
        </w:rPr>
        <w:t>一、质疑的提出</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(一)质疑人的身份要求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1.质疑人必须是直接参加本次招标活动的当事人。</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2.未参加投标活动的供应商或在投标活动中自身权益未受到损害的供应商所提出的质疑不予受理。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(二)质疑提出的格式要求</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2.质疑函应包括：</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（1）质疑投标人的名称、地址、邮编、联系人及联系电话；</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（2）具体、明确的质疑事项及明确的请求；</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（3）质疑的事实依据和必要的法律依据；</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（4）提起质疑的日期；</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（5）认为自己合法权益受到损害或可能受到损害的相关证据材料；</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3.质疑函需遵循的原则：</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（三）质疑提出的时效要求</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（1）对可以质疑的采购文件提出质疑的，为收到采购文件之日或者采购文件公告期限届满之日；</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（2）对采购过程提出质疑的，为各采购程序环节结束之日；</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（3）对中标或者成交结果提出质疑的，为中标或者成交结果公告期限届满之日。</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2.投标人应在法定质疑期一次性提出针对同一采购程序环节的质疑。</w:t>
      </w:r>
    </w:p>
    <w:p>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二、《质疑函》的受理和回复</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1.收到质疑函后，采购人将对质疑的形式和内容进行审查，如质疑函内容、格式不符合规定，采购人将告知质疑人进行补正。</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质疑人应当在法定质疑期限内进行补正并重新提交质疑函，拒不补正或者在法定期限内未重新提交质疑函的，为无效质疑，采购人将不予受理。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三、质疑处理</w:t>
      </w:r>
    </w:p>
    <w:p>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1、质疑成立的处理。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（1）对于内容、格式符合规定的质疑函，采购人在收到投标供应商的书面质疑后七个工作日内作出书面答复，但答复的内容不得涉及商业秘密。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（3）对采购过程、中标或者成交结果提出的质疑，合格供应商符合法定数量时，可以从合格的中标候选人中另行确定中标、</w:t>
      </w:r>
      <w:r>
        <w:rPr>
          <w:rFonts w:hint="eastAsia" w:ascii="宋体" w:hAnsi="宋体"/>
          <w:color w:val="auto"/>
          <w:sz w:val="24"/>
          <w:highlight w:val="none"/>
        </w:rPr>
        <w:t>中标人</w:t>
      </w:r>
      <w:r>
        <w:rPr>
          <w:rFonts w:ascii="宋体" w:hAnsi="宋体"/>
          <w:color w:val="auto"/>
          <w:sz w:val="24"/>
          <w:highlight w:val="none"/>
        </w:rPr>
        <w:t>，或重新开展采购活动。</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2、质疑不成立的处理。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（1）若质疑不成立，或者成立未对中标、成交结果构成影响的，继续开展采购活动。</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（3）质疑人承担使用虚假材料或恶意方式质疑的法律责任。</w:t>
      </w:r>
    </w:p>
    <w:p>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3、虚假质疑的处理</w:t>
      </w:r>
    </w:p>
    <w:p>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投标人提出书面质疑必须有理、有据，不得恶意质疑或提交虚假质疑。否则，一经查实，将依据政府采购的有关规定，报请政府采购监管部门对该投标人进行相应的行政处罚。</w:t>
      </w:r>
    </w:p>
    <w:p>
      <w:pPr>
        <w:pStyle w:val="62"/>
        <w:rPr>
          <w:rStyle w:val="123"/>
          <w:rFonts w:hint="default"/>
          <w:bCs w:val="0"/>
          <w:color w:val="auto"/>
          <w:sz w:val="28"/>
          <w:szCs w:val="28"/>
          <w:highlight w:val="none"/>
        </w:rPr>
      </w:pPr>
      <w:r>
        <w:rPr>
          <w:rStyle w:val="123"/>
          <w:rFonts w:hint="default"/>
          <w:bCs w:val="0"/>
          <w:color w:val="auto"/>
          <w:sz w:val="28"/>
          <w:szCs w:val="28"/>
          <w:highlight w:val="none"/>
        </w:rPr>
        <w:br w:type="page"/>
      </w:r>
      <w:r>
        <w:rPr>
          <w:rStyle w:val="123"/>
          <w:rFonts w:hint="default"/>
          <w:color w:val="auto"/>
          <w:sz w:val="28"/>
          <w:szCs w:val="28"/>
          <w:highlight w:val="none"/>
        </w:rPr>
        <w:t>第八章  投标文件组成</w:t>
      </w:r>
    </w:p>
    <w:p>
      <w:pPr>
        <w:snapToGrid w:val="0"/>
        <w:spacing w:line="360" w:lineRule="auto"/>
        <w:ind w:firstLine="470" w:firstLineChars="196"/>
        <w:rPr>
          <w:rFonts w:ascii="宋体" w:hAnsi="宋体"/>
          <w:b/>
          <w:color w:val="auto"/>
          <w:sz w:val="24"/>
          <w:highlight w:val="none"/>
        </w:rPr>
      </w:pPr>
      <w:r>
        <w:rPr>
          <w:rFonts w:ascii="宋体" w:hAnsi="宋体"/>
          <w:b/>
          <w:color w:val="auto"/>
          <w:sz w:val="24"/>
          <w:highlight w:val="none"/>
        </w:rPr>
        <w:t>投标文件由资格后审材料、</w:t>
      </w:r>
      <w:r>
        <w:rPr>
          <w:rFonts w:hint="eastAsia" w:ascii="宋体" w:hAnsi="宋体"/>
          <w:b/>
          <w:color w:val="auto"/>
          <w:sz w:val="24"/>
          <w:highlight w:val="none"/>
        </w:rPr>
        <w:t>商务技术标</w:t>
      </w:r>
      <w:r>
        <w:rPr>
          <w:rFonts w:ascii="宋体" w:hAnsi="宋体"/>
          <w:b/>
          <w:color w:val="auto"/>
          <w:sz w:val="24"/>
          <w:highlight w:val="none"/>
        </w:rPr>
        <w:t>、价格标三部分组成。本次招标采用资格后审方式，投标人须将资格后审材料作为投标文件组成部分，按要求装订密封后一起递交。</w:t>
      </w:r>
    </w:p>
    <w:p>
      <w:pPr>
        <w:snapToGrid w:val="0"/>
        <w:spacing w:line="360" w:lineRule="auto"/>
        <w:ind w:firstLine="480" w:firstLineChars="200"/>
        <w:jc w:val="left"/>
        <w:rPr>
          <w:rFonts w:ascii="宋体" w:hAnsi="宋体"/>
          <w:b/>
          <w:color w:val="auto"/>
          <w:sz w:val="24"/>
          <w:highlight w:val="none"/>
        </w:rPr>
      </w:pPr>
      <w:r>
        <w:rPr>
          <w:rFonts w:ascii="宋体" w:hAnsi="宋体"/>
          <w:b/>
          <w:color w:val="auto"/>
          <w:sz w:val="24"/>
          <w:highlight w:val="none"/>
        </w:rPr>
        <w:t>一、资格后审材料（单独装订密封）</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1、关于资格的声明函；</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2、法定代表人参加投标的，必须提供法定代表人身份证明及法定代表人本人身份证复印件；</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非法定代表人参加投标的，必须提供法定代表人签名或盖章的授权委托书及</w:t>
      </w:r>
      <w:r>
        <w:rPr>
          <w:rFonts w:ascii="宋体" w:hAnsi="宋体"/>
          <w:b/>
          <w:color w:val="auto"/>
          <w:sz w:val="24"/>
          <w:highlight w:val="none"/>
        </w:rPr>
        <w:t>法定代表人和被授权人两人的身份证复印件</w:t>
      </w:r>
      <w:r>
        <w:rPr>
          <w:rFonts w:ascii="宋体" w:hAnsi="宋体"/>
          <w:color w:val="auto"/>
          <w:sz w:val="24"/>
          <w:highlight w:val="none"/>
        </w:rPr>
        <w:t>（格式参见附件）；</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3、满足《中华人民共和国政府采购法》第二十二条规定声明函（按照后附格式）；</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4、有效的营业执照（提供复印件并加盖公章）；</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5、有效的工程测量乙级及以上测绘资质证书（提供复印件并加盖公章）；</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拟派本项目负责人具备水利工程专业中级及以上职称（需提供人员证书复印件及投标企业所在地社保机构出具的企业为其缴纳的最近6个月中任意一个月的社保缴费证明并加盖公章，可提供原件扫描件或官网打印具有二维码或验证码的官网打印件或截图）。</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投标单位未被“信用中国”网站、中国政府采购网、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8、其它在招标文件中需要提交的材料。</w:t>
      </w:r>
    </w:p>
    <w:p>
      <w:pPr>
        <w:snapToGrid w:val="0"/>
        <w:spacing w:line="360" w:lineRule="auto"/>
        <w:ind w:firstLine="480" w:firstLineChars="200"/>
        <w:jc w:val="left"/>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商务技术标</w:t>
      </w:r>
      <w:r>
        <w:rPr>
          <w:rFonts w:ascii="宋体" w:hAnsi="宋体"/>
          <w:b/>
          <w:color w:val="auto"/>
          <w:sz w:val="24"/>
          <w:highlight w:val="none"/>
        </w:rPr>
        <w:t>（单独装订密封）</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color w:val="auto"/>
          <w:sz w:val="24"/>
          <w:highlight w:val="none"/>
        </w:rPr>
        <w:t>商务</w:t>
      </w:r>
      <w:r>
        <w:rPr>
          <w:rFonts w:ascii="宋体" w:hAnsi="宋体"/>
          <w:color w:val="auto"/>
          <w:sz w:val="24"/>
          <w:highlight w:val="none"/>
        </w:rPr>
        <w:t>投标响应文件。以下响应文件的内容，不得有缺项或漏项。否则将有可能被视为未实质性响应招标文件要求而作无效投标处理，或可能直接影响技术评审的得分；</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1、招标文件评审方法中所涉及的事项需提供的所有资料；</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2、招标文件中未涉及的事项，投标人认为需要提交的其他资料。</w:t>
      </w:r>
    </w:p>
    <w:p>
      <w:pPr>
        <w:widowControl/>
        <w:snapToGrid w:val="0"/>
        <w:spacing w:line="360" w:lineRule="auto"/>
        <w:ind w:firstLine="480" w:firstLineChars="200"/>
        <w:jc w:val="left"/>
        <w:rPr>
          <w:rFonts w:ascii="宋体" w:hAnsi="宋体"/>
          <w:b/>
          <w:bCs/>
          <w:color w:val="auto"/>
          <w:sz w:val="24"/>
          <w:highlight w:val="none"/>
        </w:rPr>
      </w:pPr>
      <w:r>
        <w:rPr>
          <w:rFonts w:ascii="宋体" w:hAnsi="宋体"/>
          <w:b/>
          <w:bCs/>
          <w:color w:val="auto"/>
          <w:sz w:val="24"/>
          <w:highlight w:val="none"/>
        </w:rPr>
        <w:t>特别提醒：“资格后审材料”、“</w:t>
      </w:r>
      <w:r>
        <w:rPr>
          <w:rFonts w:hint="eastAsia" w:ascii="宋体" w:hAnsi="宋体"/>
          <w:b/>
          <w:bCs/>
          <w:color w:val="auto"/>
          <w:sz w:val="24"/>
          <w:highlight w:val="none"/>
        </w:rPr>
        <w:t>商务技术标</w:t>
      </w:r>
      <w:r>
        <w:rPr>
          <w:rFonts w:ascii="宋体" w:hAnsi="宋体"/>
          <w:b/>
          <w:bCs/>
          <w:color w:val="auto"/>
          <w:sz w:val="24"/>
          <w:highlight w:val="none"/>
        </w:rPr>
        <w:t>”所须提供的材料（须加盖公章）按招标文件要求装订，密封，递交。</w:t>
      </w:r>
    </w:p>
    <w:p>
      <w:pPr>
        <w:widowControl/>
        <w:snapToGrid w:val="0"/>
        <w:spacing w:line="360" w:lineRule="auto"/>
        <w:ind w:firstLine="480" w:firstLineChars="200"/>
        <w:jc w:val="left"/>
        <w:rPr>
          <w:rFonts w:ascii="宋体" w:hAnsi="宋体"/>
          <w:b/>
          <w:bCs/>
          <w:color w:val="auto"/>
          <w:sz w:val="24"/>
          <w:highlight w:val="none"/>
        </w:rPr>
      </w:pPr>
      <w:r>
        <w:rPr>
          <w:rFonts w:ascii="宋体" w:hAnsi="宋体"/>
          <w:b/>
          <w:bCs/>
          <w:color w:val="auto"/>
          <w:sz w:val="24"/>
          <w:highlight w:val="none"/>
        </w:rPr>
        <w:t>“资格审查文件”、</w:t>
      </w:r>
      <w:r>
        <w:rPr>
          <w:rFonts w:hint="eastAsia" w:ascii="宋体" w:hAnsi="宋体"/>
          <w:b/>
          <w:bCs/>
          <w:color w:val="auto"/>
          <w:sz w:val="24"/>
          <w:highlight w:val="none"/>
        </w:rPr>
        <w:t>“商务技术标”</w:t>
      </w:r>
      <w:r>
        <w:rPr>
          <w:rFonts w:ascii="宋体" w:hAnsi="宋体"/>
          <w:b/>
          <w:bCs/>
          <w:color w:val="auto"/>
          <w:sz w:val="24"/>
          <w:highlight w:val="none"/>
        </w:rPr>
        <w:t>涉及的相关原件请带至开标现场备查。未携带原件或因携带原件不全所引起的后果由投标人自行承担。</w:t>
      </w:r>
      <w:r>
        <w:rPr>
          <w:rFonts w:hint="eastAsia" w:ascii="宋体" w:hAnsi="宋体"/>
          <w:b/>
          <w:bCs/>
          <w:color w:val="auto"/>
          <w:sz w:val="24"/>
          <w:highlight w:val="none"/>
        </w:rPr>
        <w:t>以上材料如为复印件均需加盖投标人公章。</w:t>
      </w:r>
    </w:p>
    <w:p>
      <w:pPr>
        <w:widowControl/>
        <w:snapToGrid w:val="0"/>
        <w:spacing w:line="360" w:lineRule="auto"/>
        <w:ind w:firstLine="480" w:firstLineChars="200"/>
        <w:jc w:val="left"/>
        <w:rPr>
          <w:rFonts w:ascii="宋体" w:hAnsi="宋体"/>
          <w:b/>
          <w:bCs/>
          <w:color w:val="auto"/>
          <w:sz w:val="24"/>
          <w:highlight w:val="none"/>
        </w:rPr>
      </w:pPr>
      <w:r>
        <w:rPr>
          <w:rFonts w:hint="eastAsia" w:ascii="宋体" w:hAnsi="宋体"/>
          <w:b/>
          <w:bCs/>
          <w:color w:val="auto"/>
          <w:sz w:val="24"/>
          <w:highlight w:val="none"/>
        </w:rPr>
        <w:t>除商务技术文件中按评审办法可以提供内装部分报价外，资格审查文件和商务技术文件中不得有其他报价内容。</w:t>
      </w:r>
    </w:p>
    <w:p>
      <w:pPr>
        <w:snapToGrid w:val="0"/>
        <w:spacing w:line="360" w:lineRule="auto"/>
        <w:ind w:firstLine="480" w:firstLineChars="200"/>
        <w:rPr>
          <w:rFonts w:ascii="宋体" w:hAnsi="宋体"/>
          <w:b/>
          <w:color w:val="auto"/>
          <w:sz w:val="24"/>
          <w:highlight w:val="none"/>
        </w:rPr>
      </w:pPr>
      <w:r>
        <w:rPr>
          <w:rFonts w:ascii="宋体" w:hAnsi="宋体"/>
          <w:b/>
          <w:color w:val="auto"/>
          <w:sz w:val="24"/>
          <w:highlight w:val="none"/>
        </w:rPr>
        <w:t>三、价格标（单独装订密封）</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1、开标一览表；</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2、分项报价明细表；</w:t>
      </w:r>
    </w:p>
    <w:p>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《中小</w:t>
      </w:r>
      <w:r>
        <w:rPr>
          <w:rFonts w:ascii="宋体" w:hAnsi="宋体"/>
          <w:color w:val="auto"/>
          <w:sz w:val="24"/>
          <w:highlight w:val="none"/>
        </w:rPr>
        <w:t>企业声明函</w:t>
      </w:r>
      <w:r>
        <w:rPr>
          <w:rFonts w:hint="eastAsia" w:ascii="宋体" w:hAnsi="宋体"/>
          <w:color w:val="auto"/>
          <w:sz w:val="24"/>
          <w:highlight w:val="none"/>
        </w:rPr>
        <w:t>》</w:t>
      </w:r>
      <w:r>
        <w:rPr>
          <w:rFonts w:ascii="宋体" w:hAnsi="宋体"/>
          <w:color w:val="auto"/>
          <w:sz w:val="24"/>
          <w:highlight w:val="none"/>
        </w:rPr>
        <w:t>（如有）</w:t>
      </w:r>
      <w:r>
        <w:rPr>
          <w:rFonts w:hint="eastAsia" w:ascii="宋体" w:hAnsi="宋体"/>
          <w:color w:val="auto"/>
          <w:sz w:val="24"/>
          <w:highlight w:val="none"/>
        </w:rPr>
        <w:t>；</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残疾人福利性单位声明函</w:t>
      </w:r>
      <w:r>
        <w:rPr>
          <w:rFonts w:hint="eastAsia" w:ascii="宋体" w:hAnsi="宋体"/>
          <w:color w:val="auto"/>
          <w:sz w:val="24"/>
          <w:highlight w:val="none"/>
        </w:rPr>
        <w:t>》</w:t>
      </w:r>
      <w:r>
        <w:rPr>
          <w:rFonts w:ascii="宋体" w:hAnsi="宋体"/>
          <w:color w:val="auto"/>
          <w:sz w:val="24"/>
          <w:highlight w:val="none"/>
        </w:rPr>
        <w:t>（如有）</w:t>
      </w:r>
      <w:r>
        <w:rPr>
          <w:rFonts w:hint="eastAsia" w:ascii="宋体" w:hAnsi="宋体"/>
          <w:color w:val="auto"/>
          <w:sz w:val="24"/>
          <w:highlight w:val="none"/>
        </w:rPr>
        <w:t>；</w:t>
      </w:r>
    </w:p>
    <w:p>
      <w:pPr>
        <w:widowControl/>
        <w:snapToGrid w:val="0"/>
        <w:spacing w:line="360" w:lineRule="auto"/>
        <w:ind w:firstLine="480" w:firstLineChars="200"/>
        <w:jc w:val="left"/>
        <w:rPr>
          <w:rFonts w:ascii="宋体" w:hAnsi="宋体"/>
          <w:b/>
          <w:color w:val="auto"/>
          <w:sz w:val="24"/>
          <w:highlight w:val="none"/>
        </w:rPr>
      </w:pPr>
      <w:r>
        <w:rPr>
          <w:rFonts w:hint="eastAsia" w:ascii="宋体" w:hAnsi="宋体"/>
          <w:color w:val="auto"/>
          <w:sz w:val="24"/>
          <w:highlight w:val="none"/>
        </w:rPr>
        <w:t>5、《监狱企业的证明》（如有）。</w:t>
      </w:r>
      <w:r>
        <w:rPr>
          <w:rFonts w:ascii="宋体" w:hAnsi="宋体"/>
          <w:color w:val="auto"/>
          <w:sz w:val="24"/>
          <w:highlight w:val="none"/>
        </w:rPr>
        <w:br w:type="page"/>
      </w:r>
      <w:r>
        <w:rPr>
          <w:rFonts w:ascii="宋体" w:hAnsi="宋体"/>
          <w:b/>
          <w:color w:val="auto"/>
          <w:sz w:val="24"/>
          <w:highlight w:val="none"/>
        </w:rPr>
        <w:t>附件：</w:t>
      </w:r>
    </w:p>
    <w:p>
      <w:pPr>
        <w:tabs>
          <w:tab w:val="left" w:pos="1965"/>
        </w:tabs>
        <w:rPr>
          <w:rFonts w:ascii="宋体" w:hAnsi="宋体"/>
          <w:color w:val="auto"/>
          <w:sz w:val="28"/>
          <w:szCs w:val="28"/>
          <w:highlight w:val="none"/>
        </w:rPr>
      </w:pPr>
      <w:r>
        <w:rPr>
          <w:rFonts w:hint="eastAsia" w:ascii="宋体" w:hAnsi="宋体"/>
          <w:color w:val="auto"/>
          <w:sz w:val="28"/>
          <w:szCs w:val="28"/>
          <w:highlight w:val="none"/>
        </w:rPr>
        <w:t>第一部分格式：</w:t>
      </w:r>
    </w:p>
    <w:p>
      <w:pPr>
        <w:tabs>
          <w:tab w:val="left" w:pos="1965"/>
        </w:tabs>
        <w:jc w:val="right"/>
        <w:rPr>
          <w:rFonts w:ascii="宋体" w:hAnsi="宋体"/>
          <w:color w:val="auto"/>
          <w:sz w:val="28"/>
          <w:szCs w:val="28"/>
          <w:highlight w:val="none"/>
        </w:rPr>
      </w:pPr>
      <w:r>
        <w:rPr>
          <w:rFonts w:hint="eastAsia" w:ascii="宋体" w:hAnsi="宋体"/>
          <w:color w:val="auto"/>
          <w:sz w:val="28"/>
          <w:szCs w:val="28"/>
          <w:highlight w:val="none"/>
        </w:rPr>
        <w:t>封面</w:t>
      </w: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159"/>
        </w:tabs>
        <w:rPr>
          <w:rFonts w:ascii="宋体" w:hAnsi="宋体"/>
          <w:color w:val="auto"/>
          <w:sz w:val="28"/>
          <w:szCs w:val="28"/>
          <w:highlight w:val="none"/>
        </w:rPr>
      </w:pPr>
    </w:p>
    <w:p>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pPr>
        <w:spacing w:after="60" w:line="360" w:lineRule="auto"/>
        <w:jc w:val="center"/>
        <w:rPr>
          <w:rFonts w:ascii="宋体" w:hAnsi="宋体"/>
          <w:b/>
          <w:bCs/>
          <w:color w:val="auto"/>
          <w:sz w:val="44"/>
          <w:szCs w:val="44"/>
          <w:highlight w:val="none"/>
        </w:rPr>
      </w:pPr>
    </w:p>
    <w:p>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（资格审查文件）</w:t>
      </w:r>
    </w:p>
    <w:p>
      <w:pPr>
        <w:spacing w:after="60"/>
        <w:jc w:val="center"/>
        <w:rPr>
          <w:rFonts w:ascii="宋体" w:hAnsi="宋体"/>
          <w:b/>
          <w:bCs/>
          <w:color w:val="auto"/>
          <w:sz w:val="72"/>
          <w:szCs w:val="72"/>
          <w:highlight w:val="none"/>
        </w:rPr>
      </w:pPr>
    </w:p>
    <w:p>
      <w:pPr>
        <w:spacing w:after="60"/>
        <w:jc w:val="center"/>
        <w:rPr>
          <w:rFonts w:ascii="宋体" w:hAnsi="宋体"/>
          <w:b/>
          <w:bCs/>
          <w:color w:val="auto"/>
          <w:sz w:val="72"/>
          <w:szCs w:val="72"/>
          <w:highlight w:val="none"/>
        </w:rPr>
      </w:pPr>
    </w:p>
    <w:p>
      <w:pPr>
        <w:spacing w:after="60"/>
        <w:jc w:val="center"/>
        <w:rPr>
          <w:rFonts w:ascii="宋体" w:hAnsi="宋体"/>
          <w:b/>
          <w:bCs/>
          <w:color w:val="auto"/>
          <w:sz w:val="72"/>
          <w:szCs w:val="72"/>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25" w:name="_Hlk81344630"/>
      <w:r>
        <w:rPr>
          <w:rFonts w:hint="eastAsia" w:ascii="宋体" w:hAnsi="宋体"/>
          <w:b/>
          <w:color w:val="auto"/>
          <w:sz w:val="30"/>
          <w:szCs w:val="30"/>
          <w:highlight w:val="none"/>
        </w:rPr>
        <w:t>（或盖章）</w:t>
      </w:r>
      <w:bookmarkEnd w:id="25"/>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一、关于资格文件的声明函</w:t>
      </w:r>
    </w:p>
    <w:p>
      <w:pPr>
        <w:spacing w:line="360" w:lineRule="auto"/>
        <w:jc w:val="center"/>
        <w:rPr>
          <w:rFonts w:hint="eastAsia" w:ascii="宋体" w:hAnsi="宋体"/>
          <w:b/>
          <w:bCs/>
          <w:color w:val="auto"/>
          <w:sz w:val="28"/>
          <w:szCs w:val="28"/>
          <w:highlight w:val="none"/>
        </w:rPr>
      </w:pPr>
    </w:p>
    <w:p>
      <w:pPr>
        <w:snapToGrid w:val="0"/>
        <w:spacing w:line="360" w:lineRule="auto"/>
        <w:rPr>
          <w:rFonts w:ascii="宋体" w:hAnsi="宋体"/>
          <w:color w:val="auto"/>
          <w:sz w:val="24"/>
          <w:highlight w:val="none"/>
          <w:u w:val="single"/>
        </w:rPr>
      </w:pPr>
      <w:r>
        <w:rPr>
          <w:rFonts w:hint="eastAsia" w:ascii="宋体" w:hAnsi="宋体"/>
          <w:color w:val="auto"/>
          <w:sz w:val="24"/>
          <w:highlight w:val="none"/>
          <w:u w:val="single"/>
        </w:rPr>
        <w:t>南通市通吕运河水利工程管理所</w:t>
      </w:r>
      <w:r>
        <w:rPr>
          <w:rFonts w:ascii="宋体" w:hAnsi="宋体"/>
          <w:color w:val="auto"/>
          <w:sz w:val="24"/>
          <w:highlight w:val="none"/>
          <w:u w:val="single"/>
        </w:rPr>
        <w:t>：</w:t>
      </w:r>
    </w:p>
    <w:p>
      <w:pPr>
        <w:overflowPunct w:val="0"/>
        <w:adjustRightInd w:val="0"/>
        <w:spacing w:line="360" w:lineRule="auto"/>
        <w:ind w:firstLine="660"/>
        <w:jc w:val="left"/>
        <w:textAlignment w:val="baseline"/>
        <w:rPr>
          <w:rFonts w:ascii="宋体" w:hAnsi="宋体"/>
          <w:color w:val="auto"/>
          <w:sz w:val="24"/>
          <w:highlight w:val="none"/>
        </w:rPr>
      </w:pPr>
      <w:r>
        <w:rPr>
          <w:rFonts w:ascii="宋体" w:hAnsi="宋体"/>
          <w:color w:val="auto"/>
          <w:sz w:val="24"/>
          <w:highlight w:val="none"/>
        </w:rPr>
        <w:t>本公司愿就由贵单位组织实施的</w:t>
      </w:r>
      <w:r>
        <w:rPr>
          <w:rFonts w:ascii="宋体" w:hAnsi="宋体"/>
          <w:color w:val="auto"/>
          <w:sz w:val="24"/>
          <w:highlight w:val="none"/>
          <w:u w:val="single"/>
        </w:rPr>
        <w:t xml:space="preserve">                        </w:t>
      </w:r>
      <w:r>
        <w:rPr>
          <w:rFonts w:ascii="宋体" w:hAnsi="宋体"/>
          <w:color w:val="auto"/>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color w:val="auto"/>
          <w:sz w:val="24"/>
          <w:highlight w:val="none"/>
        </w:rPr>
      </w:pPr>
    </w:p>
    <w:p>
      <w:pPr>
        <w:overflowPunct w:val="0"/>
        <w:adjustRightInd w:val="0"/>
        <w:spacing w:line="360" w:lineRule="auto"/>
        <w:ind w:firstLine="420"/>
        <w:jc w:val="left"/>
        <w:textAlignment w:val="baseline"/>
        <w:rPr>
          <w:rFonts w:ascii="宋体" w:hAnsi="宋体"/>
          <w:color w:val="auto"/>
          <w:sz w:val="24"/>
          <w:highlight w:val="none"/>
        </w:rPr>
      </w:pPr>
    </w:p>
    <w:p>
      <w:pPr>
        <w:snapToGrid w:val="0"/>
        <w:spacing w:line="360" w:lineRule="auto"/>
        <w:jc w:val="right"/>
        <w:rPr>
          <w:rFonts w:ascii="宋体" w:hAnsi="宋体"/>
          <w:color w:val="auto"/>
          <w:sz w:val="24"/>
          <w:highlight w:val="none"/>
        </w:rPr>
      </w:pPr>
      <w:r>
        <w:rPr>
          <w:rFonts w:ascii="宋体" w:hAnsi="宋体"/>
          <w:color w:val="auto"/>
          <w:sz w:val="24"/>
          <w:highlight w:val="none"/>
        </w:rPr>
        <w:t>投标单位：</w:t>
      </w:r>
      <w:r>
        <w:rPr>
          <w:rFonts w:ascii="宋体" w:hAnsi="宋体"/>
          <w:color w:val="auto"/>
          <w:sz w:val="24"/>
          <w:highlight w:val="none"/>
          <w:u w:val="single"/>
        </w:rPr>
        <w:t xml:space="preserve">                    </w:t>
      </w:r>
      <w:r>
        <w:rPr>
          <w:rFonts w:ascii="宋体" w:hAnsi="宋体"/>
          <w:color w:val="auto"/>
          <w:sz w:val="24"/>
          <w:highlight w:val="none"/>
        </w:rPr>
        <w:t>（加盖公章）</w:t>
      </w:r>
    </w:p>
    <w:p>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pPr>
        <w:snapToGrid w:val="0"/>
        <w:spacing w:line="360" w:lineRule="auto"/>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年      月     日</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二、法定代表人身份证明</w:t>
      </w:r>
    </w:p>
    <w:p>
      <w:pPr>
        <w:spacing w:line="360" w:lineRule="auto"/>
        <w:jc w:val="center"/>
        <w:rPr>
          <w:rFonts w:hint="eastAsia" w:ascii="宋体" w:hAnsi="宋体"/>
          <w:b/>
          <w:bCs/>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南通市通吕运河水利工程管理所</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我公司法定代表人</w:t>
      </w:r>
      <w:r>
        <w:rPr>
          <w:rFonts w:ascii="宋体" w:hAnsi="宋体"/>
          <w:color w:val="auto"/>
          <w:sz w:val="24"/>
          <w:highlight w:val="none"/>
          <w:u w:val="single"/>
        </w:rPr>
        <w:t xml:space="preserve">     　　　   </w:t>
      </w:r>
      <w:r>
        <w:rPr>
          <w:rFonts w:ascii="宋体" w:hAnsi="宋体"/>
          <w:color w:val="auto"/>
          <w:sz w:val="24"/>
          <w:highlight w:val="none"/>
        </w:rPr>
        <w:t>参加贵单位组织的</w:t>
      </w:r>
      <w:r>
        <w:rPr>
          <w:rFonts w:ascii="宋体" w:hAnsi="宋体"/>
          <w:color w:val="auto"/>
          <w:sz w:val="24"/>
          <w:highlight w:val="none"/>
          <w:u w:val="single"/>
        </w:rPr>
        <w:t xml:space="preserve">     </w:t>
      </w:r>
      <w:r>
        <w:rPr>
          <w:rFonts w:ascii="宋体" w:hAnsi="宋体"/>
          <w:color w:val="auto"/>
          <w:sz w:val="24"/>
          <w:highlight w:val="none"/>
        </w:rPr>
        <w:t>（采购项目名称）项目公开招标采购活动，全权代表我公司处理投标的有关事宜。</w:t>
      </w:r>
    </w:p>
    <w:p>
      <w:pPr>
        <w:spacing w:line="360" w:lineRule="auto"/>
        <w:rPr>
          <w:rFonts w:ascii="宋体" w:hAnsi="宋体"/>
          <w:color w:val="auto"/>
          <w:sz w:val="24"/>
          <w:highlight w:val="none"/>
        </w:rPr>
      </w:pPr>
      <w:r>
        <w:rPr>
          <w:rFonts w:ascii="宋体" w:hAnsi="宋体"/>
          <w:color w:val="auto"/>
          <w:sz w:val="24"/>
          <w:highlight w:val="none"/>
        </w:rPr>
        <w:t>附：法定代表人情况：</w:t>
      </w:r>
    </w:p>
    <w:p>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单位名称（公章）             法定代表人（签字或盖章） </w:t>
      </w:r>
    </w:p>
    <w:p>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pPr>
        <w:spacing w:line="360" w:lineRule="auto"/>
        <w:rPr>
          <w:rFonts w:ascii="宋体" w:hAnsi="宋体"/>
          <w:color w:val="auto"/>
          <w:sz w:val="24"/>
          <w:highlight w:val="none"/>
        </w:rPr>
      </w:pPr>
      <w:r>
        <w:rPr>
          <w:rFonts w:ascii="宋体" w:hAnsi="宋体"/>
          <w:color w:val="auto"/>
          <w:sz w:val="24"/>
          <w:highlight w:val="none"/>
        </w:rPr>
        <w:t>法定代表人身份证复印件</w:t>
      </w: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ind w:firstLine="3120" w:firstLineChars="1300"/>
        <w:rPr>
          <w:rFonts w:ascii="宋体" w:hAnsi="宋体"/>
          <w:color w:val="auto"/>
          <w:sz w:val="24"/>
          <w:highlight w:val="none"/>
        </w:rPr>
      </w:pPr>
      <w:r>
        <w:rPr>
          <w:rFonts w:ascii="宋体" w:hAnsi="宋体"/>
          <w:color w:val="auto"/>
          <w:sz w:val="24"/>
          <w:highlight w:val="none"/>
        </w:rPr>
        <w:t>（粘贴此处）</w:t>
      </w:r>
    </w:p>
    <w:p>
      <w:pPr>
        <w:spacing w:line="360" w:lineRule="auto"/>
        <w:ind w:firstLine="2280" w:firstLineChars="950"/>
        <w:rPr>
          <w:rFonts w:ascii="宋体" w:hAnsi="宋体"/>
          <w:b/>
          <w:bCs/>
          <w:color w:val="auto"/>
          <w:sz w:val="24"/>
          <w:highlight w:val="none"/>
        </w:rPr>
      </w:pPr>
    </w:p>
    <w:p>
      <w:pPr>
        <w:spacing w:line="360" w:lineRule="auto"/>
        <w:ind w:firstLine="2280" w:firstLineChars="950"/>
        <w:rPr>
          <w:rFonts w:ascii="宋体" w:hAnsi="宋体"/>
          <w:b/>
          <w:bCs/>
          <w:color w:val="auto"/>
          <w:sz w:val="24"/>
          <w:highlight w:val="none"/>
        </w:rPr>
      </w:pPr>
    </w:p>
    <w:p>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法定代表人参加投标时将身份证带至招标现场备查。</w:t>
      </w:r>
    </w:p>
    <w:p>
      <w:pPr>
        <w:spacing w:line="360" w:lineRule="auto"/>
        <w:rPr>
          <w:rFonts w:ascii="宋体" w:hAnsi="宋体"/>
          <w:b/>
          <w:bCs/>
          <w:color w:val="auto"/>
          <w:sz w:val="24"/>
          <w:highlight w:val="none"/>
        </w:rPr>
      </w:pPr>
    </w:p>
    <w:p>
      <w:pPr>
        <w:spacing w:line="360" w:lineRule="auto"/>
        <w:jc w:val="center"/>
        <w:rPr>
          <w:rFonts w:ascii="宋体" w:hAnsi="宋体"/>
          <w:b/>
          <w:bCs/>
          <w:color w:val="auto"/>
          <w:sz w:val="28"/>
          <w:szCs w:val="28"/>
          <w:highlight w:val="none"/>
        </w:rPr>
      </w:pPr>
      <w:r>
        <w:rPr>
          <w:rFonts w:ascii="宋体" w:hAnsi="宋体"/>
          <w:b/>
          <w:bCs/>
          <w:color w:val="auto"/>
          <w:sz w:val="24"/>
          <w:highlight w:val="none"/>
        </w:rPr>
        <w:br w:type="page"/>
      </w:r>
      <w:r>
        <w:rPr>
          <w:rFonts w:ascii="宋体" w:hAnsi="宋体"/>
          <w:b/>
          <w:bCs/>
          <w:color w:val="auto"/>
          <w:sz w:val="28"/>
          <w:szCs w:val="28"/>
          <w:highlight w:val="none"/>
        </w:rPr>
        <w:t>三、授权委托书</w:t>
      </w:r>
    </w:p>
    <w:p>
      <w:pPr>
        <w:spacing w:line="360" w:lineRule="auto"/>
        <w:ind w:firstLine="480" w:firstLineChars="200"/>
        <w:jc w:val="left"/>
        <w:rPr>
          <w:rFonts w:ascii="宋体" w:hAnsi="宋体"/>
          <w:b/>
          <w:bCs/>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南通市通吕运河水利工程管理所</w:t>
      </w:r>
      <w:r>
        <w:rPr>
          <w:rFonts w:ascii="宋体" w:hAnsi="宋体"/>
          <w:color w:val="auto"/>
          <w:sz w:val="24"/>
          <w:highlight w:val="none"/>
        </w:rPr>
        <w:t xml:space="preserve">： </w:t>
      </w:r>
    </w:p>
    <w:p>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ascii="宋体" w:hAnsi="宋体"/>
          <w:color w:val="auto"/>
          <w:sz w:val="24"/>
          <w:highlight w:val="none"/>
          <w:u w:val="single"/>
        </w:rPr>
        <w:t xml:space="preserve">             </w:t>
      </w:r>
      <w:r>
        <w:rPr>
          <w:rFonts w:ascii="宋体" w:hAnsi="宋体"/>
          <w:color w:val="auto"/>
          <w:sz w:val="24"/>
          <w:highlight w:val="none"/>
        </w:rPr>
        <w:t>项目的政府采购活动，全权处理一切与该项目公开招标有关的事务。其在办理上述事宜过程中所签署的所有文件我公司均予以承认。</w:t>
      </w:r>
    </w:p>
    <w:p>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 xml:space="preserve">被授权人无转委托权。特此委托。  </w:t>
      </w:r>
    </w:p>
    <w:p>
      <w:pPr>
        <w:snapToGrid w:val="0"/>
        <w:spacing w:line="360" w:lineRule="auto"/>
        <w:ind w:firstLine="480" w:firstLineChars="200"/>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附：被授权人情况：  </w:t>
      </w:r>
    </w:p>
    <w:p>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单位名称（公章）             法定代表人（签字或盖章）</w:t>
      </w:r>
    </w:p>
    <w:p>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法定代表人身份证复印件</w:t>
      </w:r>
    </w:p>
    <w:p>
      <w:pPr>
        <w:spacing w:line="360" w:lineRule="auto"/>
        <w:rPr>
          <w:rFonts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被授权人身份证复印件</w:t>
      </w:r>
    </w:p>
    <w:p>
      <w:pPr>
        <w:spacing w:line="360" w:lineRule="auto"/>
        <w:ind w:firstLine="3120" w:firstLineChars="1300"/>
        <w:rPr>
          <w:rFonts w:ascii="宋体" w:hAnsi="宋体"/>
          <w:b/>
          <w:bCs/>
          <w:color w:val="auto"/>
          <w:sz w:val="24"/>
          <w:highlight w:val="none"/>
        </w:rPr>
      </w:pPr>
      <w:r>
        <w:rPr>
          <w:rFonts w:ascii="宋体" w:hAnsi="宋体"/>
          <w:color w:val="auto"/>
          <w:sz w:val="24"/>
          <w:highlight w:val="none"/>
        </w:rPr>
        <w:t>（粘贴此处）</w:t>
      </w:r>
    </w:p>
    <w:p>
      <w:pPr>
        <w:spacing w:line="360" w:lineRule="auto"/>
        <w:ind w:firstLine="480" w:firstLineChars="200"/>
        <w:rPr>
          <w:rFonts w:hint="eastAsia" w:ascii="宋体" w:hAnsi="宋体"/>
          <w:b/>
          <w:bCs/>
          <w:color w:val="auto"/>
          <w:sz w:val="24"/>
          <w:highlight w:val="none"/>
        </w:rPr>
      </w:pPr>
    </w:p>
    <w:p>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被授权人参加投标时将本人身份证带至招标现场备查。</w:t>
      </w:r>
    </w:p>
    <w:p>
      <w:pPr>
        <w:jc w:val="center"/>
        <w:rPr>
          <w:rFonts w:ascii="宋体" w:hAnsi="宋体" w:cs="宋体"/>
          <w:b/>
          <w:color w:val="auto"/>
          <w:sz w:val="24"/>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w:t>
      </w:r>
      <w:r>
        <w:rPr>
          <w:rFonts w:hint="eastAsia" w:ascii="宋体" w:hAnsi="宋体"/>
          <w:b/>
          <w:bCs/>
          <w:color w:val="auto"/>
          <w:sz w:val="28"/>
          <w:szCs w:val="28"/>
          <w:highlight w:val="none"/>
        </w:rPr>
        <w:t>投标人符合《政府采购法》第二十二条规定条件的声明函</w:t>
      </w:r>
    </w:p>
    <w:p>
      <w:pPr>
        <w:spacing w:line="460" w:lineRule="exact"/>
        <w:rPr>
          <w:rFonts w:ascii="宋体" w:hAnsi="宋体" w:cs="宋体"/>
          <w:b/>
          <w:bCs/>
          <w:color w:val="auto"/>
          <w:sz w:val="24"/>
          <w:highlight w:val="none"/>
        </w:rPr>
      </w:pPr>
    </w:p>
    <w:p>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highlight w:val="none"/>
          <w:u w:val="single"/>
        </w:rPr>
        <w:t>________________ _</w:t>
      </w:r>
      <w:r>
        <w:rPr>
          <w:rFonts w:hint="eastAsia" w:ascii="宋体" w:hAnsi="宋体" w:cs="宋体"/>
          <w:bCs/>
          <w:color w:val="auto"/>
          <w:sz w:val="24"/>
          <w:highlight w:val="none"/>
        </w:rPr>
        <w:t>（项目名称），</w:t>
      </w:r>
      <w:r>
        <w:rPr>
          <w:rFonts w:hint="eastAsia" w:ascii="宋体" w:hAnsi="宋体" w:cs="宋体"/>
          <w:bCs/>
          <w:color w:val="auto"/>
          <w:sz w:val="24"/>
          <w:highlight w:val="none"/>
          <w:u w:val="single"/>
        </w:rPr>
        <w:t>_______ __________</w:t>
      </w:r>
      <w:r>
        <w:rPr>
          <w:rFonts w:hint="eastAsia" w:ascii="宋体" w:hAnsi="宋体" w:cs="宋体"/>
          <w:bCs/>
          <w:color w:val="auto"/>
          <w:sz w:val="24"/>
          <w:highlight w:val="none"/>
        </w:rPr>
        <w:t>（项目编号）投标活动。针对《中华人民共和国政府采购法》第二十二条规定做出如下声明：</w:t>
      </w:r>
    </w:p>
    <w:p>
      <w:pPr>
        <w:numPr>
          <w:ilvl w:val="0"/>
          <w:numId w:val="8"/>
        </w:numPr>
        <w:spacing w:line="520" w:lineRule="exact"/>
        <w:rPr>
          <w:rFonts w:ascii="宋体" w:hAnsi="宋体" w:cs="宋体"/>
          <w:color w:val="auto"/>
          <w:sz w:val="24"/>
          <w:highlight w:val="none"/>
        </w:rPr>
      </w:pPr>
      <w:r>
        <w:rPr>
          <w:rFonts w:hint="eastAsia" w:ascii="宋体" w:hAnsi="宋体" w:cs="宋体"/>
          <w:bCs/>
          <w:color w:val="auto"/>
          <w:sz w:val="24"/>
          <w:highlight w:val="none"/>
        </w:rPr>
        <w:t>我单位具有独立承担民事责任的能力；</w:t>
      </w:r>
    </w:p>
    <w:p>
      <w:pPr>
        <w:numPr>
          <w:ilvl w:val="0"/>
          <w:numId w:val="8"/>
        </w:numPr>
        <w:spacing w:line="520" w:lineRule="exact"/>
        <w:rPr>
          <w:rFonts w:ascii="宋体" w:hAnsi="宋体" w:cs="宋体"/>
          <w:color w:val="auto"/>
          <w:sz w:val="24"/>
          <w:highlight w:val="none"/>
        </w:rPr>
      </w:pPr>
      <w:r>
        <w:rPr>
          <w:rFonts w:hint="eastAsia" w:ascii="宋体" w:hAnsi="宋体" w:cs="宋体"/>
          <w:color w:val="auto"/>
          <w:sz w:val="24"/>
          <w:highlight w:val="none"/>
        </w:rPr>
        <w:t>我单位具有良好的商业信誉和健全的财务会计制度；</w:t>
      </w:r>
    </w:p>
    <w:p>
      <w:pPr>
        <w:numPr>
          <w:ilvl w:val="0"/>
          <w:numId w:val="8"/>
        </w:numPr>
        <w:spacing w:line="520" w:lineRule="exact"/>
        <w:rPr>
          <w:rFonts w:ascii="宋体" w:hAnsi="宋体" w:cs="宋体"/>
          <w:color w:val="auto"/>
          <w:sz w:val="24"/>
          <w:highlight w:val="none"/>
        </w:rPr>
      </w:pPr>
      <w:r>
        <w:rPr>
          <w:rFonts w:hint="eastAsia" w:ascii="宋体" w:hAnsi="宋体" w:cs="宋体"/>
          <w:color w:val="auto"/>
          <w:sz w:val="24"/>
          <w:highlight w:val="none"/>
        </w:rPr>
        <w:t>我单位具有履行合同所必需的设备和专业技术能力；</w:t>
      </w:r>
    </w:p>
    <w:p>
      <w:pPr>
        <w:numPr>
          <w:ilvl w:val="0"/>
          <w:numId w:val="8"/>
        </w:numPr>
        <w:spacing w:line="520" w:lineRule="exact"/>
        <w:rPr>
          <w:rFonts w:ascii="宋体" w:hAnsi="宋体" w:cs="宋体"/>
          <w:color w:val="auto"/>
          <w:sz w:val="24"/>
          <w:highlight w:val="none"/>
        </w:rPr>
      </w:pPr>
      <w:r>
        <w:rPr>
          <w:rFonts w:hint="eastAsia" w:ascii="宋体" w:hAnsi="宋体" w:cs="宋体"/>
          <w:color w:val="auto"/>
          <w:sz w:val="24"/>
          <w:highlight w:val="none"/>
        </w:rPr>
        <w:t>我单位有依法缴纳税收和社会保障资金的良好记录；</w:t>
      </w:r>
    </w:p>
    <w:p>
      <w:pPr>
        <w:numPr>
          <w:ilvl w:val="0"/>
          <w:numId w:val="8"/>
        </w:numPr>
        <w:spacing w:line="520" w:lineRule="exact"/>
        <w:rPr>
          <w:rFonts w:ascii="宋体" w:hAnsi="宋体" w:cs="宋体"/>
          <w:color w:val="auto"/>
          <w:sz w:val="24"/>
          <w:highlight w:val="none"/>
        </w:rPr>
      </w:pPr>
      <w:r>
        <w:rPr>
          <w:rFonts w:hint="eastAsia" w:ascii="宋体" w:hAnsi="宋体" w:cs="宋体"/>
          <w:color w:val="auto"/>
          <w:sz w:val="24"/>
          <w:highlight w:val="none"/>
        </w:rPr>
        <w:t>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numPr>
          <w:ilvl w:val="0"/>
          <w:numId w:val="8"/>
        </w:numPr>
        <w:spacing w:line="520" w:lineRule="exact"/>
        <w:rPr>
          <w:rFonts w:ascii="宋体" w:hAnsi="宋体" w:cs="宋体"/>
          <w:color w:val="auto"/>
          <w:sz w:val="24"/>
          <w:highlight w:val="none"/>
        </w:rPr>
      </w:pPr>
      <w:r>
        <w:rPr>
          <w:rFonts w:hint="eastAsia" w:ascii="宋体" w:hAnsi="宋体" w:cs="宋体"/>
          <w:color w:val="auto"/>
          <w:sz w:val="24"/>
          <w:highlight w:val="none"/>
        </w:rPr>
        <w:t>我单位满足法律、行政法规规定的其他条件。</w:t>
      </w:r>
    </w:p>
    <w:p>
      <w:pPr>
        <w:spacing w:line="360" w:lineRule="auto"/>
        <w:ind w:firstLine="480" w:firstLineChars="200"/>
        <w:rPr>
          <w:rFonts w:ascii="宋体" w:hAnsi="宋体"/>
          <w:color w:val="auto"/>
          <w:sz w:val="24"/>
          <w:highlight w:val="none"/>
        </w:rPr>
      </w:pPr>
    </w:p>
    <w:p>
      <w:pPr>
        <w:spacing w:line="360" w:lineRule="auto"/>
        <w:ind w:firstLine="200" w:firstLineChars="200"/>
        <w:rPr>
          <w:rFonts w:ascii="宋体" w:hAnsi="宋体"/>
          <w:color w:val="auto"/>
          <w:sz w:val="10"/>
          <w:szCs w:val="10"/>
          <w:highlight w:val="none"/>
        </w:rPr>
      </w:pPr>
    </w:p>
    <w:p>
      <w:pPr>
        <w:spacing w:line="360" w:lineRule="auto"/>
        <w:ind w:firstLine="1920" w:firstLineChars="80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（加盖公章）</w:t>
      </w:r>
    </w:p>
    <w:p>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pPr>
        <w:spacing w:line="360" w:lineRule="auto"/>
        <w:jc w:val="center"/>
        <w:rPr>
          <w:rFonts w:ascii="宋体"/>
          <w:color w:val="auto"/>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五、应附的其他材料</w:t>
      </w:r>
    </w:p>
    <w:p>
      <w:pPr>
        <w:tabs>
          <w:tab w:val="left" w:pos="2020"/>
          <w:tab w:val="center" w:pos="4535"/>
        </w:tabs>
        <w:spacing w:line="400" w:lineRule="exact"/>
        <w:ind w:firstLine="210" w:firstLineChars="100"/>
        <w:rPr>
          <w:rFonts w:ascii="宋体" w:hAnsi="宋体"/>
          <w:color w:val="auto"/>
          <w:sz w:val="28"/>
          <w:szCs w:val="20"/>
          <w:highlight w:val="none"/>
        </w:rPr>
      </w:pPr>
      <w:r>
        <w:rPr>
          <w:rFonts w:ascii="宋体" w:hAnsi="宋体"/>
          <w:color w:val="auto"/>
          <w:highlight w:val="none"/>
        </w:rPr>
        <w:br w:type="page"/>
      </w:r>
      <w:r>
        <w:rPr>
          <w:rFonts w:hint="eastAsia" w:ascii="宋体" w:hAnsi="宋体"/>
          <w:color w:val="auto"/>
          <w:sz w:val="28"/>
          <w:szCs w:val="28"/>
          <w:highlight w:val="none"/>
        </w:rPr>
        <w:t>第二部分格式：</w:t>
      </w: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159"/>
        </w:tabs>
        <w:rPr>
          <w:rFonts w:ascii="宋体" w:hAnsi="宋体"/>
          <w:color w:val="auto"/>
          <w:sz w:val="28"/>
          <w:szCs w:val="28"/>
          <w:highlight w:val="none"/>
        </w:rPr>
      </w:pPr>
    </w:p>
    <w:p>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pPr>
        <w:spacing w:after="60" w:line="360" w:lineRule="auto"/>
        <w:jc w:val="center"/>
        <w:rPr>
          <w:rFonts w:ascii="宋体" w:hAnsi="宋体"/>
          <w:b/>
          <w:bCs/>
          <w:color w:val="auto"/>
          <w:sz w:val="44"/>
          <w:szCs w:val="44"/>
          <w:highlight w:val="none"/>
        </w:rPr>
      </w:pPr>
    </w:p>
    <w:p>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（商务技术文件）</w:t>
      </w:r>
    </w:p>
    <w:p>
      <w:pPr>
        <w:spacing w:after="60"/>
        <w:jc w:val="center"/>
        <w:rPr>
          <w:rFonts w:ascii="宋体" w:hAnsi="宋体"/>
          <w:b/>
          <w:bCs/>
          <w:color w:val="auto"/>
          <w:sz w:val="72"/>
          <w:szCs w:val="72"/>
          <w:highlight w:val="none"/>
        </w:rPr>
      </w:pPr>
    </w:p>
    <w:p>
      <w:pPr>
        <w:spacing w:after="60"/>
        <w:jc w:val="center"/>
        <w:rPr>
          <w:rFonts w:ascii="宋体" w:hAnsi="宋体"/>
          <w:b/>
          <w:bCs/>
          <w:color w:val="auto"/>
          <w:sz w:val="72"/>
          <w:szCs w:val="72"/>
          <w:highlight w:val="none"/>
        </w:rPr>
      </w:pPr>
    </w:p>
    <w:p>
      <w:pPr>
        <w:spacing w:after="60"/>
        <w:jc w:val="center"/>
        <w:rPr>
          <w:rFonts w:ascii="宋体" w:hAnsi="宋体"/>
          <w:b/>
          <w:bCs/>
          <w:color w:val="auto"/>
          <w:sz w:val="72"/>
          <w:szCs w:val="72"/>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pPr>
        <w:ind w:left="1508" w:leftChars="171" w:hanging="1149" w:hangingChars="383"/>
        <w:rPr>
          <w:rFonts w:ascii="宋体" w:hAnsi="宋体"/>
          <w:b/>
          <w:color w:val="auto"/>
          <w:sz w:val="30"/>
          <w:szCs w:val="30"/>
          <w:highlight w:val="none"/>
        </w:rPr>
      </w:pPr>
    </w:p>
    <w:p>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法定代表人（或委托授权代表）签字（或盖章）：</w:t>
      </w:r>
      <w:r>
        <w:rPr>
          <w:rFonts w:hint="eastAsia" w:ascii="宋体" w:hAnsi="宋体"/>
          <w:b/>
          <w:color w:val="auto"/>
          <w:sz w:val="30"/>
          <w:szCs w:val="30"/>
          <w:highlight w:val="none"/>
          <w:u w:val="single"/>
        </w:rPr>
        <w:t xml:space="preserve">                    </w:t>
      </w:r>
    </w:p>
    <w:p>
      <w:pPr>
        <w:spacing w:line="360" w:lineRule="auto"/>
        <w:ind w:firstLine="594" w:firstLineChars="198"/>
        <w:rPr>
          <w:rFonts w:ascii="宋体" w:hAnsi="宋体"/>
          <w:b/>
          <w:color w:val="auto"/>
          <w:sz w:val="30"/>
          <w:szCs w:val="30"/>
          <w:highlight w:val="none"/>
        </w:rPr>
      </w:pPr>
    </w:p>
    <w:p>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pPr>
        <w:pStyle w:val="62"/>
        <w:rPr>
          <w:color w:val="auto"/>
          <w:highlight w:val="none"/>
        </w:rPr>
      </w:pPr>
      <w:r>
        <w:rPr>
          <w:color w:val="auto"/>
          <w:highlight w:val="none"/>
        </w:rPr>
        <w:br w:type="page"/>
      </w:r>
    </w:p>
    <w:p>
      <w:pPr>
        <w:pStyle w:val="62"/>
        <w:rPr>
          <w:rFonts w:hint="eastAsia" w:ascii="宋体" w:hAnsi="宋体" w:eastAsia="宋体" w:cs="Times New Roman"/>
          <w:b/>
          <w:color w:val="auto"/>
          <w:kern w:val="2"/>
          <w:sz w:val="30"/>
          <w:szCs w:val="30"/>
          <w:highlight w:val="none"/>
          <w:lang w:val="en-US" w:eastAsia="zh-CN" w:bidi="ar-SA"/>
        </w:rPr>
      </w:pPr>
      <w:r>
        <w:rPr>
          <w:rFonts w:hint="eastAsia" w:ascii="宋体" w:hAnsi="宋体" w:eastAsia="宋体" w:cs="Times New Roman"/>
          <w:b/>
          <w:color w:val="auto"/>
          <w:kern w:val="2"/>
          <w:sz w:val="30"/>
          <w:szCs w:val="30"/>
          <w:highlight w:val="none"/>
          <w:lang w:val="en-US" w:eastAsia="zh-CN" w:bidi="ar-SA"/>
        </w:rPr>
        <w:t>商务技术评分需要提供的材料（按评分顺序提供并自行拟定目录）</w:t>
      </w:r>
    </w:p>
    <w:p>
      <w:pPr>
        <w:widowControl/>
        <w:jc w:val="left"/>
        <w:rPr>
          <w:rFonts w:ascii="宋体" w:hAnsi="宋体"/>
          <w:b/>
          <w:color w:val="auto"/>
          <w:sz w:val="36"/>
          <w:szCs w:val="36"/>
          <w:highlight w:val="none"/>
        </w:rPr>
      </w:pPr>
      <w:bookmarkStart w:id="26" w:name="_Toc425960677"/>
      <w:bookmarkStart w:id="27" w:name="_Toc420058377"/>
      <w:r>
        <w:rPr>
          <w:rFonts w:ascii="宋体" w:hAnsi="宋体"/>
          <w:b/>
          <w:color w:val="auto"/>
          <w:sz w:val="36"/>
          <w:szCs w:val="36"/>
          <w:highlight w:val="none"/>
        </w:rPr>
        <w:br w:type="page"/>
      </w:r>
    </w:p>
    <w:p>
      <w:pPr>
        <w:tabs>
          <w:tab w:val="left" w:pos="1965"/>
        </w:tabs>
        <w:rPr>
          <w:rFonts w:ascii="宋体" w:hAnsi="宋体"/>
          <w:color w:val="auto"/>
          <w:sz w:val="28"/>
          <w:szCs w:val="28"/>
          <w:highlight w:val="none"/>
        </w:rPr>
      </w:pPr>
      <w:r>
        <w:rPr>
          <w:rFonts w:hint="eastAsia" w:ascii="宋体" w:hAnsi="宋体"/>
          <w:color w:val="auto"/>
          <w:sz w:val="28"/>
          <w:szCs w:val="28"/>
          <w:highlight w:val="none"/>
        </w:rPr>
        <w:t>第三部分格式：</w:t>
      </w: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159"/>
        </w:tabs>
        <w:rPr>
          <w:rFonts w:ascii="宋体" w:hAnsi="宋体"/>
          <w:color w:val="auto"/>
          <w:sz w:val="28"/>
          <w:szCs w:val="28"/>
          <w:highlight w:val="none"/>
        </w:rPr>
      </w:pPr>
    </w:p>
    <w:p>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pPr>
        <w:spacing w:after="60" w:line="360" w:lineRule="auto"/>
        <w:jc w:val="center"/>
        <w:rPr>
          <w:rFonts w:ascii="宋体" w:hAnsi="宋体"/>
          <w:b/>
          <w:bCs/>
          <w:color w:val="auto"/>
          <w:sz w:val="44"/>
          <w:szCs w:val="44"/>
          <w:highlight w:val="none"/>
        </w:rPr>
      </w:pPr>
    </w:p>
    <w:p>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（价格文件）</w:t>
      </w:r>
    </w:p>
    <w:p>
      <w:pPr>
        <w:spacing w:after="60"/>
        <w:jc w:val="center"/>
        <w:rPr>
          <w:rFonts w:ascii="宋体" w:hAnsi="宋体"/>
          <w:b/>
          <w:bCs/>
          <w:color w:val="auto"/>
          <w:sz w:val="72"/>
          <w:szCs w:val="72"/>
          <w:highlight w:val="none"/>
        </w:rPr>
      </w:pPr>
    </w:p>
    <w:p>
      <w:pPr>
        <w:spacing w:after="60"/>
        <w:jc w:val="center"/>
        <w:rPr>
          <w:rFonts w:ascii="宋体" w:hAnsi="宋体"/>
          <w:b/>
          <w:bCs/>
          <w:color w:val="auto"/>
          <w:sz w:val="72"/>
          <w:szCs w:val="72"/>
          <w:highlight w:val="none"/>
        </w:rPr>
      </w:pPr>
    </w:p>
    <w:p>
      <w:pPr>
        <w:spacing w:after="60"/>
        <w:jc w:val="center"/>
        <w:rPr>
          <w:rFonts w:ascii="宋体" w:hAnsi="宋体"/>
          <w:b/>
          <w:bCs/>
          <w:color w:val="auto"/>
          <w:sz w:val="72"/>
          <w:szCs w:val="72"/>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tabs>
          <w:tab w:val="left" w:pos="2020"/>
          <w:tab w:val="center" w:pos="4535"/>
        </w:tabs>
        <w:spacing w:line="400" w:lineRule="exact"/>
        <w:ind w:firstLine="280" w:firstLineChars="100"/>
        <w:rPr>
          <w:rFonts w:ascii="宋体" w:hAnsi="宋体"/>
          <w:color w:val="auto"/>
          <w:sz w:val="28"/>
          <w:szCs w:val="20"/>
          <w:highlight w:val="none"/>
        </w:rPr>
      </w:pPr>
    </w:p>
    <w:p>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pPr>
        <w:ind w:left="1508" w:leftChars="171" w:hanging="1149" w:hangingChars="383"/>
        <w:rPr>
          <w:rFonts w:ascii="宋体" w:hAnsi="宋体"/>
          <w:b/>
          <w:color w:val="auto"/>
          <w:sz w:val="30"/>
          <w:szCs w:val="30"/>
          <w:highlight w:val="none"/>
        </w:rPr>
      </w:pPr>
    </w:p>
    <w:p>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28" w:name="_Hlk81344726"/>
      <w:r>
        <w:rPr>
          <w:rFonts w:hint="eastAsia" w:ascii="宋体" w:hAnsi="宋体"/>
          <w:b/>
          <w:color w:val="auto"/>
          <w:sz w:val="30"/>
          <w:szCs w:val="30"/>
          <w:highlight w:val="none"/>
        </w:rPr>
        <w:t>（或盖章）</w:t>
      </w:r>
      <w:bookmarkEnd w:id="28"/>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pPr>
        <w:spacing w:line="360" w:lineRule="auto"/>
        <w:ind w:firstLine="594" w:firstLineChars="198"/>
        <w:rPr>
          <w:rFonts w:ascii="宋体" w:hAnsi="宋体"/>
          <w:b/>
          <w:color w:val="auto"/>
          <w:sz w:val="30"/>
          <w:szCs w:val="30"/>
          <w:highlight w:val="none"/>
        </w:rPr>
      </w:pPr>
    </w:p>
    <w:p>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pPr>
        <w:widowControl/>
        <w:adjustRightInd w:val="0"/>
        <w:snapToGrid w:val="0"/>
        <w:spacing w:before="100" w:beforeAutospacing="1" w:after="100" w:afterAutospacing="1" w:line="360" w:lineRule="auto"/>
        <w:ind w:firstLine="480"/>
        <w:jc w:val="center"/>
        <w:textAlignment w:val="center"/>
        <w:rPr>
          <w:rFonts w:ascii="宋体" w:hAnsi="宋体"/>
          <w:b/>
          <w:bCs/>
          <w:color w:val="auto"/>
          <w:sz w:val="24"/>
          <w:highlight w:val="none"/>
        </w:rPr>
      </w:pPr>
    </w:p>
    <w:p>
      <w:pPr>
        <w:spacing w:after="60" w:line="360" w:lineRule="auto"/>
        <w:ind w:left="1851" w:leftChars="171" w:hanging="1492" w:hangingChars="533"/>
        <w:rPr>
          <w:rStyle w:val="79"/>
          <w:rFonts w:ascii="宋体" w:hAnsi="宋体" w:cs="Times New Roman"/>
          <w:color w:val="auto"/>
          <w:sz w:val="28"/>
          <w:szCs w:val="28"/>
          <w:highlight w:val="none"/>
        </w:rPr>
      </w:pPr>
    </w:p>
    <w:p>
      <w:pPr>
        <w:widowControl/>
        <w:jc w:val="left"/>
        <w:rPr>
          <w:rStyle w:val="79"/>
          <w:rFonts w:ascii="宋体" w:hAnsi="宋体" w:cs="宋体"/>
          <w:color w:val="auto"/>
          <w:sz w:val="24"/>
          <w:szCs w:val="24"/>
          <w:highlight w:val="none"/>
        </w:rPr>
      </w:pPr>
      <w:r>
        <w:rPr>
          <w:rStyle w:val="79"/>
          <w:rFonts w:ascii="宋体" w:hAnsi="宋体" w:cs="宋体"/>
          <w:color w:val="auto"/>
          <w:sz w:val="24"/>
          <w:szCs w:val="24"/>
          <w:highlight w:val="none"/>
        </w:rPr>
        <w:br w:type="page"/>
      </w:r>
    </w:p>
    <w:p>
      <w:pPr>
        <w:snapToGrid w:val="0"/>
        <w:spacing w:line="360" w:lineRule="auto"/>
        <w:jc w:val="center"/>
        <w:outlineLvl w:val="1"/>
        <w:rPr>
          <w:rFonts w:ascii="宋体" w:hAnsi="宋体"/>
          <w:b/>
          <w:color w:val="auto"/>
          <w:sz w:val="28"/>
          <w:highlight w:val="none"/>
        </w:rPr>
      </w:pPr>
      <w:r>
        <w:rPr>
          <w:rFonts w:hint="eastAsia" w:ascii="宋体" w:hAnsi="宋体"/>
          <w:b/>
          <w:color w:val="auto"/>
          <w:sz w:val="28"/>
          <w:highlight w:val="none"/>
        </w:rPr>
        <w:t>一</w:t>
      </w:r>
      <w:r>
        <w:rPr>
          <w:rFonts w:ascii="宋体" w:hAnsi="宋体"/>
          <w:b/>
          <w:color w:val="auto"/>
          <w:sz w:val="28"/>
          <w:highlight w:val="none"/>
        </w:rPr>
        <w:t>、</w:t>
      </w:r>
      <w:bookmarkEnd w:id="26"/>
      <w:bookmarkEnd w:id="27"/>
      <w:r>
        <w:rPr>
          <w:rFonts w:ascii="宋体" w:hAnsi="宋体"/>
          <w:b/>
          <w:color w:val="auto"/>
          <w:sz w:val="28"/>
          <w:highlight w:val="none"/>
        </w:rPr>
        <w:t>开标一览表</w:t>
      </w:r>
    </w:p>
    <w:p>
      <w:pPr>
        <w:pStyle w:val="33"/>
        <w:spacing w:line="360" w:lineRule="auto"/>
        <w:rPr>
          <w:rFonts w:hAnsi="宋体"/>
          <w:color w:val="auto"/>
          <w:highlight w:val="none"/>
          <w:u w:val="single"/>
        </w:rPr>
      </w:pPr>
    </w:p>
    <w:p>
      <w:pPr>
        <w:spacing w:line="360" w:lineRule="auto"/>
        <w:ind w:firstLine="480" w:firstLineChars="200"/>
        <w:rPr>
          <w:rFonts w:ascii="宋体" w:hAnsi="宋体"/>
          <w:color w:val="auto"/>
          <w:sz w:val="24"/>
          <w:highlight w:val="none"/>
        </w:rPr>
      </w:pP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pPr>
              <w:adjustRightInd w:val="0"/>
              <w:snapToGrid w:val="0"/>
              <w:spacing w:line="300" w:lineRule="auto"/>
              <w:rPr>
                <w:rFonts w:ascii="宋体" w:hAnsi="宋体"/>
                <w:color w:val="auto"/>
                <w:sz w:val="24"/>
                <w:highlight w:val="none"/>
              </w:rPr>
            </w:pPr>
            <w:r>
              <w:rPr>
                <w:rFonts w:ascii="宋体" w:hAnsi="宋体"/>
                <w:color w:val="auto"/>
                <w:sz w:val="24"/>
                <w:highlight w:val="none"/>
              </w:rPr>
              <w:t xml:space="preserve"> 投标货物、服务名称</w:t>
            </w:r>
          </w:p>
        </w:tc>
        <w:tc>
          <w:tcPr>
            <w:tcW w:w="3604" w:type="pct"/>
            <w:vAlign w:val="center"/>
          </w:tcPr>
          <w:p>
            <w:pPr>
              <w:rPr>
                <w:rFonts w:ascii="宋体" w:hAnsi="宋体"/>
                <w:color w:val="auto"/>
                <w:sz w:val="24"/>
                <w:highlight w:val="none"/>
              </w:rPr>
            </w:pPr>
            <w:r>
              <w:rPr>
                <w:rFonts w:ascii="宋体" w:hAnsi="宋体"/>
                <w:color w:val="auto"/>
                <w:sz w:val="24"/>
                <w:highlight w:val="none"/>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pPr>
              <w:adjustRightInd w:val="0"/>
              <w:snapToGrid w:val="0"/>
              <w:spacing w:line="300" w:lineRule="auto"/>
              <w:jc w:val="center"/>
              <w:rPr>
                <w:rFonts w:ascii="宋体" w:hAnsi="宋体"/>
                <w:color w:val="auto"/>
                <w:sz w:val="24"/>
                <w:highlight w:val="none"/>
              </w:rPr>
            </w:pPr>
            <w:r>
              <w:rPr>
                <w:rFonts w:hint="eastAsia" w:ascii="宋体" w:hAnsi="宋体"/>
                <w:color w:val="auto"/>
                <w:sz w:val="24"/>
                <w:highlight w:val="none"/>
              </w:rPr>
              <w:t>2024年度通吕运河水利枢纽工程观测项目</w:t>
            </w:r>
          </w:p>
        </w:tc>
        <w:tc>
          <w:tcPr>
            <w:tcW w:w="3604" w:type="pct"/>
            <w:vAlign w:val="center"/>
          </w:tcPr>
          <w:p>
            <w:pPr>
              <w:adjustRightInd w:val="0"/>
              <w:snapToGrid w:val="0"/>
              <w:spacing w:line="300" w:lineRule="auto"/>
              <w:rPr>
                <w:rFonts w:ascii="宋体" w:hAnsi="宋体"/>
                <w:color w:val="auto"/>
                <w:sz w:val="24"/>
                <w:highlight w:val="none"/>
              </w:rPr>
            </w:pPr>
            <w:r>
              <w:rPr>
                <w:rFonts w:ascii="宋体" w:hAnsi="宋体"/>
                <w:bCs/>
                <w:color w:val="auto"/>
                <w:sz w:val="24"/>
                <w:highlight w:val="none"/>
              </w:rPr>
              <w:t>合计</w:t>
            </w:r>
            <w:r>
              <w:rPr>
                <w:rFonts w:ascii="宋体" w:hAnsi="宋体"/>
                <w:color w:val="auto"/>
                <w:sz w:val="24"/>
                <w:highlight w:val="none"/>
              </w:rPr>
              <w:t>：大写：</w:t>
            </w:r>
            <w:r>
              <w:rPr>
                <w:rFonts w:ascii="宋体" w:hAnsi="宋体"/>
                <w:color w:val="auto"/>
                <w:sz w:val="24"/>
                <w:highlight w:val="none"/>
                <w:u w:val="single"/>
              </w:rPr>
              <w:t xml:space="preserve">                            </w:t>
            </w:r>
            <w:r>
              <w:rPr>
                <w:rFonts w:ascii="宋体" w:hAnsi="宋体"/>
                <w:color w:val="auto"/>
                <w:sz w:val="24"/>
                <w:highlight w:val="none"/>
              </w:rPr>
              <w:t>，</w:t>
            </w:r>
          </w:p>
          <w:p>
            <w:pPr>
              <w:adjustRightInd w:val="0"/>
              <w:snapToGrid w:val="0"/>
              <w:spacing w:line="300" w:lineRule="auto"/>
              <w:ind w:firstLine="720" w:firstLineChars="300"/>
              <w:rPr>
                <w:rFonts w:ascii="宋体" w:hAnsi="宋体"/>
                <w:color w:val="auto"/>
                <w:highlight w:val="none"/>
                <w:u w:val="single"/>
              </w:rPr>
            </w:pPr>
            <w:r>
              <w:rPr>
                <w:rFonts w:ascii="宋体" w:hAnsi="宋体"/>
                <w:color w:val="auto"/>
                <w:kern w:val="0"/>
                <w:sz w:val="24"/>
                <w:highlight w:val="none"/>
              </w:rPr>
              <w:t>小写：</w:t>
            </w:r>
            <w:r>
              <w:rPr>
                <w:rFonts w:ascii="宋体" w:hAnsi="宋体"/>
                <w:color w:val="auto"/>
                <w:kern w:val="0"/>
                <w:sz w:val="24"/>
                <w:highlight w:val="none"/>
                <w:u w:val="single"/>
              </w:rPr>
              <w:t xml:space="preserve">              </w:t>
            </w:r>
            <w:r>
              <w:rPr>
                <w:rFonts w:ascii="宋体" w:hAnsi="宋体"/>
                <w:color w:val="auto"/>
                <w:kern w:val="0"/>
                <w:sz w:val="24"/>
                <w:highlight w:val="none"/>
              </w:rPr>
              <w:t>元（人民币）</w:t>
            </w:r>
          </w:p>
        </w:tc>
      </w:tr>
    </w:tbl>
    <w:p>
      <w:pPr>
        <w:snapToGrid w:val="0"/>
        <w:spacing w:line="360" w:lineRule="auto"/>
        <w:ind w:firstLine="2400" w:firstLineChars="1000"/>
        <w:jc w:val="right"/>
        <w:rPr>
          <w:rFonts w:ascii="宋体" w:hAnsi="宋体"/>
          <w:color w:val="auto"/>
          <w:sz w:val="24"/>
          <w:highlight w:val="none"/>
        </w:rPr>
      </w:pPr>
    </w:p>
    <w:p>
      <w:pPr>
        <w:spacing w:line="360" w:lineRule="auto"/>
        <w:ind w:firstLine="3840" w:firstLineChars="1600"/>
        <w:rPr>
          <w:rFonts w:ascii="宋体" w:hAnsi="宋体"/>
          <w:color w:val="auto"/>
          <w:sz w:val="24"/>
          <w:highlight w:val="none"/>
        </w:rPr>
      </w:pPr>
      <w:r>
        <w:rPr>
          <w:rFonts w:ascii="宋体" w:hAnsi="宋体"/>
          <w:color w:val="auto"/>
          <w:sz w:val="24"/>
          <w:highlight w:val="none"/>
        </w:rPr>
        <w:t>投标人全称（加盖公章）：</w:t>
      </w:r>
    </w:p>
    <w:p>
      <w:pPr>
        <w:snapToGrid w:val="0"/>
        <w:spacing w:line="360" w:lineRule="auto"/>
        <w:ind w:firstLine="2400" w:firstLineChars="1000"/>
        <w:jc w:val="right"/>
        <w:rPr>
          <w:rFonts w:ascii="宋体" w:hAnsi="宋体"/>
          <w:color w:val="auto"/>
          <w:sz w:val="24"/>
          <w:highlight w:val="none"/>
        </w:rPr>
      </w:pPr>
    </w:p>
    <w:p>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pPr>
        <w:rPr>
          <w:rFonts w:ascii="宋体" w:hAnsi="宋体"/>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ind w:firstLine="480"/>
        <w:rPr>
          <w:rFonts w:ascii="宋体" w:hAnsi="宋体"/>
          <w:color w:val="auto"/>
          <w:sz w:val="24"/>
          <w:highlight w:val="none"/>
        </w:rPr>
      </w:pPr>
      <w:r>
        <w:rPr>
          <w:rFonts w:ascii="宋体" w:hAnsi="宋体"/>
          <w:color w:val="auto"/>
          <w:sz w:val="24"/>
          <w:highlight w:val="none"/>
        </w:rPr>
        <w:t>填写说明：</w:t>
      </w:r>
    </w:p>
    <w:p>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开标一览表和分项报价表必须加盖投标单位公章</w:t>
      </w:r>
      <w:r>
        <w:rPr>
          <w:rFonts w:ascii="宋体" w:hAnsi="宋体"/>
          <w:color w:val="auto"/>
          <w:sz w:val="24"/>
          <w:highlight w:val="none"/>
        </w:rPr>
        <w:t>。</w:t>
      </w:r>
    </w:p>
    <w:p>
      <w:pPr>
        <w:spacing w:line="360" w:lineRule="auto"/>
        <w:rPr>
          <w:rFonts w:ascii="宋体" w:hAnsi="宋体"/>
          <w:color w:val="auto"/>
          <w:sz w:val="24"/>
          <w:highlight w:val="none"/>
        </w:rPr>
      </w:pPr>
      <w:r>
        <w:rPr>
          <w:rFonts w:ascii="宋体" w:hAnsi="宋体"/>
          <w:color w:val="auto"/>
          <w:sz w:val="24"/>
          <w:highlight w:val="none"/>
        </w:rPr>
        <w:t xml:space="preserve">    </w:t>
      </w:r>
    </w:p>
    <w:p>
      <w:pPr>
        <w:snapToGrid w:val="0"/>
        <w:spacing w:line="360" w:lineRule="auto"/>
        <w:jc w:val="center"/>
        <w:outlineLvl w:val="1"/>
        <w:rPr>
          <w:rFonts w:hint="eastAsia" w:ascii="宋体" w:hAnsi="宋体"/>
          <w:b/>
          <w:bCs/>
          <w:color w:val="auto"/>
          <w:sz w:val="28"/>
          <w:szCs w:val="28"/>
          <w:highlight w:val="none"/>
        </w:rPr>
      </w:pPr>
      <w:r>
        <w:rPr>
          <w:rFonts w:ascii="宋体" w:hAnsi="宋体"/>
          <w:b/>
          <w:color w:val="auto"/>
          <w:sz w:val="24"/>
          <w:highlight w:val="none"/>
        </w:rPr>
        <w:br w:type="page"/>
      </w:r>
      <w:r>
        <w:rPr>
          <w:rFonts w:hint="eastAsia" w:ascii="宋体" w:hAnsi="宋体"/>
          <w:b/>
          <w:color w:val="auto"/>
          <w:sz w:val="28"/>
          <w:highlight w:val="none"/>
        </w:rPr>
        <w:t>二</w:t>
      </w:r>
      <w:r>
        <w:rPr>
          <w:rFonts w:ascii="宋体" w:hAnsi="宋体"/>
          <w:b/>
          <w:color w:val="auto"/>
          <w:sz w:val="28"/>
          <w:highlight w:val="none"/>
        </w:rPr>
        <w:t>、分项报价明细表</w:t>
      </w:r>
    </w:p>
    <w:p>
      <w:pPr>
        <w:spacing w:line="440" w:lineRule="exact"/>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2024年度通吕运河水利枢纽工程观测项目</w:t>
      </w:r>
    </w:p>
    <w:tbl>
      <w:tblPr>
        <w:tblStyle w:val="64"/>
        <w:tblpPr w:leftFromText="180" w:rightFromText="180" w:vertAnchor="text" w:horzAnchor="margin" w:tblpXSpec="center" w:tblpY="339"/>
        <w:tblW w:w="10314" w:type="dxa"/>
        <w:tblInd w:w="0" w:type="dxa"/>
        <w:tblLayout w:type="autofit"/>
        <w:tblCellMar>
          <w:top w:w="0" w:type="dxa"/>
          <w:left w:w="108" w:type="dxa"/>
          <w:bottom w:w="0" w:type="dxa"/>
          <w:right w:w="108" w:type="dxa"/>
        </w:tblCellMar>
      </w:tblPr>
      <w:tblGrid>
        <w:gridCol w:w="709"/>
        <w:gridCol w:w="1417"/>
        <w:gridCol w:w="1928"/>
        <w:gridCol w:w="901"/>
        <w:gridCol w:w="901"/>
        <w:gridCol w:w="901"/>
        <w:gridCol w:w="864"/>
        <w:gridCol w:w="1134"/>
        <w:gridCol w:w="992"/>
        <w:gridCol w:w="567"/>
      </w:tblGrid>
      <w:tr>
        <w:tblPrEx>
          <w:tblCellMar>
            <w:top w:w="0" w:type="dxa"/>
            <w:left w:w="108" w:type="dxa"/>
            <w:bottom w:w="0" w:type="dxa"/>
            <w:right w:w="108" w:type="dxa"/>
          </w:tblCellMar>
        </w:tblPrEx>
        <w:trPr>
          <w:trHeight w:val="27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名称</w:t>
            </w:r>
          </w:p>
        </w:tc>
        <w:tc>
          <w:tcPr>
            <w:tcW w:w="192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观测内容</w:t>
            </w:r>
          </w:p>
        </w:tc>
        <w:tc>
          <w:tcPr>
            <w:tcW w:w="9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单位</w:t>
            </w:r>
          </w:p>
        </w:tc>
        <w:tc>
          <w:tcPr>
            <w:tcW w:w="9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数量</w:t>
            </w:r>
          </w:p>
        </w:tc>
        <w:tc>
          <w:tcPr>
            <w:tcW w:w="9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次数</w:t>
            </w:r>
          </w:p>
        </w:tc>
        <w:tc>
          <w:tcPr>
            <w:tcW w:w="86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单价</w:t>
            </w:r>
          </w:p>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合价</w:t>
            </w:r>
          </w:p>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（元）</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观测</w:t>
            </w:r>
          </w:p>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周期</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备注</w:t>
            </w:r>
          </w:p>
        </w:tc>
      </w:tr>
      <w:tr>
        <w:tblPrEx>
          <w:tblCellMar>
            <w:top w:w="0" w:type="dxa"/>
            <w:left w:w="108" w:type="dxa"/>
            <w:bottom w:w="0" w:type="dxa"/>
            <w:right w:w="108" w:type="dxa"/>
          </w:tblCellMar>
        </w:tblPrEx>
        <w:trPr>
          <w:trHeight w:val="52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192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9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9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9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86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highlight w:val="none"/>
              </w:rPr>
            </w:pPr>
          </w:p>
        </w:tc>
      </w:tr>
      <w:tr>
        <w:tblPrEx>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highlight w:val="none"/>
              </w:rPr>
            </w:pPr>
          </w:p>
        </w:tc>
        <w:tc>
          <w:tcPr>
            <w:tcW w:w="1417"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highlight w:val="none"/>
              </w:rPr>
            </w:pPr>
            <w:r>
              <w:rPr>
                <w:rFonts w:hint="eastAsia" w:ascii="宋体" w:hAnsi="宋体" w:cs="宋体"/>
                <w:color w:val="auto"/>
                <w:kern w:val="0"/>
                <w:highlight w:val="none"/>
              </w:rPr>
              <w:t>合计</w:t>
            </w:r>
          </w:p>
        </w:tc>
        <w:tc>
          <w:tcPr>
            <w:tcW w:w="8188"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 xml:space="preserve">      元</w:t>
            </w:r>
          </w:p>
        </w:tc>
      </w:tr>
    </w:tbl>
    <w:p>
      <w:pPr>
        <w:wordWrap w:val="0"/>
        <w:snapToGrid w:val="0"/>
        <w:spacing w:line="440" w:lineRule="exact"/>
        <w:ind w:right="480"/>
        <w:rPr>
          <w:rFonts w:ascii="宋体" w:hAnsi="宋体" w:cs="宋体"/>
          <w:color w:val="auto"/>
          <w:sz w:val="24"/>
          <w:highlight w:val="none"/>
        </w:rPr>
      </w:pPr>
    </w:p>
    <w:p>
      <w:pPr>
        <w:kinsoku w:val="0"/>
        <w:topLinePunct/>
        <w:snapToGrid w:val="0"/>
        <w:spacing w:line="360" w:lineRule="auto"/>
        <w:rPr>
          <w:rStyle w:val="79"/>
          <w:rFonts w:ascii="宋体" w:hAnsi="宋体" w:cs="宋体"/>
          <w:color w:val="auto"/>
          <w:sz w:val="24"/>
          <w:szCs w:val="24"/>
          <w:highlight w:val="none"/>
        </w:rPr>
      </w:pPr>
      <w:r>
        <w:rPr>
          <w:rStyle w:val="79"/>
          <w:rFonts w:hint="eastAsia" w:ascii="宋体" w:hAnsi="宋体" w:cs="宋体"/>
          <w:color w:val="auto"/>
          <w:sz w:val="24"/>
          <w:szCs w:val="24"/>
          <w:highlight w:val="none"/>
        </w:rPr>
        <w:t>注：投标人自行填报上述投标报价表中的单价、合价、总价，本报价表中的价格已包含招标文件中规定的所有内容。</w:t>
      </w:r>
    </w:p>
    <w:p>
      <w:pPr>
        <w:widowControl/>
        <w:spacing w:line="360" w:lineRule="auto"/>
        <w:rPr>
          <w:rFonts w:ascii="宋体" w:hAnsi="宋体" w:cs="宋体"/>
          <w:color w:val="auto"/>
          <w:sz w:val="24"/>
          <w:highlight w:val="none"/>
        </w:rPr>
      </w:pPr>
    </w:p>
    <w:p>
      <w:pPr>
        <w:widowControl/>
        <w:spacing w:line="360" w:lineRule="auto"/>
        <w:rPr>
          <w:rFonts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tabs>
          <w:tab w:val="left" w:pos="4320"/>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before="100" w:after="100" w:line="360" w:lineRule="auto"/>
        <w:rPr>
          <w:rFonts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pPr>
        <w:spacing w:line="360" w:lineRule="auto"/>
        <w:jc w:val="center"/>
        <w:rPr>
          <w:rStyle w:val="79"/>
          <w:rFonts w:ascii="宋体" w:hAnsi="宋体" w:cs="宋体"/>
          <w:color w:val="auto"/>
          <w:sz w:val="24"/>
          <w:szCs w:val="24"/>
          <w:highlight w:val="none"/>
        </w:rPr>
      </w:pPr>
    </w:p>
    <w:p>
      <w:pPr>
        <w:kinsoku w:val="0"/>
        <w:topLinePunct/>
        <w:snapToGrid w:val="0"/>
        <w:spacing w:line="360" w:lineRule="auto"/>
        <w:rPr>
          <w:rFonts w:ascii="宋体" w:hAnsi="宋体" w:cs="宋体"/>
          <w:color w:val="auto"/>
          <w:sz w:val="24"/>
          <w:highlight w:val="none"/>
        </w:rPr>
      </w:pPr>
      <w:r>
        <w:rPr>
          <w:rStyle w:val="79"/>
          <w:rFonts w:hint="eastAsia" w:ascii="宋体" w:hAnsi="宋体" w:cs="宋体"/>
          <w:color w:val="auto"/>
          <w:sz w:val="24"/>
          <w:szCs w:val="24"/>
          <w:highlight w:val="none"/>
        </w:rPr>
        <w:tab/>
      </w:r>
      <w:r>
        <w:rPr>
          <w:rFonts w:hint="eastAsia" w:ascii="宋体" w:hAnsi="宋体" w:cs="宋体"/>
          <w:color w:val="auto"/>
          <w:sz w:val="24"/>
          <w:highlight w:val="none"/>
        </w:rPr>
        <w:t>注：投标人必须详细报出响应报价总表的各个组成部分的报价，若有遗漏则视为已报入其他子目中。本表各分项报价合计应当与开标一览表投标总报价金额相等。</w:t>
      </w:r>
    </w:p>
    <w:p>
      <w:pPr>
        <w:tabs>
          <w:tab w:val="left" w:pos="420"/>
        </w:tabs>
        <w:spacing w:line="360" w:lineRule="auto"/>
        <w:rPr>
          <w:rStyle w:val="79"/>
          <w:rFonts w:ascii="宋体" w:hAnsi="宋体" w:cs="Times New Roman"/>
          <w:color w:val="auto"/>
          <w:sz w:val="28"/>
          <w:szCs w:val="28"/>
          <w:highlight w:val="none"/>
        </w:rPr>
      </w:pPr>
    </w:p>
    <w:p>
      <w:pPr>
        <w:snapToGrid w:val="0"/>
        <w:spacing w:line="360" w:lineRule="auto"/>
        <w:jc w:val="center"/>
        <w:outlineLvl w:val="1"/>
        <w:rPr>
          <w:rFonts w:ascii="宋体" w:hAnsi="宋体" w:cs="宋体"/>
          <w:b/>
          <w:color w:val="auto"/>
          <w:kern w:val="0"/>
          <w:sz w:val="24"/>
          <w:highlight w:val="none"/>
        </w:rPr>
      </w:pPr>
      <w:r>
        <w:rPr>
          <w:rFonts w:ascii="宋体" w:hAnsi="宋体"/>
          <w:color w:val="auto"/>
          <w:sz w:val="28"/>
          <w:szCs w:val="28"/>
          <w:highlight w:val="none"/>
        </w:rPr>
        <w:br w:type="page"/>
      </w:r>
      <w:r>
        <w:rPr>
          <w:rFonts w:hint="eastAsia"/>
          <w:bCs/>
          <w:color w:val="auto"/>
          <w:sz w:val="28"/>
          <w:highlight w:val="none"/>
        </w:rPr>
        <w:t>三、</w:t>
      </w:r>
      <w:r>
        <w:rPr>
          <w:rFonts w:hint="eastAsia" w:ascii="宋体" w:hAnsi="宋体"/>
          <w:b/>
          <w:color w:val="auto"/>
          <w:sz w:val="28"/>
          <w:highlight w:val="none"/>
        </w:rPr>
        <w:t>中小企业声明函</w:t>
      </w:r>
    </w:p>
    <w:p>
      <w:pPr>
        <w:pStyle w:val="198"/>
        <w:spacing w:line="520" w:lineRule="exact"/>
        <w:ind w:firstLine="480"/>
        <w:rPr>
          <w:color w:val="auto"/>
          <w:highlight w:val="none"/>
          <w:lang w:bidi="zh-CN"/>
        </w:rPr>
      </w:pPr>
      <w:r>
        <w:rPr>
          <w:rFonts w:hint="eastAsia"/>
          <w:color w:val="auto"/>
          <w:highlight w:val="none"/>
          <w:lang w:bidi="zh-CN"/>
        </w:rPr>
        <w:t>本公司（联合体）郑重声明，根据《政府采购促进中小企业发展管理办法》（财库﹝2020﹞46 号）的规定，本公司（联合体）参加</w:t>
      </w:r>
      <w:r>
        <w:rPr>
          <w:rFonts w:hint="eastAsia"/>
          <w:color w:val="auto"/>
          <w:highlight w:val="none"/>
          <w:u w:val="single"/>
          <w:lang w:bidi="zh-CN"/>
        </w:rPr>
        <w:t>（单位名称）</w:t>
      </w:r>
      <w:r>
        <w:rPr>
          <w:rFonts w:hint="eastAsia"/>
          <w:color w:val="auto"/>
          <w:highlight w:val="none"/>
          <w:lang w:bidi="zh-CN"/>
        </w:rPr>
        <w:t>的</w:t>
      </w:r>
      <w:r>
        <w:rPr>
          <w:rFonts w:hint="eastAsia"/>
          <w:color w:val="auto"/>
          <w:highlight w:val="none"/>
          <w:u w:val="single"/>
          <w:lang w:bidi="zh-CN"/>
        </w:rPr>
        <w:t>（项目名称）</w:t>
      </w:r>
      <w:r>
        <w:rPr>
          <w:rFonts w:hint="eastAsia"/>
          <w:color w:val="auto"/>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pStyle w:val="198"/>
        <w:spacing w:line="520" w:lineRule="exact"/>
        <w:ind w:firstLine="480"/>
        <w:rPr>
          <w:color w:val="auto"/>
          <w:highlight w:val="none"/>
          <w:lang w:bidi="zh-CN"/>
        </w:rPr>
      </w:pPr>
      <w:r>
        <w:rPr>
          <w:rFonts w:hint="eastAsia"/>
          <w:color w:val="auto"/>
          <w:highlight w:val="none"/>
          <w:lang w:bidi="zh-CN"/>
        </w:rPr>
        <w:t>1.</w:t>
      </w:r>
      <w:r>
        <w:rPr>
          <w:rFonts w:hint="eastAsia"/>
          <w:color w:val="auto"/>
          <w:highlight w:val="none"/>
          <w:u w:val="single"/>
          <w:lang w:bidi="zh-CN"/>
        </w:rPr>
        <w:t>（标的名称）</w:t>
      </w:r>
      <w:r>
        <w:rPr>
          <w:rFonts w:hint="eastAsia"/>
          <w:color w:val="auto"/>
          <w:highlight w:val="none"/>
          <w:lang w:bidi="zh-CN"/>
        </w:rPr>
        <w:t>，属于（</w:t>
      </w:r>
      <w:r>
        <w:rPr>
          <w:rFonts w:hint="eastAsia"/>
          <w:color w:val="auto"/>
          <w:highlight w:val="none"/>
          <w:u w:val="single"/>
          <w:lang w:bidi="zh-CN"/>
        </w:rPr>
        <w:t>采购文件中明确的所属行业）</w:t>
      </w:r>
      <w:r>
        <w:rPr>
          <w:rFonts w:hint="eastAsia"/>
          <w:color w:val="auto"/>
          <w:highlight w:val="none"/>
          <w:lang w:bidi="zh-CN"/>
        </w:rPr>
        <w:t>；承建（承接）企业为</w:t>
      </w:r>
      <w:r>
        <w:rPr>
          <w:rFonts w:hint="eastAsia"/>
          <w:color w:val="auto"/>
          <w:highlight w:val="none"/>
          <w:u w:val="single"/>
          <w:lang w:bidi="zh-CN"/>
        </w:rPr>
        <w:t>（企业名称）</w:t>
      </w:r>
      <w:r>
        <w:rPr>
          <w:rFonts w:hint="eastAsia"/>
          <w:color w:val="auto"/>
          <w:highlight w:val="none"/>
          <w:lang w:bidi="zh-CN"/>
        </w:rPr>
        <w:t>，从业人员</w:t>
      </w:r>
      <w:r>
        <w:rPr>
          <w:rFonts w:hint="eastAsia"/>
          <w:color w:val="auto"/>
          <w:highlight w:val="none"/>
          <w:u w:val="single"/>
          <w:lang w:bidi="zh-CN"/>
        </w:rPr>
        <w:t xml:space="preserve"> </w:t>
      </w:r>
      <w:r>
        <w:rPr>
          <w:rFonts w:hint="eastAsia"/>
          <w:color w:val="auto"/>
          <w:highlight w:val="none"/>
          <w:u w:val="single"/>
          <w:lang w:bidi="zh-CN"/>
        </w:rPr>
        <w:tab/>
      </w:r>
      <w:r>
        <w:rPr>
          <w:rFonts w:hint="eastAsia"/>
          <w:color w:val="auto"/>
          <w:highlight w:val="none"/>
          <w:lang w:bidi="zh-CN"/>
        </w:rPr>
        <w:t>人，营业收入为</w:t>
      </w:r>
      <w:r>
        <w:rPr>
          <w:rFonts w:hint="eastAsia"/>
          <w:color w:val="auto"/>
          <w:highlight w:val="none"/>
          <w:u w:val="single"/>
          <w:lang w:bidi="zh-CN"/>
        </w:rPr>
        <w:t xml:space="preserve"> </w:t>
      </w:r>
      <w:r>
        <w:rPr>
          <w:rFonts w:hint="eastAsia"/>
          <w:color w:val="auto"/>
          <w:highlight w:val="none"/>
          <w:u w:val="single"/>
          <w:lang w:bidi="zh-CN"/>
        </w:rPr>
        <w:tab/>
      </w:r>
      <w:r>
        <w:rPr>
          <w:rFonts w:hint="eastAsia"/>
          <w:color w:val="auto"/>
          <w:highlight w:val="none"/>
          <w:lang w:bidi="zh-CN"/>
        </w:rPr>
        <w:t>万元，资产总额为</w:t>
      </w:r>
      <w:r>
        <w:rPr>
          <w:rFonts w:hint="eastAsia"/>
          <w:color w:val="auto"/>
          <w:highlight w:val="none"/>
          <w:u w:val="single"/>
          <w:lang w:bidi="zh-CN"/>
        </w:rPr>
        <w:t xml:space="preserve"> </w:t>
      </w:r>
      <w:r>
        <w:rPr>
          <w:rFonts w:hint="eastAsia"/>
          <w:color w:val="auto"/>
          <w:highlight w:val="none"/>
          <w:u w:val="single"/>
          <w:lang w:bidi="zh-CN"/>
        </w:rPr>
        <w:tab/>
      </w:r>
      <w:r>
        <w:rPr>
          <w:rFonts w:hint="eastAsia"/>
          <w:color w:val="auto"/>
          <w:highlight w:val="none"/>
          <w:lang w:bidi="zh-CN"/>
        </w:rPr>
        <w:t>万元，属于</w:t>
      </w:r>
      <w:r>
        <w:rPr>
          <w:rFonts w:hint="eastAsia"/>
          <w:color w:val="auto"/>
          <w:highlight w:val="none"/>
          <w:u w:val="single"/>
          <w:lang w:bidi="zh-CN"/>
        </w:rPr>
        <w:t>（中型企业、小型企业、微型企业）</w:t>
      </w:r>
      <w:r>
        <w:rPr>
          <w:rFonts w:hint="eastAsia"/>
          <w:color w:val="auto"/>
          <w:highlight w:val="none"/>
          <w:lang w:bidi="zh-CN"/>
        </w:rPr>
        <w:t>；</w:t>
      </w:r>
    </w:p>
    <w:p>
      <w:pPr>
        <w:pStyle w:val="198"/>
        <w:spacing w:line="520" w:lineRule="exact"/>
        <w:ind w:firstLine="480"/>
        <w:rPr>
          <w:color w:val="auto"/>
          <w:highlight w:val="none"/>
          <w:lang w:bidi="zh-CN"/>
        </w:rPr>
      </w:pPr>
      <w:r>
        <w:rPr>
          <w:rFonts w:hint="eastAsia"/>
          <w:color w:val="auto"/>
          <w:highlight w:val="none"/>
          <w:lang w:bidi="zh-CN"/>
        </w:rPr>
        <w:t>2.</w:t>
      </w:r>
      <w:r>
        <w:rPr>
          <w:rFonts w:hint="eastAsia"/>
          <w:color w:val="auto"/>
          <w:highlight w:val="none"/>
          <w:u w:val="single"/>
          <w:lang w:bidi="zh-CN"/>
        </w:rPr>
        <w:t>（标的名称）</w:t>
      </w:r>
      <w:r>
        <w:rPr>
          <w:rFonts w:hint="eastAsia"/>
          <w:color w:val="auto"/>
          <w:highlight w:val="none"/>
          <w:lang w:bidi="zh-CN"/>
        </w:rPr>
        <w:t>，属于（</w:t>
      </w:r>
      <w:r>
        <w:rPr>
          <w:rFonts w:hint="eastAsia"/>
          <w:color w:val="auto"/>
          <w:highlight w:val="none"/>
          <w:u w:val="single"/>
          <w:lang w:bidi="zh-CN"/>
        </w:rPr>
        <w:t>采购文件中明确的所属行业）</w:t>
      </w:r>
      <w:r>
        <w:rPr>
          <w:rFonts w:hint="eastAsia"/>
          <w:color w:val="auto"/>
          <w:highlight w:val="none"/>
          <w:lang w:bidi="zh-CN"/>
        </w:rPr>
        <w:t>；承建（承接）企业为</w:t>
      </w:r>
      <w:r>
        <w:rPr>
          <w:rFonts w:hint="eastAsia"/>
          <w:color w:val="auto"/>
          <w:highlight w:val="none"/>
          <w:u w:val="single"/>
          <w:lang w:bidi="zh-CN"/>
        </w:rPr>
        <w:t>（企业名称）</w:t>
      </w:r>
      <w:r>
        <w:rPr>
          <w:rFonts w:hint="eastAsia"/>
          <w:color w:val="auto"/>
          <w:highlight w:val="none"/>
          <w:lang w:bidi="zh-CN"/>
        </w:rPr>
        <w:t>，从业人员</w:t>
      </w:r>
      <w:r>
        <w:rPr>
          <w:rFonts w:hint="eastAsia"/>
          <w:color w:val="auto"/>
          <w:highlight w:val="none"/>
          <w:u w:val="single"/>
          <w:lang w:bidi="zh-CN"/>
        </w:rPr>
        <w:t xml:space="preserve"> </w:t>
      </w:r>
      <w:r>
        <w:rPr>
          <w:rFonts w:hint="eastAsia"/>
          <w:color w:val="auto"/>
          <w:highlight w:val="none"/>
          <w:u w:val="single"/>
          <w:lang w:bidi="zh-CN"/>
        </w:rPr>
        <w:tab/>
      </w:r>
      <w:r>
        <w:rPr>
          <w:rFonts w:hint="eastAsia"/>
          <w:color w:val="auto"/>
          <w:highlight w:val="none"/>
          <w:lang w:bidi="zh-CN"/>
        </w:rPr>
        <w:t>人，营业收入为</w:t>
      </w:r>
      <w:r>
        <w:rPr>
          <w:rFonts w:hint="eastAsia"/>
          <w:color w:val="auto"/>
          <w:highlight w:val="none"/>
          <w:u w:val="single"/>
          <w:lang w:bidi="zh-CN"/>
        </w:rPr>
        <w:t xml:space="preserve"> </w:t>
      </w:r>
      <w:r>
        <w:rPr>
          <w:rFonts w:hint="eastAsia"/>
          <w:color w:val="auto"/>
          <w:highlight w:val="none"/>
          <w:u w:val="single"/>
          <w:lang w:bidi="zh-CN"/>
        </w:rPr>
        <w:tab/>
      </w:r>
      <w:r>
        <w:rPr>
          <w:rFonts w:hint="eastAsia"/>
          <w:color w:val="auto"/>
          <w:highlight w:val="none"/>
          <w:lang w:bidi="zh-CN"/>
        </w:rPr>
        <w:t>万元，资产总额为</w:t>
      </w:r>
      <w:r>
        <w:rPr>
          <w:rFonts w:hint="eastAsia"/>
          <w:color w:val="auto"/>
          <w:highlight w:val="none"/>
          <w:u w:val="single"/>
          <w:lang w:bidi="zh-CN"/>
        </w:rPr>
        <w:t xml:space="preserve"> </w:t>
      </w:r>
      <w:r>
        <w:rPr>
          <w:rFonts w:hint="eastAsia"/>
          <w:color w:val="auto"/>
          <w:highlight w:val="none"/>
          <w:u w:val="single"/>
          <w:lang w:bidi="zh-CN"/>
        </w:rPr>
        <w:tab/>
      </w:r>
      <w:r>
        <w:rPr>
          <w:rFonts w:hint="eastAsia"/>
          <w:color w:val="auto"/>
          <w:highlight w:val="none"/>
          <w:lang w:bidi="zh-CN"/>
        </w:rPr>
        <w:t>万元，属于</w:t>
      </w:r>
      <w:r>
        <w:rPr>
          <w:rFonts w:hint="eastAsia"/>
          <w:color w:val="auto"/>
          <w:highlight w:val="none"/>
          <w:u w:val="single"/>
          <w:lang w:bidi="zh-CN"/>
        </w:rPr>
        <w:t>（中型企业、小型企业、微型企业）</w:t>
      </w:r>
      <w:r>
        <w:rPr>
          <w:rFonts w:hint="eastAsia"/>
          <w:color w:val="auto"/>
          <w:highlight w:val="none"/>
          <w:lang w:bidi="zh-CN"/>
        </w:rPr>
        <w:t>；</w:t>
      </w:r>
    </w:p>
    <w:p>
      <w:pPr>
        <w:pStyle w:val="198"/>
        <w:spacing w:line="520" w:lineRule="exact"/>
        <w:ind w:firstLine="480"/>
        <w:rPr>
          <w:color w:val="auto"/>
          <w:highlight w:val="none"/>
          <w:lang w:bidi="zh-CN"/>
        </w:rPr>
      </w:pPr>
      <w:r>
        <w:rPr>
          <w:rFonts w:hint="eastAsia"/>
          <w:color w:val="auto"/>
          <w:highlight w:val="none"/>
          <w:lang w:bidi="zh-CN"/>
        </w:rPr>
        <w:t>……</w:t>
      </w:r>
    </w:p>
    <w:p>
      <w:pPr>
        <w:pStyle w:val="198"/>
        <w:spacing w:line="520" w:lineRule="exact"/>
        <w:ind w:firstLine="480"/>
        <w:rPr>
          <w:color w:val="auto"/>
          <w:highlight w:val="none"/>
          <w:lang w:bidi="zh-CN"/>
        </w:rPr>
      </w:pPr>
      <w:r>
        <w:rPr>
          <w:rFonts w:hint="eastAsia"/>
          <w:color w:val="auto"/>
          <w:highlight w:val="none"/>
          <w:lang w:bidi="zh-CN"/>
        </w:rPr>
        <w:t>以上企业，不属于大企业的分支机构，不存在控股股东为大企业的情形，也不存在与大企业的负责人为同一人的情形。</w:t>
      </w:r>
    </w:p>
    <w:p>
      <w:pPr>
        <w:pStyle w:val="198"/>
        <w:spacing w:line="520" w:lineRule="exact"/>
        <w:ind w:firstLine="480"/>
        <w:rPr>
          <w:color w:val="auto"/>
          <w:highlight w:val="none"/>
          <w:lang w:bidi="zh-CN"/>
        </w:rPr>
      </w:pPr>
      <w:r>
        <w:rPr>
          <w:rFonts w:hint="eastAsia"/>
          <w:color w:val="auto"/>
          <w:highlight w:val="none"/>
          <w:lang w:bidi="zh-CN"/>
        </w:rPr>
        <w:t>本企业对上述声明内容的真实性负责。如有虚假，将依法承担相应责任。</w:t>
      </w:r>
    </w:p>
    <w:p>
      <w:pPr>
        <w:spacing w:line="500" w:lineRule="exact"/>
        <w:ind w:firstLine="480" w:firstLineChars="200"/>
        <w:rPr>
          <w:rFonts w:cs="宋体" w:asciiTheme="majorEastAsia" w:hAnsiTheme="majorEastAsia" w:eastAsiaTheme="majorEastAsia"/>
          <w:color w:val="auto"/>
          <w:sz w:val="24"/>
          <w:highlight w:val="none"/>
        </w:rPr>
      </w:pPr>
    </w:p>
    <w:p>
      <w:pPr>
        <w:spacing w:line="500" w:lineRule="exact"/>
        <w:ind w:right="1200" w:firstLine="480" w:firstLineChars="200"/>
        <w:jc w:val="right"/>
        <w:rPr>
          <w:rFonts w:cs="宋体" w:asciiTheme="majorEastAsia" w:hAnsiTheme="majorEastAsia" w:eastAsiaTheme="majorEastAsia"/>
          <w:color w:val="auto"/>
          <w:sz w:val="24"/>
          <w:highlight w:val="none"/>
        </w:rPr>
      </w:pPr>
    </w:p>
    <w:p>
      <w:pPr>
        <w:spacing w:line="500" w:lineRule="exact"/>
        <w:ind w:right="1200" w:firstLine="480" w:firstLineChars="200"/>
        <w:jc w:val="right"/>
        <w:rPr>
          <w:rFonts w:cs="宋体" w:asciiTheme="majorEastAsia" w:hAnsiTheme="majorEastAsia" w:eastAsiaTheme="majorEastAsia"/>
          <w:color w:val="auto"/>
          <w:sz w:val="24"/>
          <w:highlight w:val="none"/>
        </w:rPr>
      </w:pPr>
    </w:p>
    <w:p>
      <w:pPr>
        <w:spacing w:line="500" w:lineRule="exact"/>
        <w:ind w:right="1200" w:firstLine="480" w:firstLineChars="200"/>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企业名称（盖章）：                         </w:t>
      </w:r>
    </w:p>
    <w:p>
      <w:pPr>
        <w:spacing w:line="500" w:lineRule="exact"/>
        <w:ind w:right="960" w:firstLine="480" w:firstLineChars="200"/>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日 期：</w:t>
      </w:r>
    </w:p>
    <w:p>
      <w:pPr>
        <w:spacing w:line="500" w:lineRule="exact"/>
        <w:ind w:firstLine="480" w:firstLineChars="200"/>
        <w:rPr>
          <w:rFonts w:cs="宋体" w:asciiTheme="majorEastAsia" w:hAnsiTheme="majorEastAsia" w:eastAsiaTheme="majorEastAsia"/>
          <w:color w:val="auto"/>
          <w:sz w:val="24"/>
          <w:highlight w:val="none"/>
        </w:rPr>
      </w:pPr>
    </w:p>
    <w:p>
      <w:pPr>
        <w:spacing w:line="50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（注：从业人员、营业收入、资产总额填报上一年度数据，无上一年度数据的新成立企业可不填报。）</w:t>
      </w:r>
    </w:p>
    <w:p>
      <w:pPr>
        <w:widowControl/>
        <w:spacing w:line="360" w:lineRule="auto"/>
        <w:ind w:firstLine="480" w:firstLineChars="200"/>
        <w:jc w:val="left"/>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（备注：供应商如不提供上述声明函，价格将不做相应扣除）</w:t>
      </w:r>
      <w:r>
        <w:rPr>
          <w:rFonts w:hint="eastAsia" w:cs="宋体" w:asciiTheme="majorEastAsia" w:hAnsiTheme="majorEastAsia" w:eastAsiaTheme="majorEastAsia"/>
          <w:color w:val="auto"/>
          <w:kern w:val="0"/>
          <w:sz w:val="24"/>
          <w:highlight w:val="none"/>
        </w:rPr>
        <w:t>。</w:t>
      </w:r>
    </w:p>
    <w:p>
      <w:pPr>
        <w:spacing w:after="145" w:afterLines="50" w:line="360" w:lineRule="auto"/>
        <w:rPr>
          <w:rFonts w:ascii="宋体" w:hAnsi="宋体" w:cs="宋体"/>
          <w:color w:val="auto"/>
          <w:sz w:val="24"/>
          <w:highlight w:val="none"/>
        </w:rPr>
      </w:pPr>
    </w:p>
    <w:p>
      <w:pPr>
        <w:snapToGrid w:val="0"/>
        <w:spacing w:line="360" w:lineRule="auto"/>
        <w:jc w:val="center"/>
        <w:outlineLvl w:val="1"/>
        <w:rPr>
          <w:rStyle w:val="79"/>
          <w:rFonts w:ascii="宋体" w:hAnsi="宋体" w:cs="Times New Roman"/>
          <w:color w:val="auto"/>
          <w:sz w:val="28"/>
          <w:szCs w:val="28"/>
          <w:highlight w:val="none"/>
        </w:rPr>
      </w:pPr>
      <w:r>
        <w:rPr>
          <w:rFonts w:ascii="宋体" w:hAnsi="宋体"/>
          <w:b/>
          <w:color w:val="auto"/>
          <w:sz w:val="32"/>
          <w:szCs w:val="32"/>
          <w:highlight w:val="none"/>
        </w:rPr>
        <w:br w:type="page"/>
      </w:r>
      <w:r>
        <w:rPr>
          <w:rFonts w:hint="eastAsia" w:ascii="宋体" w:hAnsi="宋体"/>
          <w:b/>
          <w:color w:val="auto"/>
          <w:sz w:val="28"/>
          <w:highlight w:val="none"/>
        </w:rPr>
        <w:t>四</w:t>
      </w:r>
      <w:r>
        <w:rPr>
          <w:rFonts w:ascii="宋体" w:hAnsi="宋体"/>
          <w:b/>
          <w:color w:val="auto"/>
          <w:sz w:val="28"/>
          <w:highlight w:val="none"/>
        </w:rPr>
        <w:t>、残疾人福利性单位声明函</w:t>
      </w:r>
    </w:p>
    <w:p>
      <w:pPr>
        <w:spacing w:line="360" w:lineRule="auto"/>
        <w:ind w:firstLine="480" w:firstLineChars="200"/>
        <w:jc w:val="left"/>
        <w:rPr>
          <w:rFonts w:ascii="宋体" w:hAnsi="宋体"/>
          <w:color w:val="auto"/>
          <w:sz w:val="24"/>
          <w:highlight w:val="none"/>
        </w:rPr>
      </w:pPr>
    </w:p>
    <w:p>
      <w:pPr>
        <w:spacing w:line="4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单位的</w:t>
      </w:r>
      <w:r>
        <w:rPr>
          <w:rFonts w:hint="eastAsia" w:cs="宋体" w:asciiTheme="majorEastAsia" w:hAnsiTheme="majorEastAsia" w:eastAsiaTheme="majorEastAsia"/>
          <w:color w:val="auto"/>
          <w:sz w:val="24"/>
          <w:highlight w:val="none"/>
          <w:u w:val="single"/>
        </w:rPr>
        <w:t xml:space="preserve">     （采购项目名称）      </w:t>
      </w:r>
      <w:r>
        <w:rPr>
          <w:rFonts w:hint="eastAsia" w:cs="宋体" w:asciiTheme="majorEastAsia" w:hAnsiTheme="majorEastAsia" w:eastAsiaTheme="majorEastAsia"/>
          <w:color w:val="auto"/>
          <w:sz w:val="24"/>
          <w:highlight w:val="none"/>
        </w:rPr>
        <w:t>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本单位对上述声明的真实性负责。如有虚假，将依法承担相应责任。</w:t>
      </w:r>
    </w:p>
    <w:p>
      <w:pPr>
        <w:spacing w:line="440" w:lineRule="exact"/>
        <w:ind w:firstLine="480" w:firstLineChars="200"/>
        <w:rPr>
          <w:rFonts w:cs="宋体" w:asciiTheme="majorEastAsia" w:hAnsiTheme="majorEastAsia" w:eastAsiaTheme="majorEastAsia"/>
          <w:color w:val="auto"/>
          <w:sz w:val="24"/>
          <w:highlight w:val="none"/>
        </w:rPr>
      </w:pPr>
    </w:p>
    <w:p>
      <w:pPr>
        <w:spacing w:line="4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（备注：1、供应商如不提供此声明函，价格将不做相应扣除。2、中标人为残疾人福利单位的，此声明函将随成交结果同时公告，接受社会监督）</w:t>
      </w:r>
    </w:p>
    <w:p>
      <w:pPr>
        <w:spacing w:line="440" w:lineRule="exact"/>
        <w:ind w:firstLine="504" w:firstLineChars="200"/>
        <w:rPr>
          <w:rFonts w:cs="宋体" w:asciiTheme="majorEastAsia" w:hAnsiTheme="majorEastAsia" w:eastAsiaTheme="majorEastAsia"/>
          <w:color w:val="auto"/>
          <w:spacing w:val="6"/>
          <w:sz w:val="24"/>
          <w:highlight w:val="none"/>
        </w:rPr>
      </w:pPr>
    </w:p>
    <w:p>
      <w:pPr>
        <w:tabs>
          <w:tab w:val="left" w:pos="4860"/>
        </w:tabs>
        <w:spacing w:line="440" w:lineRule="exact"/>
        <w:ind w:right="1560" w:firstLine="480" w:firstLineChars="200"/>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p>
    <w:p>
      <w:pPr>
        <w:tabs>
          <w:tab w:val="left" w:pos="4860"/>
        </w:tabs>
        <w:spacing w:line="440" w:lineRule="exact"/>
        <w:ind w:right="1560" w:firstLine="480" w:firstLineChars="200"/>
        <w:jc w:val="center"/>
        <w:rPr>
          <w:rFonts w:cs="宋体" w:asciiTheme="majorEastAsia" w:hAnsiTheme="majorEastAsia" w:eastAsiaTheme="majorEastAsia"/>
          <w:color w:val="auto"/>
          <w:sz w:val="24"/>
          <w:highlight w:val="none"/>
        </w:rPr>
      </w:pPr>
    </w:p>
    <w:p>
      <w:pPr>
        <w:tabs>
          <w:tab w:val="left" w:pos="4860"/>
        </w:tabs>
        <w:spacing w:line="440" w:lineRule="exact"/>
        <w:ind w:right="1560" w:firstLine="480" w:firstLineChars="200"/>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供应商全称（盖章）：</w:t>
      </w:r>
    </w:p>
    <w:p>
      <w:pPr>
        <w:tabs>
          <w:tab w:val="left" w:pos="4860"/>
        </w:tabs>
        <w:spacing w:line="440" w:lineRule="exact"/>
        <w:ind w:right="1560" w:firstLine="480" w:firstLineChars="200"/>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日  期：</w:t>
      </w:r>
    </w:p>
    <w:p>
      <w:pPr>
        <w:widowControl/>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br w:type="page"/>
      </w:r>
    </w:p>
    <w:p>
      <w:pPr>
        <w:snapToGrid w:val="0"/>
        <w:spacing w:line="360" w:lineRule="auto"/>
        <w:jc w:val="center"/>
        <w:outlineLvl w:val="1"/>
        <w:rPr>
          <w:rFonts w:ascii="宋体" w:hAnsi="宋体"/>
          <w:b/>
          <w:color w:val="auto"/>
          <w:sz w:val="28"/>
          <w:highlight w:val="none"/>
        </w:rPr>
      </w:pPr>
      <w:r>
        <w:rPr>
          <w:rFonts w:hint="eastAsia" w:ascii="宋体" w:hAnsi="宋体"/>
          <w:b/>
          <w:color w:val="auto"/>
          <w:sz w:val="28"/>
          <w:highlight w:val="none"/>
        </w:rPr>
        <w:t>五、监狱企业的证明</w:t>
      </w:r>
    </w:p>
    <w:p>
      <w:pPr>
        <w:snapToGrid w:val="0"/>
        <w:spacing w:line="420" w:lineRule="exact"/>
        <w:ind w:firstLine="424" w:firstLineChars="177"/>
        <w:jc w:val="center"/>
        <w:rPr>
          <w:color w:val="auto"/>
          <w:sz w:val="24"/>
          <w:highlight w:val="none"/>
        </w:rPr>
      </w:pPr>
      <w:r>
        <w:rPr>
          <w:rFonts w:hint="eastAsia"/>
          <w:color w:val="auto"/>
          <w:sz w:val="24"/>
          <w:highlight w:val="none"/>
        </w:rPr>
        <w:t>（格式自拟）</w:t>
      </w:r>
    </w:p>
    <w:p>
      <w:pPr>
        <w:snapToGrid w:val="0"/>
        <w:spacing w:line="420" w:lineRule="exact"/>
        <w:ind w:firstLine="566" w:firstLineChars="236"/>
        <w:rPr>
          <w:color w:val="auto"/>
          <w:sz w:val="24"/>
          <w:highlight w:val="none"/>
        </w:rPr>
      </w:pPr>
      <w:r>
        <w:rPr>
          <w:rFonts w:hint="eastAsia"/>
          <w:color w:val="auto"/>
          <w:sz w:val="24"/>
          <w:highlight w:val="none"/>
        </w:rPr>
        <w:t>根据《财政部司法部关于政府采购支持监狱企业发展有关问题的通知》（财库〔</w:t>
      </w:r>
      <w:r>
        <w:rPr>
          <w:color w:val="auto"/>
          <w:sz w:val="24"/>
          <w:highlight w:val="none"/>
        </w:rPr>
        <w:t>2014</w:t>
      </w:r>
      <w:r>
        <w:rPr>
          <w:rFonts w:hint="eastAsia"/>
          <w:color w:val="auto"/>
          <w:sz w:val="24"/>
          <w:highlight w:val="none"/>
        </w:rPr>
        <w:t>〕</w:t>
      </w:r>
      <w:r>
        <w:rPr>
          <w:color w:val="auto"/>
          <w:sz w:val="24"/>
          <w:highlight w:val="none"/>
        </w:rPr>
        <w:t>68</w:t>
      </w:r>
      <w:r>
        <w:rPr>
          <w:rFonts w:hint="eastAsia"/>
          <w:color w:val="auto"/>
          <w:sz w:val="24"/>
          <w:highlight w:val="none"/>
        </w:rPr>
        <w:t>号），监狱企业参加政府采购活动时，应当提供由省级以上监狱管理局、戒毒管理局（含新疆生产建设兵团）出具的，供应商属于监狱企业的证明文件。</w:t>
      </w:r>
    </w:p>
    <w:p>
      <w:pPr>
        <w:spacing w:line="360" w:lineRule="auto"/>
        <w:jc w:val="center"/>
        <w:rPr>
          <w:rFonts w:ascii="宋体" w:hAnsi="宋体"/>
          <w:color w:val="auto"/>
          <w:sz w:val="24"/>
          <w:highlight w:val="none"/>
        </w:rPr>
      </w:pPr>
    </w:p>
    <w:sectPr>
      <w:headerReference r:id="rId3" w:type="default"/>
      <w:footerReference r:id="rId4" w:type="default"/>
      <w:type w:val="continuous"/>
      <w:pgSz w:w="11910" w:h="16840"/>
      <w:pgMar w:top="1588" w:right="1418" w:bottom="1247" w:left="1418" w:header="851" w:footer="992"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Kingsoft Phonetic Plai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81642EBE"/>
    <w:multiLevelType w:val="singleLevel"/>
    <w:tmpl w:val="81642EBE"/>
    <w:lvl w:ilvl="0" w:tentative="0">
      <w:start w:val="1"/>
      <w:numFmt w:val="decimalEnclosedCircleChinese"/>
      <w:suff w:val="nothing"/>
      <w:lvlText w:val="%1　"/>
      <w:lvlJc w:val="left"/>
      <w:pPr>
        <w:ind w:left="0" w:firstLine="400"/>
      </w:pPr>
      <w:rPr>
        <w:rFonts w:hint="eastAsia"/>
      </w:rPr>
    </w:lvl>
  </w:abstractNum>
  <w:abstractNum w:abstractNumId="2">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E54D664B"/>
    <w:multiLevelType w:val="singleLevel"/>
    <w:tmpl w:val="E54D664B"/>
    <w:lvl w:ilvl="0" w:tentative="0">
      <w:start w:val="2"/>
      <w:numFmt w:val="decimal"/>
      <w:pStyle w:val="231"/>
      <w:suff w:val="nothing"/>
      <w:lvlText w:val="（%1）"/>
      <w:lvlJc w:val="left"/>
    </w:lvl>
  </w:abstractNum>
  <w:abstractNum w:abstractNumId="4">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3C684E52"/>
    <w:multiLevelType w:val="singleLevel"/>
    <w:tmpl w:val="3C684E52"/>
    <w:lvl w:ilvl="0" w:tentative="0">
      <w:start w:val="8"/>
      <w:numFmt w:val="decimal"/>
      <w:pStyle w:val="331"/>
      <w:suff w:val="nothing"/>
      <w:lvlText w:val="%1、"/>
      <w:lvlJc w:val="left"/>
    </w:lvl>
  </w:abstractNum>
  <w:abstractNum w:abstractNumId="6">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0"/>
  <w:drawingGridHorizontalSpacing w:val="105"/>
  <w:drawingGridVerticalSpacing w:val="291"/>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OTFhMjA3NzBhOTEzOGFiNGY2NzdmZDhhNTQyYjQ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266"/>
    <w:rsid w:val="000143BB"/>
    <w:rsid w:val="000143C6"/>
    <w:rsid w:val="000147F9"/>
    <w:rsid w:val="00015A76"/>
    <w:rsid w:val="00016B60"/>
    <w:rsid w:val="00020D66"/>
    <w:rsid w:val="0002247E"/>
    <w:rsid w:val="0002253D"/>
    <w:rsid w:val="0002286B"/>
    <w:rsid w:val="000238F3"/>
    <w:rsid w:val="00024171"/>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12C1"/>
    <w:rsid w:val="0006206A"/>
    <w:rsid w:val="00062BD7"/>
    <w:rsid w:val="00066F07"/>
    <w:rsid w:val="0006739A"/>
    <w:rsid w:val="00067D18"/>
    <w:rsid w:val="00067E7C"/>
    <w:rsid w:val="00070067"/>
    <w:rsid w:val="00070C54"/>
    <w:rsid w:val="00071065"/>
    <w:rsid w:val="00071A57"/>
    <w:rsid w:val="0007285A"/>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63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2B0A"/>
    <w:rsid w:val="00183ACC"/>
    <w:rsid w:val="00183CB8"/>
    <w:rsid w:val="00184D3C"/>
    <w:rsid w:val="001857F9"/>
    <w:rsid w:val="00185AE3"/>
    <w:rsid w:val="00185D32"/>
    <w:rsid w:val="0018688F"/>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ECC"/>
    <w:rsid w:val="00222E41"/>
    <w:rsid w:val="00222F63"/>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593A"/>
    <w:rsid w:val="00305DF7"/>
    <w:rsid w:val="00306228"/>
    <w:rsid w:val="003073BA"/>
    <w:rsid w:val="0031109B"/>
    <w:rsid w:val="0031187C"/>
    <w:rsid w:val="00311B7E"/>
    <w:rsid w:val="00312B69"/>
    <w:rsid w:val="0031320D"/>
    <w:rsid w:val="00313CE1"/>
    <w:rsid w:val="003142D9"/>
    <w:rsid w:val="003149B4"/>
    <w:rsid w:val="0031514B"/>
    <w:rsid w:val="00316C78"/>
    <w:rsid w:val="003170E4"/>
    <w:rsid w:val="00317593"/>
    <w:rsid w:val="00317CD0"/>
    <w:rsid w:val="00317F40"/>
    <w:rsid w:val="0032064E"/>
    <w:rsid w:val="00320F90"/>
    <w:rsid w:val="003220D6"/>
    <w:rsid w:val="00322381"/>
    <w:rsid w:val="00323548"/>
    <w:rsid w:val="00323F3A"/>
    <w:rsid w:val="00324041"/>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16D"/>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909"/>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0A5"/>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2724"/>
    <w:rsid w:val="004F2ADE"/>
    <w:rsid w:val="004F2CA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F30"/>
    <w:rsid w:val="00570F48"/>
    <w:rsid w:val="00570FC4"/>
    <w:rsid w:val="005731AD"/>
    <w:rsid w:val="00573951"/>
    <w:rsid w:val="0057395D"/>
    <w:rsid w:val="005745A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5C5"/>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148"/>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527C"/>
    <w:rsid w:val="007B5D72"/>
    <w:rsid w:val="007B643B"/>
    <w:rsid w:val="007B6EEE"/>
    <w:rsid w:val="007C100D"/>
    <w:rsid w:val="007C14DD"/>
    <w:rsid w:val="007C1AF3"/>
    <w:rsid w:val="007C2C7C"/>
    <w:rsid w:val="007C2DD9"/>
    <w:rsid w:val="007C30BE"/>
    <w:rsid w:val="007C3711"/>
    <w:rsid w:val="007C3736"/>
    <w:rsid w:val="007C4264"/>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F9E"/>
    <w:rsid w:val="008B405A"/>
    <w:rsid w:val="008B416D"/>
    <w:rsid w:val="008B569E"/>
    <w:rsid w:val="008B7CCE"/>
    <w:rsid w:val="008C0F2E"/>
    <w:rsid w:val="008C11AD"/>
    <w:rsid w:val="008C1417"/>
    <w:rsid w:val="008C15A8"/>
    <w:rsid w:val="008C17C6"/>
    <w:rsid w:val="008C17C8"/>
    <w:rsid w:val="008C1850"/>
    <w:rsid w:val="008C22A7"/>
    <w:rsid w:val="008C26FC"/>
    <w:rsid w:val="008C3973"/>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53A8"/>
    <w:rsid w:val="00A95750"/>
    <w:rsid w:val="00A96246"/>
    <w:rsid w:val="00A96766"/>
    <w:rsid w:val="00A967F6"/>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488"/>
    <w:rsid w:val="00BD0562"/>
    <w:rsid w:val="00BD0611"/>
    <w:rsid w:val="00BD08D2"/>
    <w:rsid w:val="00BD0A06"/>
    <w:rsid w:val="00BD0A34"/>
    <w:rsid w:val="00BD0FDA"/>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531E"/>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9D5"/>
    <w:rsid w:val="00CF2F16"/>
    <w:rsid w:val="00CF4292"/>
    <w:rsid w:val="00CF4EC2"/>
    <w:rsid w:val="00CF50E5"/>
    <w:rsid w:val="00CF543E"/>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50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5603"/>
    <w:rsid w:val="00DE5759"/>
    <w:rsid w:val="00DE5839"/>
    <w:rsid w:val="00DE595C"/>
    <w:rsid w:val="00DE620A"/>
    <w:rsid w:val="00DE687E"/>
    <w:rsid w:val="00DE6F47"/>
    <w:rsid w:val="00DE76CF"/>
    <w:rsid w:val="00DE7800"/>
    <w:rsid w:val="00DF008A"/>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683825"/>
    <w:rsid w:val="030719AC"/>
    <w:rsid w:val="038D0D6B"/>
    <w:rsid w:val="049820AD"/>
    <w:rsid w:val="05026CE4"/>
    <w:rsid w:val="069F7723"/>
    <w:rsid w:val="074107DA"/>
    <w:rsid w:val="075E65F7"/>
    <w:rsid w:val="0858402D"/>
    <w:rsid w:val="0957288F"/>
    <w:rsid w:val="09A84B40"/>
    <w:rsid w:val="0E83792A"/>
    <w:rsid w:val="0F514856"/>
    <w:rsid w:val="0FAB4284"/>
    <w:rsid w:val="10A75CE3"/>
    <w:rsid w:val="111D0683"/>
    <w:rsid w:val="123F43C4"/>
    <w:rsid w:val="12DF17F8"/>
    <w:rsid w:val="12F86B39"/>
    <w:rsid w:val="130C6ECC"/>
    <w:rsid w:val="135062A3"/>
    <w:rsid w:val="15693843"/>
    <w:rsid w:val="17AC7EF2"/>
    <w:rsid w:val="18025199"/>
    <w:rsid w:val="1838462F"/>
    <w:rsid w:val="1974516C"/>
    <w:rsid w:val="19B3285C"/>
    <w:rsid w:val="1A23669C"/>
    <w:rsid w:val="1AE71067"/>
    <w:rsid w:val="1B746F78"/>
    <w:rsid w:val="1D4D13CE"/>
    <w:rsid w:val="1F4145DE"/>
    <w:rsid w:val="20CA314D"/>
    <w:rsid w:val="21134B3E"/>
    <w:rsid w:val="220A2750"/>
    <w:rsid w:val="22567656"/>
    <w:rsid w:val="232F19D7"/>
    <w:rsid w:val="23AC7F3C"/>
    <w:rsid w:val="23CA7E50"/>
    <w:rsid w:val="23D135AE"/>
    <w:rsid w:val="24333D63"/>
    <w:rsid w:val="28E004DD"/>
    <w:rsid w:val="2AE71DF0"/>
    <w:rsid w:val="2BB05D69"/>
    <w:rsid w:val="2BE041B6"/>
    <w:rsid w:val="2D0B5F28"/>
    <w:rsid w:val="2E2959A0"/>
    <w:rsid w:val="2E933762"/>
    <w:rsid w:val="2E9F7664"/>
    <w:rsid w:val="2F902146"/>
    <w:rsid w:val="31D73965"/>
    <w:rsid w:val="32D16607"/>
    <w:rsid w:val="334F0940"/>
    <w:rsid w:val="35A869C4"/>
    <w:rsid w:val="36872495"/>
    <w:rsid w:val="36F15A3F"/>
    <w:rsid w:val="38706120"/>
    <w:rsid w:val="39F72DF7"/>
    <w:rsid w:val="3F012022"/>
    <w:rsid w:val="3F1838D2"/>
    <w:rsid w:val="41A72ADD"/>
    <w:rsid w:val="42B05C5D"/>
    <w:rsid w:val="443F5AC6"/>
    <w:rsid w:val="44871A95"/>
    <w:rsid w:val="44BF2763"/>
    <w:rsid w:val="44C10289"/>
    <w:rsid w:val="44E37FCE"/>
    <w:rsid w:val="45383140"/>
    <w:rsid w:val="458616E3"/>
    <w:rsid w:val="47796812"/>
    <w:rsid w:val="49430CDD"/>
    <w:rsid w:val="4B1C1647"/>
    <w:rsid w:val="4BB260DE"/>
    <w:rsid w:val="4C3B0AE9"/>
    <w:rsid w:val="4CE60E9A"/>
    <w:rsid w:val="4EB0594F"/>
    <w:rsid w:val="4FFD31F9"/>
    <w:rsid w:val="50421F61"/>
    <w:rsid w:val="50577E57"/>
    <w:rsid w:val="506F72BD"/>
    <w:rsid w:val="508B5BEF"/>
    <w:rsid w:val="51181B78"/>
    <w:rsid w:val="51821EAD"/>
    <w:rsid w:val="51C72AFE"/>
    <w:rsid w:val="527D649D"/>
    <w:rsid w:val="5334770E"/>
    <w:rsid w:val="54AC7A3E"/>
    <w:rsid w:val="54B72B11"/>
    <w:rsid w:val="563B1615"/>
    <w:rsid w:val="5854400C"/>
    <w:rsid w:val="58893182"/>
    <w:rsid w:val="593F3A1A"/>
    <w:rsid w:val="59FE4105"/>
    <w:rsid w:val="5AAD1AE8"/>
    <w:rsid w:val="5B8A2B56"/>
    <w:rsid w:val="5C773E66"/>
    <w:rsid w:val="5D4D4FBA"/>
    <w:rsid w:val="5DDD21F2"/>
    <w:rsid w:val="5E5B3BCE"/>
    <w:rsid w:val="5F9D3BEB"/>
    <w:rsid w:val="5FC70EB1"/>
    <w:rsid w:val="601E0A8A"/>
    <w:rsid w:val="609B3C2C"/>
    <w:rsid w:val="623358B0"/>
    <w:rsid w:val="623D4573"/>
    <w:rsid w:val="636F08D1"/>
    <w:rsid w:val="65267312"/>
    <w:rsid w:val="66715E2F"/>
    <w:rsid w:val="69690360"/>
    <w:rsid w:val="6C7A2348"/>
    <w:rsid w:val="6D2E0FD0"/>
    <w:rsid w:val="6D336AB4"/>
    <w:rsid w:val="6DE42B74"/>
    <w:rsid w:val="6F013B3F"/>
    <w:rsid w:val="6F585FB4"/>
    <w:rsid w:val="718933E0"/>
    <w:rsid w:val="72721ECF"/>
    <w:rsid w:val="74253A54"/>
    <w:rsid w:val="76DE441B"/>
    <w:rsid w:val="770F4B00"/>
    <w:rsid w:val="78006396"/>
    <w:rsid w:val="797D3399"/>
    <w:rsid w:val="79A94DE0"/>
    <w:rsid w:val="79F3642F"/>
    <w:rsid w:val="7AE552F3"/>
    <w:rsid w:val="7B9559F0"/>
    <w:rsid w:val="7D0B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8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81"/>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2"/>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3"/>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4"/>
    <w:qFormat/>
    <w:uiPriority w:val="0"/>
    <w:pPr>
      <w:keepNext/>
      <w:keepLines/>
      <w:spacing w:line="360" w:lineRule="auto"/>
      <w:ind w:left="425" w:hanging="425"/>
      <w:outlineLvl w:val="6"/>
    </w:pPr>
    <w:rPr>
      <w:b/>
      <w:bCs/>
      <w:sz w:val="24"/>
    </w:rPr>
  </w:style>
  <w:style w:type="paragraph" w:styleId="9">
    <w:name w:val="heading 8"/>
    <w:basedOn w:val="1"/>
    <w:next w:val="1"/>
    <w:link w:val="85"/>
    <w:qFormat/>
    <w:uiPriority w:val="0"/>
    <w:pPr>
      <w:keepNext/>
      <w:keepLines/>
      <w:spacing w:line="360" w:lineRule="auto"/>
      <w:ind w:left="425" w:hanging="425"/>
      <w:outlineLvl w:val="7"/>
    </w:pPr>
    <w:rPr>
      <w:b/>
      <w:sz w:val="24"/>
    </w:rPr>
  </w:style>
  <w:style w:type="paragraph" w:styleId="10">
    <w:name w:val="heading 9"/>
    <w:basedOn w:val="1"/>
    <w:next w:val="1"/>
    <w:link w:val="86"/>
    <w:qFormat/>
    <w:uiPriority w:val="0"/>
    <w:pPr>
      <w:keepNext/>
      <w:spacing w:line="600" w:lineRule="exact"/>
      <w:jc w:val="center"/>
      <w:outlineLvl w:val="8"/>
    </w:pPr>
    <w:rPr>
      <w:rFonts w:ascii="仿宋_GB2312" w:hAnsi="Calibri" w:eastAsia="仿宋_GB2312"/>
      <w:sz w:val="32"/>
      <w:szCs w:val="22"/>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cs="Calibri"/>
      <w:sz w:val="18"/>
      <w:szCs w:val="18"/>
    </w:rPr>
  </w:style>
  <w:style w:type="paragraph" w:styleId="12">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unhideWhenUsed/>
    <w:qFormat/>
    <w:uiPriority w:val="0"/>
    <w:pPr>
      <w:ind w:left="1400" w:leftChars="1400"/>
    </w:pPr>
    <w:rPr>
      <w:rFonts w:ascii="Calibri" w:hAnsi="Calibri"/>
      <w:szCs w:val="22"/>
    </w:rPr>
  </w:style>
  <w:style w:type="paragraph" w:styleId="14">
    <w:name w:val="List Number"/>
    <w:basedOn w:val="1"/>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7"/>
    <w:unhideWhenUsed/>
    <w:qFormat/>
    <w:uiPriority w:val="0"/>
    <w:pPr>
      <w:ind w:firstLine="420" w:firstLineChars="200"/>
    </w:pPr>
    <w:rPr>
      <w:kern w:val="0"/>
      <w:sz w:val="20"/>
    </w:rPr>
  </w:style>
  <w:style w:type="paragraph" w:styleId="16">
    <w:name w:val="caption"/>
    <w:basedOn w:val="1"/>
    <w:next w:val="1"/>
    <w:link w:val="88"/>
    <w:qFormat/>
    <w:uiPriority w:val="0"/>
    <w:pPr>
      <w:spacing w:beforeLines="50" w:afterLines="50" w:line="360" w:lineRule="auto"/>
      <w:jc w:val="center"/>
    </w:pPr>
    <w:rPr>
      <w:rFonts w:ascii="Arial" w:hAnsi="Arial"/>
      <w:sz w:val="24"/>
      <w:szCs w:val="20"/>
    </w:rPr>
  </w:style>
  <w:style w:type="paragraph" w:styleId="17">
    <w:name w:val="index 5"/>
    <w:basedOn w:val="1"/>
    <w:next w:val="1"/>
    <w:unhideWhenUsed/>
    <w:qFormat/>
    <w:uiPriority w:val="0"/>
    <w:pPr>
      <w:ind w:left="800" w:leftChars="800"/>
    </w:pPr>
    <w:rPr>
      <w:rFonts w:ascii="Calibri" w:hAnsi="Calibri"/>
      <w:szCs w:val="22"/>
    </w:rPr>
  </w:style>
  <w:style w:type="paragraph" w:styleId="18">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89"/>
    <w:qFormat/>
    <w:uiPriority w:val="99"/>
    <w:pPr>
      <w:shd w:val="clear" w:color="auto" w:fill="000080"/>
    </w:pPr>
  </w:style>
  <w:style w:type="paragraph" w:styleId="20">
    <w:name w:val="annotation text"/>
    <w:basedOn w:val="1"/>
    <w:link w:val="90"/>
    <w:unhideWhenUsed/>
    <w:qFormat/>
    <w:uiPriority w:val="99"/>
    <w:pPr>
      <w:jc w:val="left"/>
    </w:pPr>
  </w:style>
  <w:style w:type="paragraph" w:styleId="21">
    <w:name w:val="index 6"/>
    <w:basedOn w:val="1"/>
    <w:next w:val="1"/>
    <w:unhideWhenUsed/>
    <w:qFormat/>
    <w:uiPriority w:val="0"/>
    <w:pPr>
      <w:ind w:left="1000" w:leftChars="1000"/>
    </w:pPr>
    <w:rPr>
      <w:rFonts w:ascii="Calibri" w:hAnsi="Calibri"/>
      <w:szCs w:val="22"/>
    </w:rPr>
  </w:style>
  <w:style w:type="paragraph" w:styleId="22">
    <w:name w:val="Body Text 3"/>
    <w:basedOn w:val="1"/>
    <w:link w:val="91"/>
    <w:qFormat/>
    <w:uiPriority w:val="0"/>
    <w:rPr>
      <w:rFonts w:ascii="楷体_GB2312" w:hAnsi="Arial" w:eastAsia="楷体_GB2312"/>
      <w:b/>
      <w:bCs/>
      <w:color w:val="000000"/>
      <w:sz w:val="24"/>
    </w:rPr>
  </w:style>
  <w:style w:type="paragraph" w:styleId="23">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next w:val="25"/>
    <w:link w:val="76"/>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customStyle="1" w:styleId="25">
    <w:name w:val="style4"/>
    <w:basedOn w:val="1"/>
    <w:next w:val="26"/>
    <w:qFormat/>
    <w:uiPriority w:val="0"/>
    <w:pPr>
      <w:widowControl/>
      <w:spacing w:before="280" w:after="280"/>
    </w:pPr>
    <w:rPr>
      <w:rFonts w:ascii="宋体"/>
      <w:sz w:val="18"/>
    </w:rPr>
  </w:style>
  <w:style w:type="paragraph" w:customStyle="1" w:styleId="26">
    <w:name w:val="2"/>
    <w:basedOn w:val="1"/>
    <w:next w:val="1"/>
    <w:qFormat/>
    <w:uiPriority w:val="0"/>
    <w:rPr>
      <w:rFonts w:ascii="宋体"/>
      <w:b/>
      <w:bCs/>
      <w:sz w:val="24"/>
    </w:rPr>
  </w:style>
  <w:style w:type="paragraph" w:styleId="27">
    <w:name w:val="Body Text Indent"/>
    <w:basedOn w:val="1"/>
    <w:link w:val="92"/>
    <w:unhideWhenUsed/>
    <w:qFormat/>
    <w:uiPriority w:val="0"/>
    <w:pPr>
      <w:spacing w:after="120"/>
      <w:ind w:left="420" w:leftChars="200"/>
    </w:pPr>
    <w:rPr>
      <w:kern w:val="0"/>
      <w:sz w:val="20"/>
    </w:rPr>
  </w:style>
  <w:style w:type="paragraph" w:styleId="28">
    <w:name w:val="Block Text"/>
    <w:basedOn w:val="1"/>
    <w:qFormat/>
    <w:uiPriority w:val="0"/>
    <w:pPr>
      <w:adjustRightInd w:val="0"/>
      <w:ind w:left="420" w:right="33"/>
      <w:jc w:val="left"/>
      <w:textAlignment w:val="baseline"/>
    </w:pPr>
    <w:rPr>
      <w:kern w:val="0"/>
      <w:sz w:val="24"/>
      <w:szCs w:val="20"/>
    </w:rPr>
  </w:style>
  <w:style w:type="paragraph" w:styleId="29">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30">
    <w:name w:val="HTML Address"/>
    <w:basedOn w:val="1"/>
    <w:link w:val="93"/>
    <w:unhideWhenUsed/>
    <w:qFormat/>
    <w:uiPriority w:val="0"/>
    <w:rPr>
      <w:rFonts w:ascii="Calibri" w:hAnsi="Calibri"/>
      <w:i/>
      <w:iCs/>
      <w:szCs w:val="22"/>
    </w:rPr>
  </w:style>
  <w:style w:type="paragraph" w:styleId="31">
    <w:name w:val="index 4"/>
    <w:basedOn w:val="1"/>
    <w:next w:val="1"/>
    <w:qFormat/>
    <w:uiPriority w:val="0"/>
    <w:pPr>
      <w:ind w:left="600" w:leftChars="600"/>
    </w:pPr>
    <w:rPr>
      <w:rFonts w:ascii="Verdana" w:hAnsi="Verdana"/>
      <w:szCs w:val="20"/>
    </w:rPr>
  </w:style>
  <w:style w:type="paragraph" w:styleId="32">
    <w:name w:val="toc 5"/>
    <w:basedOn w:val="1"/>
    <w:next w:val="1"/>
    <w:unhideWhenUsed/>
    <w:qFormat/>
    <w:uiPriority w:val="39"/>
    <w:pPr>
      <w:ind w:left="840"/>
      <w:jc w:val="left"/>
    </w:pPr>
    <w:rPr>
      <w:rFonts w:ascii="Calibri" w:hAnsi="Calibri" w:cs="Calibri"/>
      <w:sz w:val="18"/>
      <w:szCs w:val="18"/>
    </w:rPr>
  </w:style>
  <w:style w:type="paragraph" w:styleId="33">
    <w:name w:val="Plain Text"/>
    <w:basedOn w:val="1"/>
    <w:link w:val="94"/>
    <w:qFormat/>
    <w:uiPriority w:val="0"/>
    <w:rPr>
      <w:rFonts w:ascii="宋体" w:hAnsi="Courier New"/>
      <w:szCs w:val="20"/>
    </w:rPr>
  </w:style>
  <w:style w:type="paragraph" w:styleId="34">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5">
    <w:name w:val="toc 8"/>
    <w:basedOn w:val="1"/>
    <w:next w:val="1"/>
    <w:unhideWhenUsed/>
    <w:qFormat/>
    <w:uiPriority w:val="39"/>
    <w:pPr>
      <w:ind w:left="1470"/>
      <w:jc w:val="left"/>
    </w:pPr>
    <w:rPr>
      <w:rFonts w:ascii="Calibri" w:hAnsi="Calibri" w:cs="Calibri"/>
      <w:sz w:val="18"/>
      <w:szCs w:val="18"/>
    </w:rPr>
  </w:style>
  <w:style w:type="paragraph" w:styleId="36">
    <w:name w:val="index 3"/>
    <w:basedOn w:val="1"/>
    <w:next w:val="1"/>
    <w:unhideWhenUsed/>
    <w:qFormat/>
    <w:uiPriority w:val="0"/>
    <w:pPr>
      <w:ind w:left="400" w:leftChars="400"/>
    </w:pPr>
    <w:rPr>
      <w:rFonts w:ascii="Calibri" w:hAnsi="Calibri"/>
      <w:szCs w:val="22"/>
    </w:rPr>
  </w:style>
  <w:style w:type="paragraph" w:styleId="37">
    <w:name w:val="Date"/>
    <w:basedOn w:val="1"/>
    <w:next w:val="1"/>
    <w:link w:val="95"/>
    <w:qFormat/>
    <w:uiPriority w:val="0"/>
    <w:pPr>
      <w:ind w:left="100"/>
    </w:pPr>
    <w:rPr>
      <w:rFonts w:ascii="仿宋_GB2312" w:hAnsi="Courier New" w:eastAsia="仿宋_GB2312"/>
      <w:sz w:val="28"/>
      <w:szCs w:val="20"/>
    </w:rPr>
  </w:style>
  <w:style w:type="paragraph" w:styleId="38">
    <w:name w:val="Body Text Indent 2"/>
    <w:basedOn w:val="1"/>
    <w:link w:val="96"/>
    <w:qFormat/>
    <w:uiPriority w:val="99"/>
    <w:pPr>
      <w:spacing w:after="120" w:line="480" w:lineRule="auto"/>
      <w:ind w:left="420" w:leftChars="200"/>
    </w:pPr>
  </w:style>
  <w:style w:type="paragraph" w:styleId="39">
    <w:name w:val="endnote text"/>
    <w:basedOn w:val="1"/>
    <w:link w:val="97"/>
    <w:unhideWhenUsed/>
    <w:qFormat/>
    <w:uiPriority w:val="0"/>
    <w:pPr>
      <w:widowControl/>
      <w:snapToGrid w:val="0"/>
      <w:jc w:val="left"/>
    </w:pPr>
    <w:rPr>
      <w:rFonts w:ascii="宋体" w:hAnsi="Calibri"/>
      <w:bCs/>
      <w:kern w:val="0"/>
      <w:szCs w:val="21"/>
    </w:rPr>
  </w:style>
  <w:style w:type="paragraph" w:styleId="40">
    <w:name w:val="Balloon Text"/>
    <w:basedOn w:val="1"/>
    <w:link w:val="98"/>
    <w:unhideWhenUsed/>
    <w:qFormat/>
    <w:uiPriority w:val="99"/>
    <w:rPr>
      <w:kern w:val="0"/>
      <w:sz w:val="18"/>
      <w:szCs w:val="18"/>
    </w:rPr>
  </w:style>
  <w:style w:type="paragraph" w:styleId="41">
    <w:name w:val="footer"/>
    <w:basedOn w:val="1"/>
    <w:link w:val="99"/>
    <w:unhideWhenUsed/>
    <w:qFormat/>
    <w:uiPriority w:val="99"/>
    <w:pPr>
      <w:tabs>
        <w:tab w:val="center" w:pos="4153"/>
        <w:tab w:val="right" w:pos="8306"/>
      </w:tabs>
      <w:snapToGrid w:val="0"/>
      <w:jc w:val="left"/>
    </w:pPr>
    <w:rPr>
      <w:sz w:val="18"/>
      <w:szCs w:val="18"/>
    </w:rPr>
  </w:style>
  <w:style w:type="paragraph" w:styleId="42">
    <w:name w:val="header"/>
    <w:basedOn w:val="1"/>
    <w:link w:val="10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qFormat/>
    <w:uiPriority w:val="39"/>
  </w:style>
  <w:style w:type="paragraph" w:styleId="44">
    <w:name w:val="toc 4"/>
    <w:basedOn w:val="1"/>
    <w:next w:val="1"/>
    <w:unhideWhenUsed/>
    <w:qFormat/>
    <w:uiPriority w:val="39"/>
    <w:pPr>
      <w:ind w:left="630"/>
      <w:jc w:val="left"/>
    </w:pPr>
    <w:rPr>
      <w:rFonts w:ascii="Calibri" w:hAnsi="Calibri" w:cs="Calibri"/>
      <w:sz w:val="18"/>
      <w:szCs w:val="18"/>
    </w:rPr>
  </w:style>
  <w:style w:type="paragraph" w:styleId="45">
    <w:name w:val="index heading"/>
    <w:basedOn w:val="1"/>
    <w:next w:val="46"/>
    <w:unhideWhenUsed/>
    <w:qFormat/>
    <w:uiPriority w:val="0"/>
    <w:rPr>
      <w:rFonts w:ascii="Calibri" w:hAnsi="Calibri"/>
      <w:szCs w:val="22"/>
    </w:rPr>
  </w:style>
  <w:style w:type="paragraph" w:styleId="46">
    <w:name w:val="index 1"/>
    <w:basedOn w:val="1"/>
    <w:next w:val="1"/>
    <w:unhideWhenUsed/>
    <w:qFormat/>
    <w:uiPriority w:val="0"/>
    <w:rPr>
      <w:rFonts w:ascii="Calibri" w:hAnsi="Calibri"/>
      <w:szCs w:val="22"/>
    </w:rPr>
  </w:style>
  <w:style w:type="paragraph" w:styleId="47">
    <w:name w:val="List"/>
    <w:basedOn w:val="1"/>
    <w:qFormat/>
    <w:uiPriority w:val="0"/>
    <w:pPr>
      <w:ind w:left="200" w:hanging="200" w:hangingChars="200"/>
    </w:pPr>
  </w:style>
  <w:style w:type="paragraph" w:styleId="48">
    <w:name w:val="footnote text"/>
    <w:basedOn w:val="1"/>
    <w:link w:val="101"/>
    <w:unhideWhenUsed/>
    <w:qFormat/>
    <w:uiPriority w:val="0"/>
    <w:pPr>
      <w:adjustRightInd w:val="0"/>
      <w:snapToGrid w:val="0"/>
      <w:jc w:val="left"/>
    </w:pPr>
    <w:rPr>
      <w:rFonts w:ascii="宋体" w:hAnsi="Calibri"/>
      <w:bCs/>
      <w:kern w:val="0"/>
      <w:sz w:val="18"/>
      <w:szCs w:val="18"/>
    </w:rPr>
  </w:style>
  <w:style w:type="paragraph" w:styleId="49">
    <w:name w:val="toc 6"/>
    <w:basedOn w:val="1"/>
    <w:next w:val="1"/>
    <w:unhideWhenUsed/>
    <w:qFormat/>
    <w:uiPriority w:val="39"/>
    <w:pPr>
      <w:ind w:left="1050"/>
      <w:jc w:val="left"/>
    </w:pPr>
    <w:rPr>
      <w:rFonts w:ascii="Calibri" w:hAnsi="Calibri" w:cs="Calibri"/>
      <w:sz w:val="18"/>
      <w:szCs w:val="18"/>
    </w:rPr>
  </w:style>
  <w:style w:type="paragraph" w:styleId="50">
    <w:name w:val="Body Text Indent 3"/>
    <w:basedOn w:val="1"/>
    <w:link w:val="102"/>
    <w:qFormat/>
    <w:uiPriority w:val="0"/>
    <w:pPr>
      <w:ind w:firstLine="420" w:firstLineChars="200"/>
    </w:pPr>
    <w:rPr>
      <w:rFonts w:eastAsia="楷体_GB2312"/>
    </w:rPr>
  </w:style>
  <w:style w:type="paragraph" w:styleId="51">
    <w:name w:val="index 7"/>
    <w:basedOn w:val="1"/>
    <w:next w:val="1"/>
    <w:unhideWhenUsed/>
    <w:qFormat/>
    <w:uiPriority w:val="0"/>
    <w:pPr>
      <w:ind w:left="1200" w:leftChars="1200"/>
    </w:pPr>
    <w:rPr>
      <w:rFonts w:ascii="Calibri" w:hAnsi="Calibri"/>
      <w:szCs w:val="22"/>
    </w:rPr>
  </w:style>
  <w:style w:type="paragraph" w:styleId="52">
    <w:name w:val="index 9"/>
    <w:basedOn w:val="1"/>
    <w:next w:val="1"/>
    <w:unhideWhenUsed/>
    <w:qFormat/>
    <w:uiPriority w:val="0"/>
    <w:pPr>
      <w:ind w:left="1600" w:leftChars="1600"/>
    </w:pPr>
    <w:rPr>
      <w:rFonts w:ascii="Calibri" w:hAnsi="Calibri"/>
      <w:szCs w:val="22"/>
    </w:rPr>
  </w:style>
  <w:style w:type="paragraph" w:styleId="53">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4">
    <w:name w:val="toc 9"/>
    <w:basedOn w:val="1"/>
    <w:next w:val="1"/>
    <w:unhideWhenUsed/>
    <w:qFormat/>
    <w:uiPriority w:val="39"/>
    <w:pPr>
      <w:ind w:left="1680"/>
      <w:jc w:val="left"/>
    </w:pPr>
    <w:rPr>
      <w:rFonts w:ascii="Calibri" w:hAnsi="Calibri" w:cs="Calibri"/>
      <w:sz w:val="18"/>
      <w:szCs w:val="18"/>
    </w:rPr>
  </w:style>
  <w:style w:type="paragraph" w:styleId="55">
    <w:name w:val="Body Text 2"/>
    <w:basedOn w:val="1"/>
    <w:link w:val="103"/>
    <w:qFormat/>
    <w:uiPriority w:val="99"/>
    <w:pPr>
      <w:spacing w:line="440" w:lineRule="exact"/>
    </w:pPr>
    <w:rPr>
      <w:rFonts w:ascii="楷体_GB2312" w:eastAsia="楷体_GB2312"/>
      <w:sz w:val="28"/>
    </w:rPr>
  </w:style>
  <w:style w:type="paragraph" w:styleId="56">
    <w:name w:val="List Continue 2"/>
    <w:basedOn w:val="1"/>
    <w:unhideWhenUsed/>
    <w:qFormat/>
    <w:uiPriority w:val="0"/>
    <w:pPr>
      <w:spacing w:after="120"/>
      <w:ind w:left="840" w:leftChars="400"/>
    </w:pPr>
    <w:rPr>
      <w:rFonts w:ascii="Calibri" w:hAnsi="Calibri"/>
      <w:szCs w:val="22"/>
    </w:rPr>
  </w:style>
  <w:style w:type="paragraph" w:styleId="57">
    <w:name w:val="HTML Preformatted"/>
    <w:basedOn w:val="1"/>
    <w:link w:val="10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9">
    <w:name w:val="index 2"/>
    <w:basedOn w:val="1"/>
    <w:next w:val="1"/>
    <w:unhideWhenUsed/>
    <w:qFormat/>
    <w:uiPriority w:val="0"/>
    <w:pPr>
      <w:ind w:left="200" w:leftChars="200"/>
    </w:pPr>
    <w:rPr>
      <w:rFonts w:ascii="Calibri" w:hAnsi="Calibri"/>
      <w:szCs w:val="22"/>
    </w:rPr>
  </w:style>
  <w:style w:type="paragraph" w:styleId="60">
    <w:name w:val="Title"/>
    <w:basedOn w:val="1"/>
    <w:link w:val="105"/>
    <w:qFormat/>
    <w:uiPriority w:val="0"/>
    <w:pPr>
      <w:spacing w:before="240" w:after="60"/>
      <w:jc w:val="center"/>
      <w:outlineLvl w:val="0"/>
    </w:pPr>
    <w:rPr>
      <w:rFonts w:ascii="Cambria" w:hAnsi="Cambria"/>
      <w:b/>
      <w:bCs/>
      <w:sz w:val="32"/>
      <w:szCs w:val="32"/>
    </w:rPr>
  </w:style>
  <w:style w:type="paragraph" w:styleId="61">
    <w:name w:val="annotation subject"/>
    <w:basedOn w:val="20"/>
    <w:next w:val="20"/>
    <w:link w:val="106"/>
    <w:unhideWhenUsed/>
    <w:qFormat/>
    <w:uiPriority w:val="99"/>
    <w:rPr>
      <w:b/>
      <w:bCs/>
    </w:rPr>
  </w:style>
  <w:style w:type="paragraph" w:styleId="62">
    <w:name w:val="Body Text First Indent"/>
    <w:basedOn w:val="24"/>
    <w:link w:val="77"/>
    <w:qFormat/>
    <w:uiPriority w:val="0"/>
    <w:pPr>
      <w:spacing w:after="291" w:afterLines="100"/>
      <w:jc w:val="center"/>
    </w:pPr>
  </w:style>
  <w:style w:type="paragraph" w:styleId="63">
    <w:name w:val="Body Text First Indent 2"/>
    <w:basedOn w:val="27"/>
    <w:link w:val="107"/>
    <w:qFormat/>
    <w:uiPriority w:val="99"/>
    <w:pPr>
      <w:widowControl/>
      <w:ind w:firstLine="420" w:firstLineChars="200"/>
    </w:pPr>
    <w:rPr>
      <w:rFonts w:ascii="仿宋_GB2312" w:eastAsia="仿宋_GB2312"/>
      <w:color w:val="FF6600"/>
      <w:kern w:val="2"/>
      <w:sz w:val="21"/>
      <w:szCs w:val="20"/>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rPr>
  </w:style>
  <w:style w:type="character" w:styleId="68">
    <w:name w:val="endnote reference"/>
    <w:unhideWhenUsed/>
    <w:qFormat/>
    <w:uiPriority w:val="0"/>
    <w:rPr>
      <w:vertAlign w:val="superscript"/>
    </w:rPr>
  </w:style>
  <w:style w:type="character" w:styleId="69">
    <w:name w:val="page number"/>
    <w:unhideWhenUsed/>
    <w:qFormat/>
    <w:uiPriority w:val="0"/>
  </w:style>
  <w:style w:type="character" w:styleId="70">
    <w:name w:val="FollowedHyperlink"/>
    <w:unhideWhenUsed/>
    <w:qFormat/>
    <w:uiPriority w:val="99"/>
    <w:rPr>
      <w:color w:val="954F72"/>
      <w:u w:val="single"/>
    </w:rPr>
  </w:style>
  <w:style w:type="character" w:styleId="71">
    <w:name w:val="Emphasis"/>
    <w:qFormat/>
    <w:uiPriority w:val="0"/>
    <w:rPr>
      <w:i/>
      <w:iCs/>
    </w:rPr>
  </w:style>
  <w:style w:type="character" w:styleId="72">
    <w:name w:val="HTML Typewriter"/>
    <w:unhideWhenUsed/>
    <w:qFormat/>
    <w:uiPriority w:val="0"/>
    <w:rPr>
      <w:rFonts w:hint="eastAsia" w:ascii="宋体" w:hAnsi="Times New Roman" w:eastAsia="宋体" w:cs="宋体"/>
      <w:sz w:val="24"/>
      <w:szCs w:val="24"/>
      <w:lang w:bidi="ar-SA"/>
    </w:rPr>
  </w:style>
  <w:style w:type="character" w:styleId="73">
    <w:name w:val="Hyperlink"/>
    <w:unhideWhenUsed/>
    <w:qFormat/>
    <w:uiPriority w:val="99"/>
    <w:rPr>
      <w:color w:val="0000FF"/>
      <w:u w:val="single"/>
    </w:rPr>
  </w:style>
  <w:style w:type="character" w:styleId="74">
    <w:name w:val="annotation reference"/>
    <w:qFormat/>
    <w:uiPriority w:val="99"/>
    <w:rPr>
      <w:sz w:val="21"/>
      <w:szCs w:val="21"/>
    </w:rPr>
  </w:style>
  <w:style w:type="character" w:styleId="75">
    <w:name w:val="footnote reference"/>
    <w:unhideWhenUsed/>
    <w:qFormat/>
    <w:uiPriority w:val="0"/>
    <w:rPr>
      <w:vertAlign w:val="superscript"/>
    </w:rPr>
  </w:style>
  <w:style w:type="character" w:customStyle="1" w:styleId="76">
    <w:name w:val="正文文本 Char"/>
    <w:link w:val="24"/>
    <w:qFormat/>
    <w:uiPriority w:val="0"/>
    <w:rPr>
      <w:rFonts w:ascii="华文彩云" w:hAnsi="宋体" w:eastAsia="华文彩云"/>
      <w:bCs/>
      <w:color w:val="000000"/>
      <w:kern w:val="2"/>
      <w:sz w:val="28"/>
      <w:szCs w:val="24"/>
    </w:rPr>
  </w:style>
  <w:style w:type="character" w:customStyle="1" w:styleId="77">
    <w:name w:val="正文首行缩进 Char"/>
    <w:link w:val="62"/>
    <w:qFormat/>
    <w:uiPriority w:val="0"/>
    <w:rPr>
      <w:rFonts w:ascii="华文彩云" w:hAnsi="宋体" w:eastAsia="华文彩云"/>
      <w:bCs/>
      <w:color w:val="000000"/>
      <w:kern w:val="2"/>
      <w:sz w:val="28"/>
      <w:szCs w:val="24"/>
    </w:rPr>
  </w:style>
  <w:style w:type="character" w:customStyle="1" w:styleId="78">
    <w:name w:val="标题 1 Char"/>
    <w:link w:val="2"/>
    <w:qFormat/>
    <w:uiPriority w:val="0"/>
    <w:rPr>
      <w:rFonts w:ascii="Times New Roman" w:hAnsi="Times New Roman" w:eastAsia="宋体" w:cs="Times New Roman"/>
      <w:b/>
      <w:bCs/>
      <w:kern w:val="44"/>
      <w:sz w:val="44"/>
      <w:szCs w:val="44"/>
    </w:rPr>
  </w:style>
  <w:style w:type="character" w:customStyle="1" w:styleId="79">
    <w:name w:val="标题 2 Char"/>
    <w:link w:val="3"/>
    <w:qFormat/>
    <w:uiPriority w:val="0"/>
    <w:rPr>
      <w:rFonts w:ascii="Cambria" w:hAnsi="Cambria" w:eastAsia="宋体" w:cs="黑体"/>
      <w:b/>
      <w:bCs/>
      <w:sz w:val="32"/>
      <w:szCs w:val="32"/>
    </w:rPr>
  </w:style>
  <w:style w:type="character" w:customStyle="1" w:styleId="80">
    <w:name w:val="标题 3 Char"/>
    <w:link w:val="4"/>
    <w:qFormat/>
    <w:uiPriority w:val="0"/>
    <w:rPr>
      <w:rFonts w:ascii="Times New Roman" w:hAnsi="Times New Roman" w:eastAsia="宋体" w:cs="Times New Roman"/>
      <w:b/>
      <w:bCs/>
      <w:sz w:val="32"/>
      <w:szCs w:val="32"/>
    </w:rPr>
  </w:style>
  <w:style w:type="character" w:customStyle="1" w:styleId="81">
    <w:name w:val="标题 4 Char"/>
    <w:link w:val="5"/>
    <w:qFormat/>
    <w:uiPriority w:val="0"/>
    <w:rPr>
      <w:rFonts w:ascii="Cambria" w:hAnsi="Cambria" w:eastAsia="宋体" w:cs="黑体"/>
      <w:b/>
      <w:bCs/>
      <w:sz w:val="28"/>
      <w:szCs w:val="28"/>
    </w:rPr>
  </w:style>
  <w:style w:type="character" w:customStyle="1" w:styleId="82">
    <w:name w:val="标题 5 Char"/>
    <w:link w:val="6"/>
    <w:qFormat/>
    <w:uiPriority w:val="0"/>
    <w:rPr>
      <w:rFonts w:ascii="Times New Roman" w:hAnsi="Times New Roman" w:eastAsia="宋体" w:cs="Times New Roman"/>
      <w:b/>
      <w:bCs/>
      <w:sz w:val="28"/>
      <w:szCs w:val="28"/>
    </w:rPr>
  </w:style>
  <w:style w:type="character" w:customStyle="1" w:styleId="83">
    <w:name w:val="标题 6 Char"/>
    <w:link w:val="7"/>
    <w:qFormat/>
    <w:uiPriority w:val="0"/>
    <w:rPr>
      <w:rFonts w:ascii="Cambria" w:hAnsi="Cambria" w:eastAsia="宋体" w:cs="黑体"/>
      <w:b/>
      <w:bCs/>
      <w:sz w:val="24"/>
      <w:szCs w:val="24"/>
    </w:rPr>
  </w:style>
  <w:style w:type="character" w:customStyle="1" w:styleId="84">
    <w:name w:val="标题 7 Char"/>
    <w:link w:val="8"/>
    <w:qFormat/>
    <w:uiPriority w:val="0"/>
    <w:rPr>
      <w:b/>
      <w:bCs/>
      <w:kern w:val="2"/>
      <w:sz w:val="24"/>
      <w:szCs w:val="24"/>
    </w:rPr>
  </w:style>
  <w:style w:type="character" w:customStyle="1" w:styleId="85">
    <w:name w:val="标题 8 Char"/>
    <w:link w:val="9"/>
    <w:qFormat/>
    <w:uiPriority w:val="0"/>
    <w:rPr>
      <w:b/>
      <w:kern w:val="2"/>
      <w:sz w:val="24"/>
      <w:szCs w:val="24"/>
    </w:rPr>
  </w:style>
  <w:style w:type="character" w:customStyle="1" w:styleId="86">
    <w:name w:val="标题 9 Char"/>
    <w:link w:val="10"/>
    <w:qFormat/>
    <w:uiPriority w:val="0"/>
    <w:rPr>
      <w:rFonts w:ascii="仿宋_GB2312" w:hAnsi="Calibri" w:eastAsia="仿宋_GB2312"/>
      <w:kern w:val="2"/>
      <w:sz w:val="32"/>
      <w:szCs w:val="22"/>
    </w:rPr>
  </w:style>
  <w:style w:type="character" w:customStyle="1" w:styleId="87">
    <w:name w:val="正文缩进 Char"/>
    <w:link w:val="15"/>
    <w:qFormat/>
    <w:locked/>
    <w:uiPriority w:val="0"/>
    <w:rPr>
      <w:szCs w:val="24"/>
    </w:rPr>
  </w:style>
  <w:style w:type="character" w:customStyle="1" w:styleId="88">
    <w:name w:val="题注 Char"/>
    <w:link w:val="16"/>
    <w:qFormat/>
    <w:locked/>
    <w:uiPriority w:val="0"/>
    <w:rPr>
      <w:rFonts w:ascii="Arial" w:hAnsi="Arial" w:cs="Arial"/>
      <w:kern w:val="2"/>
      <w:sz w:val="24"/>
    </w:rPr>
  </w:style>
  <w:style w:type="character" w:customStyle="1" w:styleId="89">
    <w:name w:val="文档结构图 Char"/>
    <w:link w:val="19"/>
    <w:qFormat/>
    <w:uiPriority w:val="99"/>
    <w:rPr>
      <w:kern w:val="2"/>
      <w:sz w:val="21"/>
      <w:szCs w:val="24"/>
      <w:shd w:val="clear" w:color="auto" w:fill="000080"/>
    </w:rPr>
  </w:style>
  <w:style w:type="character" w:customStyle="1" w:styleId="90">
    <w:name w:val="批注文字 Char"/>
    <w:link w:val="20"/>
    <w:qFormat/>
    <w:uiPriority w:val="99"/>
    <w:rPr>
      <w:kern w:val="2"/>
      <w:sz w:val="21"/>
      <w:szCs w:val="24"/>
    </w:rPr>
  </w:style>
  <w:style w:type="character" w:customStyle="1" w:styleId="91">
    <w:name w:val="正文文本 3 Char"/>
    <w:link w:val="22"/>
    <w:qFormat/>
    <w:uiPriority w:val="0"/>
    <w:rPr>
      <w:rFonts w:ascii="楷体_GB2312" w:hAnsi="Arial" w:eastAsia="楷体_GB2312" w:cs="Arial"/>
      <w:b/>
      <w:bCs/>
      <w:color w:val="000000"/>
      <w:kern w:val="2"/>
      <w:sz w:val="24"/>
      <w:szCs w:val="24"/>
    </w:rPr>
  </w:style>
  <w:style w:type="character" w:customStyle="1" w:styleId="92">
    <w:name w:val="正文文本缩进 Char"/>
    <w:link w:val="27"/>
    <w:qFormat/>
    <w:uiPriority w:val="0"/>
    <w:rPr>
      <w:rFonts w:ascii="Times New Roman" w:hAnsi="Times New Roman" w:eastAsia="宋体" w:cs="Times New Roman"/>
      <w:szCs w:val="24"/>
    </w:rPr>
  </w:style>
  <w:style w:type="character" w:customStyle="1" w:styleId="93">
    <w:name w:val="HTML 地址 Char"/>
    <w:link w:val="30"/>
    <w:qFormat/>
    <w:uiPriority w:val="0"/>
    <w:rPr>
      <w:rFonts w:ascii="Calibri" w:hAnsi="Calibri" w:cs="宋体"/>
      <w:i/>
      <w:iCs/>
      <w:kern w:val="2"/>
      <w:sz w:val="21"/>
      <w:szCs w:val="22"/>
    </w:rPr>
  </w:style>
  <w:style w:type="character" w:customStyle="1" w:styleId="94">
    <w:name w:val="纯文本 Char"/>
    <w:link w:val="33"/>
    <w:qFormat/>
    <w:uiPriority w:val="0"/>
    <w:rPr>
      <w:rFonts w:ascii="宋体" w:hAnsi="Courier New"/>
      <w:kern w:val="2"/>
      <w:sz w:val="21"/>
    </w:rPr>
  </w:style>
  <w:style w:type="character" w:customStyle="1" w:styleId="95">
    <w:name w:val="日期 Char"/>
    <w:link w:val="37"/>
    <w:qFormat/>
    <w:uiPriority w:val="0"/>
    <w:rPr>
      <w:rFonts w:ascii="仿宋_GB2312" w:hAnsi="Courier New" w:eastAsia="仿宋_GB2312"/>
      <w:kern w:val="2"/>
      <w:sz w:val="28"/>
    </w:rPr>
  </w:style>
  <w:style w:type="character" w:customStyle="1" w:styleId="96">
    <w:name w:val="正文文本缩进 2 Char"/>
    <w:link w:val="38"/>
    <w:qFormat/>
    <w:uiPriority w:val="99"/>
    <w:rPr>
      <w:kern w:val="2"/>
      <w:sz w:val="21"/>
      <w:szCs w:val="24"/>
    </w:rPr>
  </w:style>
  <w:style w:type="character" w:customStyle="1" w:styleId="97">
    <w:name w:val="尾注文本 Char"/>
    <w:link w:val="39"/>
    <w:qFormat/>
    <w:uiPriority w:val="0"/>
    <w:rPr>
      <w:rFonts w:ascii="宋体" w:hAnsi="Calibri"/>
      <w:bCs/>
      <w:sz w:val="21"/>
      <w:szCs w:val="21"/>
    </w:rPr>
  </w:style>
  <w:style w:type="character" w:customStyle="1" w:styleId="98">
    <w:name w:val="批注框文本 Char"/>
    <w:link w:val="40"/>
    <w:qFormat/>
    <w:uiPriority w:val="99"/>
    <w:rPr>
      <w:rFonts w:ascii="Times New Roman" w:hAnsi="Times New Roman" w:eastAsia="宋体" w:cs="Times New Roman"/>
      <w:sz w:val="18"/>
      <w:szCs w:val="18"/>
    </w:rPr>
  </w:style>
  <w:style w:type="character" w:customStyle="1" w:styleId="99">
    <w:name w:val="页脚 Char"/>
    <w:link w:val="41"/>
    <w:qFormat/>
    <w:uiPriority w:val="99"/>
    <w:rPr>
      <w:kern w:val="2"/>
      <w:sz w:val="18"/>
      <w:szCs w:val="18"/>
    </w:rPr>
  </w:style>
  <w:style w:type="character" w:customStyle="1" w:styleId="100">
    <w:name w:val="页眉 Char"/>
    <w:link w:val="42"/>
    <w:qFormat/>
    <w:uiPriority w:val="99"/>
    <w:rPr>
      <w:rFonts w:ascii="Times New Roman" w:hAnsi="Times New Roman" w:eastAsia="宋体" w:cs="Times New Roman"/>
      <w:sz w:val="18"/>
      <w:szCs w:val="18"/>
    </w:rPr>
  </w:style>
  <w:style w:type="character" w:customStyle="1" w:styleId="101">
    <w:name w:val="脚注文本 Char"/>
    <w:link w:val="48"/>
    <w:qFormat/>
    <w:uiPriority w:val="0"/>
    <w:rPr>
      <w:rFonts w:ascii="宋体" w:hAnsi="Calibri"/>
      <w:bCs/>
      <w:sz w:val="18"/>
      <w:szCs w:val="18"/>
    </w:rPr>
  </w:style>
  <w:style w:type="character" w:customStyle="1" w:styleId="102">
    <w:name w:val="正文文本缩进 3 Char"/>
    <w:link w:val="50"/>
    <w:qFormat/>
    <w:uiPriority w:val="0"/>
    <w:rPr>
      <w:rFonts w:eastAsia="楷体_GB2312"/>
      <w:kern w:val="2"/>
      <w:sz w:val="21"/>
      <w:szCs w:val="24"/>
    </w:rPr>
  </w:style>
  <w:style w:type="character" w:customStyle="1" w:styleId="103">
    <w:name w:val="正文文本 2 Char"/>
    <w:link w:val="55"/>
    <w:qFormat/>
    <w:uiPriority w:val="99"/>
    <w:rPr>
      <w:rFonts w:ascii="楷体_GB2312" w:eastAsia="楷体_GB2312"/>
      <w:kern w:val="2"/>
      <w:sz w:val="28"/>
      <w:szCs w:val="24"/>
    </w:rPr>
  </w:style>
  <w:style w:type="character" w:customStyle="1" w:styleId="104">
    <w:name w:val="HTML 预设格式 Char"/>
    <w:link w:val="57"/>
    <w:qFormat/>
    <w:uiPriority w:val="0"/>
    <w:rPr>
      <w:rFonts w:ascii="Arial" w:hAnsi="Arial" w:cs="Arial"/>
      <w:sz w:val="24"/>
      <w:szCs w:val="22"/>
    </w:rPr>
  </w:style>
  <w:style w:type="character" w:customStyle="1" w:styleId="105">
    <w:name w:val="标题 Char"/>
    <w:link w:val="60"/>
    <w:qFormat/>
    <w:uiPriority w:val="0"/>
    <w:rPr>
      <w:rFonts w:ascii="Cambria" w:hAnsi="Cambria"/>
      <w:b/>
      <w:bCs/>
      <w:kern w:val="2"/>
      <w:sz w:val="32"/>
      <w:szCs w:val="32"/>
    </w:rPr>
  </w:style>
  <w:style w:type="character" w:customStyle="1" w:styleId="106">
    <w:name w:val="批注主题 Char"/>
    <w:link w:val="61"/>
    <w:qFormat/>
    <w:uiPriority w:val="99"/>
    <w:rPr>
      <w:b/>
      <w:bCs/>
      <w:kern w:val="2"/>
      <w:sz w:val="21"/>
      <w:szCs w:val="24"/>
    </w:rPr>
  </w:style>
  <w:style w:type="character" w:customStyle="1" w:styleId="107">
    <w:name w:val="正文首行缩进 2 Char"/>
    <w:link w:val="63"/>
    <w:qFormat/>
    <w:uiPriority w:val="99"/>
    <w:rPr>
      <w:rFonts w:ascii="仿宋_GB2312" w:eastAsia="仿宋_GB2312"/>
      <w:color w:val="FF6600"/>
      <w:kern w:val="2"/>
      <w:sz w:val="21"/>
    </w:rPr>
  </w:style>
  <w:style w:type="character" w:customStyle="1" w:styleId="108">
    <w:name w:val="样式2 Char Char"/>
    <w:link w:val="109"/>
    <w:qFormat/>
    <w:uiPriority w:val="0"/>
    <w:rPr>
      <w:b/>
      <w:bCs/>
      <w:kern w:val="44"/>
      <w:sz w:val="28"/>
      <w:szCs w:val="44"/>
    </w:rPr>
  </w:style>
  <w:style w:type="paragraph" w:customStyle="1" w:styleId="109">
    <w:name w:val="样式2"/>
    <w:basedOn w:val="2"/>
    <w:link w:val="108"/>
    <w:qFormat/>
    <w:uiPriority w:val="0"/>
    <w:pPr>
      <w:adjustRightInd w:val="0"/>
      <w:snapToGrid w:val="0"/>
      <w:spacing w:line="360" w:lineRule="auto"/>
    </w:pPr>
    <w:rPr>
      <w:sz w:val="28"/>
    </w:rPr>
  </w:style>
  <w:style w:type="character" w:customStyle="1" w:styleId="110">
    <w:name w:val="param-name"/>
    <w:qFormat/>
    <w:uiPriority w:val="0"/>
  </w:style>
  <w:style w:type="character" w:customStyle="1" w:styleId="111">
    <w:name w:val="纯文本 Char1"/>
    <w:semiHidden/>
    <w:qFormat/>
    <w:uiPriority w:val="0"/>
    <w:rPr>
      <w:rFonts w:ascii="宋体" w:hAnsi="Courier New" w:cs="Courier New"/>
      <w:kern w:val="2"/>
      <w:sz w:val="21"/>
      <w:szCs w:val="21"/>
    </w:rPr>
  </w:style>
  <w:style w:type="character" w:customStyle="1" w:styleId="112">
    <w:name w:val="正文缩进2格 Char Char"/>
    <w:link w:val="113"/>
    <w:qFormat/>
    <w:locked/>
    <w:uiPriority w:val="0"/>
    <w:rPr>
      <w:rFonts w:ascii="仿宋_GB2312" w:hAnsi="宋体" w:eastAsia="仿宋_GB2312"/>
      <w:sz w:val="31"/>
      <w:szCs w:val="28"/>
    </w:rPr>
  </w:style>
  <w:style w:type="paragraph" w:customStyle="1" w:styleId="113">
    <w:name w:val="正文缩进2格"/>
    <w:basedOn w:val="1"/>
    <w:link w:val="112"/>
    <w:qFormat/>
    <w:uiPriority w:val="0"/>
    <w:pPr>
      <w:spacing w:line="600" w:lineRule="exact"/>
      <w:ind w:firstLine="639" w:firstLineChars="206"/>
    </w:pPr>
    <w:rPr>
      <w:rFonts w:ascii="仿宋_GB2312" w:hAnsi="宋体" w:eastAsia="仿宋_GB2312"/>
      <w:kern w:val="0"/>
      <w:sz w:val="31"/>
      <w:szCs w:val="28"/>
    </w:rPr>
  </w:style>
  <w:style w:type="character" w:customStyle="1" w:styleId="114">
    <w:name w:val="列出段落 Char"/>
    <w:link w:val="115"/>
    <w:qFormat/>
    <w:locked/>
    <w:uiPriority w:val="34"/>
  </w:style>
  <w:style w:type="paragraph" w:customStyle="1" w:styleId="115">
    <w:name w:val="列出段落1"/>
    <w:basedOn w:val="1"/>
    <w:link w:val="114"/>
    <w:qFormat/>
    <w:uiPriority w:val="34"/>
    <w:pPr>
      <w:ind w:firstLine="420" w:firstLineChars="200"/>
    </w:pPr>
    <w:rPr>
      <w:rFonts w:ascii="Calibri" w:hAnsi="Calibri" w:cs="黑体"/>
      <w:szCs w:val="22"/>
    </w:rPr>
  </w:style>
  <w:style w:type="character" w:customStyle="1" w:styleId="116">
    <w:name w:val="段落正文 字符"/>
    <w:link w:val="117"/>
    <w:qFormat/>
    <w:uiPriority w:val="0"/>
    <w:rPr>
      <w:kern w:val="2"/>
      <w:sz w:val="24"/>
      <w:szCs w:val="21"/>
    </w:rPr>
  </w:style>
  <w:style w:type="paragraph" w:customStyle="1" w:styleId="117">
    <w:name w:val="段落正文"/>
    <w:basedOn w:val="1"/>
    <w:link w:val="116"/>
    <w:qFormat/>
    <w:uiPriority w:val="0"/>
    <w:pPr>
      <w:spacing w:line="360" w:lineRule="auto"/>
      <w:ind w:firstLine="200" w:firstLineChars="200"/>
    </w:pPr>
    <w:rPr>
      <w:sz w:val="24"/>
      <w:szCs w:val="21"/>
    </w:rPr>
  </w:style>
  <w:style w:type="character" w:customStyle="1" w:styleId="118">
    <w:name w:val="纯文本 Char Char Char Char"/>
    <w:qFormat/>
    <w:uiPriority w:val="0"/>
    <w:rPr>
      <w:rFonts w:ascii="宋体" w:hAnsi="Courier New"/>
      <w:kern w:val="2"/>
      <w:sz w:val="21"/>
    </w:rPr>
  </w:style>
  <w:style w:type="character" w:customStyle="1" w:styleId="119">
    <w:name w:val="apple-converted-space"/>
    <w:qFormat/>
    <w:uiPriority w:val="0"/>
  </w:style>
  <w:style w:type="character" w:customStyle="1" w:styleId="120">
    <w:name w:val="fontstyle01"/>
    <w:qFormat/>
    <w:uiPriority w:val="0"/>
    <w:rPr>
      <w:rFonts w:hint="eastAsia" w:ascii="宋体" w:hAnsi="宋体" w:eastAsia="宋体"/>
      <w:color w:val="000000"/>
      <w:sz w:val="22"/>
      <w:szCs w:val="22"/>
    </w:rPr>
  </w:style>
  <w:style w:type="character" w:customStyle="1" w:styleId="121">
    <w:name w:val="无间隔 Char"/>
    <w:link w:val="122"/>
    <w:qFormat/>
    <w:uiPriority w:val="1"/>
    <w:rPr>
      <w:rFonts w:ascii="Calibri" w:hAnsi="Calibri" w:eastAsia="仿宋_GB2312"/>
      <w:kern w:val="2"/>
      <w:sz w:val="28"/>
      <w:szCs w:val="22"/>
      <w:lang w:val="en-US" w:eastAsia="zh-CN" w:bidi="ar-SA"/>
    </w:rPr>
  </w:style>
  <w:style w:type="paragraph" w:styleId="122">
    <w:name w:val="No Spacing"/>
    <w:link w:val="121"/>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3">
    <w:name w:val="标题 1 Char Char"/>
    <w:qFormat/>
    <w:uiPriority w:val="0"/>
    <w:rPr>
      <w:rFonts w:hint="eastAsia" w:ascii="宋体" w:hAnsi="宋体" w:eastAsia="宋体"/>
      <w:b/>
      <w:spacing w:val="-2"/>
      <w:sz w:val="24"/>
      <w:lang w:val="en-US" w:eastAsia="zh-CN"/>
    </w:rPr>
  </w:style>
  <w:style w:type="character" w:customStyle="1" w:styleId="124">
    <w:name w:val="fontstyle21"/>
    <w:qFormat/>
    <w:uiPriority w:val="0"/>
    <w:rPr>
      <w:rFonts w:hint="default" w:ascii="Calibri" w:hAnsi="Calibri" w:cs="Calibri"/>
      <w:color w:val="000000"/>
      <w:sz w:val="22"/>
      <w:szCs w:val="22"/>
    </w:rPr>
  </w:style>
  <w:style w:type="paragraph" w:customStyle="1" w:styleId="125">
    <w:name w:val="表中文字"/>
    <w:basedOn w:val="1"/>
    <w:next w:val="1"/>
    <w:qFormat/>
    <w:uiPriority w:val="0"/>
    <w:pPr>
      <w:widowControl/>
      <w:spacing w:line="320" w:lineRule="exact"/>
      <w:jc w:val="center"/>
    </w:pPr>
    <w:rPr>
      <w:color w:val="000000"/>
      <w:szCs w:val="20"/>
    </w:rPr>
  </w:style>
  <w:style w:type="paragraph" w:customStyle="1" w:styleId="126">
    <w:name w:val="Style Normal Indent表正文正文非缩进特点ALT+Z标题4段1正文（首行缩进两字） Char正文（首行...1"/>
    <w:basedOn w:val="15"/>
    <w:qFormat/>
    <w:uiPriority w:val="0"/>
    <w:pPr>
      <w:spacing w:line="360" w:lineRule="auto"/>
      <w:ind w:firstLine="590" w:firstLineChars="246"/>
    </w:pPr>
    <w:rPr>
      <w:sz w:val="24"/>
    </w:rPr>
  </w:style>
  <w:style w:type="paragraph" w:styleId="127">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8">
    <w:name w:val="列出段落2"/>
    <w:basedOn w:val="1"/>
    <w:qFormat/>
    <w:uiPriority w:val="34"/>
    <w:pPr>
      <w:ind w:firstLine="420" w:firstLineChars="200"/>
    </w:pPr>
    <w:rPr>
      <w:szCs w:val="20"/>
    </w:rPr>
  </w:style>
  <w:style w:type="paragraph" w:customStyle="1" w:styleId="129">
    <w:name w:val="正文1"/>
    <w:basedOn w:val="1"/>
    <w:qFormat/>
    <w:uiPriority w:val="0"/>
    <w:pPr>
      <w:spacing w:line="300" w:lineRule="auto"/>
      <w:contextualSpacing/>
    </w:pPr>
    <w:rPr>
      <w:rFonts w:ascii="Arial" w:hAnsi="Arial" w:cs="Arial"/>
      <w:sz w:val="24"/>
    </w:rPr>
  </w:style>
  <w:style w:type="paragraph" w:customStyle="1" w:styleId="13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GP正文(首行缩进)"/>
    <w:basedOn w:val="1"/>
    <w:qFormat/>
    <w:uiPriority w:val="0"/>
    <w:pPr>
      <w:spacing w:line="360" w:lineRule="auto"/>
      <w:ind w:firstLine="480" w:firstLineChars="200"/>
      <w:jc w:val="left"/>
    </w:pPr>
    <w:rPr>
      <w:rFonts w:hAnsi="宋体"/>
      <w:sz w:val="24"/>
    </w:rPr>
  </w:style>
  <w:style w:type="paragraph" w:customStyle="1" w:styleId="1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3">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4">
    <w:name w:val="p0"/>
    <w:basedOn w:val="1"/>
    <w:qFormat/>
    <w:uiPriority w:val="0"/>
    <w:pPr>
      <w:widowControl/>
    </w:pPr>
    <w:rPr>
      <w:kern w:val="0"/>
      <w:szCs w:val="21"/>
    </w:rPr>
  </w:style>
  <w:style w:type="paragraph" w:customStyle="1" w:styleId="135">
    <w:name w:val="纯文本2"/>
    <w:basedOn w:val="1"/>
    <w:qFormat/>
    <w:uiPriority w:val="0"/>
    <w:rPr>
      <w:rFonts w:ascii="宋体" w:hAnsi="Courier New"/>
      <w:sz w:val="28"/>
    </w:rPr>
  </w:style>
  <w:style w:type="paragraph" w:customStyle="1" w:styleId="136">
    <w:name w:val="从CC出差"/>
    <w:basedOn w:val="109"/>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7">
    <w:name w:val="样式 标题 2 + 黑色 行距: 1.5 倍行距"/>
    <w:basedOn w:val="3"/>
    <w:qFormat/>
    <w:uiPriority w:val="99"/>
    <w:pPr>
      <w:spacing w:line="360" w:lineRule="auto"/>
      <w:ind w:firstLine="3502" w:firstLineChars="1246"/>
    </w:pPr>
    <w:rPr>
      <w:rFonts w:ascii="楷体_GB2312" w:hAnsi="宋体" w:eastAsia="楷体_GB2312" w:cs="仿宋_GB2312"/>
      <w:sz w:val="28"/>
      <w:szCs w:val="28"/>
    </w:rPr>
  </w:style>
  <w:style w:type="paragraph" w:customStyle="1" w:styleId="138">
    <w:name w:val="HU正文"/>
    <w:basedOn w:val="1"/>
    <w:qFormat/>
    <w:uiPriority w:val="0"/>
    <w:pPr>
      <w:adjustRightInd w:val="0"/>
      <w:spacing w:line="312" w:lineRule="auto"/>
      <w:ind w:left="420" w:firstLine="420" w:firstLineChars="200"/>
      <w:textAlignment w:val="baseline"/>
    </w:pPr>
    <w:rPr>
      <w:szCs w:val="21"/>
    </w:rPr>
  </w:style>
  <w:style w:type="table" w:customStyle="1" w:styleId="139">
    <w:name w:val="网格型1"/>
    <w:basedOn w:val="64"/>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p15"/>
    <w:basedOn w:val="1"/>
    <w:qFormat/>
    <w:uiPriority w:val="0"/>
    <w:pPr>
      <w:widowControl/>
      <w:ind w:firstLine="420"/>
    </w:pPr>
    <w:rPr>
      <w:kern w:val="0"/>
      <w:szCs w:val="20"/>
    </w:rPr>
  </w:style>
  <w:style w:type="paragraph" w:customStyle="1" w:styleId="141">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style91"/>
    <w:qFormat/>
    <w:uiPriority w:val="0"/>
    <w:rPr>
      <w:color w:val="2060C0"/>
      <w:sz w:val="24"/>
      <w:szCs w:val="24"/>
    </w:rPr>
  </w:style>
  <w:style w:type="character" w:customStyle="1" w:styleId="143">
    <w:name w:val="Comment Text Char"/>
    <w:qFormat/>
    <w:uiPriority w:val="0"/>
    <w:rPr>
      <w:rFonts w:hint="default" w:ascii="Times New Roman" w:hAnsi="Times New Roman" w:cs="Times New Roman"/>
      <w:sz w:val="21"/>
      <w:szCs w:val="21"/>
      <w:lang w:bidi="ar-SA"/>
    </w:rPr>
  </w:style>
  <w:style w:type="character" w:customStyle="1" w:styleId="144">
    <w:name w:val="ca-1"/>
    <w:qFormat/>
    <w:uiPriority w:val="0"/>
  </w:style>
  <w:style w:type="character" w:customStyle="1" w:styleId="145">
    <w:name w:val="纯文本 Char_0"/>
    <w:link w:val="146"/>
    <w:qFormat/>
    <w:locked/>
    <w:uiPriority w:val="0"/>
    <w:rPr>
      <w:rFonts w:ascii="宋体" w:hAnsi="Courier New"/>
      <w:kern w:val="2"/>
      <w:sz w:val="21"/>
      <w:szCs w:val="21"/>
    </w:rPr>
  </w:style>
  <w:style w:type="paragraph" w:customStyle="1" w:styleId="146">
    <w:name w:val="纯文本_0"/>
    <w:basedOn w:val="147"/>
    <w:link w:val="145"/>
    <w:qFormat/>
    <w:uiPriority w:val="0"/>
    <w:rPr>
      <w:rFonts w:ascii="宋体" w:hAnsi="Courier New"/>
      <w:szCs w:val="21"/>
    </w:rPr>
  </w:style>
  <w:style w:type="paragraph" w:customStyle="1" w:styleId="14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Char Char23"/>
    <w:qFormat/>
    <w:uiPriority w:val="0"/>
    <w:rPr>
      <w:kern w:val="2"/>
      <w:sz w:val="24"/>
      <w:szCs w:val="21"/>
      <w:lang w:bidi="ar-SA"/>
    </w:rPr>
  </w:style>
  <w:style w:type="character" w:customStyle="1" w:styleId="149">
    <w:name w:val="Char Char1"/>
    <w:qFormat/>
    <w:uiPriority w:val="0"/>
    <w:rPr>
      <w:rFonts w:hint="eastAsia" w:ascii="宋体" w:hAnsi="宋体" w:eastAsia="宋体"/>
      <w:kern w:val="2"/>
      <w:sz w:val="21"/>
      <w:lang w:val="en-US" w:eastAsia="zh-CN"/>
    </w:rPr>
  </w:style>
  <w:style w:type="character" w:customStyle="1" w:styleId="150">
    <w:name w:val="ca-31"/>
    <w:qFormat/>
    <w:uiPriority w:val="0"/>
    <w:rPr>
      <w:rFonts w:hint="eastAsia" w:ascii="宋体" w:hAnsi="宋体" w:eastAsia="宋体"/>
      <w:color w:val="000000"/>
      <w:sz w:val="21"/>
      <w:szCs w:val="21"/>
    </w:rPr>
  </w:style>
  <w:style w:type="character" w:customStyle="1" w:styleId="151">
    <w:name w:val="wj1"/>
    <w:qFormat/>
    <w:uiPriority w:val="0"/>
    <w:rPr>
      <w:color w:val="000000"/>
      <w:sz w:val="18"/>
      <w:szCs w:val="18"/>
      <w:u w:val="none"/>
    </w:rPr>
  </w:style>
  <w:style w:type="character" w:customStyle="1" w:styleId="152">
    <w:name w:val="Header Char"/>
    <w:qFormat/>
    <w:uiPriority w:val="0"/>
    <w:rPr>
      <w:rFonts w:hint="eastAsia" w:ascii="宋体" w:hAnsi="宋体" w:eastAsia="宋体"/>
      <w:kern w:val="2"/>
      <w:sz w:val="18"/>
      <w:lang w:val="en-US" w:eastAsia="zh-CN"/>
    </w:rPr>
  </w:style>
  <w:style w:type="character" w:customStyle="1" w:styleId="153">
    <w:name w:val="List Paragraph Char"/>
    <w:link w:val="154"/>
    <w:qFormat/>
    <w:locked/>
    <w:uiPriority w:val="99"/>
    <w:rPr>
      <w:rFonts w:ascii="Calibri" w:hAnsi="Calibri"/>
      <w:kern w:val="2"/>
      <w:sz w:val="21"/>
      <w:szCs w:val="22"/>
    </w:rPr>
  </w:style>
  <w:style w:type="paragraph" w:customStyle="1" w:styleId="154">
    <w:name w:val="列出段落11"/>
    <w:basedOn w:val="1"/>
    <w:link w:val="153"/>
    <w:qFormat/>
    <w:uiPriority w:val="99"/>
    <w:pPr>
      <w:ind w:firstLine="200" w:firstLineChars="200"/>
    </w:pPr>
    <w:rPr>
      <w:rFonts w:ascii="Calibri" w:hAnsi="Calibri"/>
      <w:szCs w:val="22"/>
    </w:rPr>
  </w:style>
  <w:style w:type="character" w:customStyle="1" w:styleId="155">
    <w:name w:val="ca-41"/>
    <w:qFormat/>
    <w:uiPriority w:val="0"/>
    <w:rPr>
      <w:rFonts w:hint="eastAsia" w:ascii="宋体" w:hAnsi="宋体" w:eastAsia="宋体"/>
      <w:b/>
      <w:bCs/>
      <w:color w:val="000000"/>
      <w:spacing w:val="-20"/>
      <w:sz w:val="21"/>
      <w:szCs w:val="21"/>
    </w:rPr>
  </w:style>
  <w:style w:type="character" w:customStyle="1" w:styleId="156">
    <w:name w:val="z12 style23"/>
    <w:qFormat/>
    <w:uiPriority w:val="0"/>
  </w:style>
  <w:style w:type="character" w:customStyle="1" w:styleId="157">
    <w:name w:val="段 Char"/>
    <w:link w:val="158"/>
    <w:qFormat/>
    <w:locked/>
    <w:uiPriority w:val="0"/>
    <w:rPr>
      <w:rFonts w:ascii="宋体"/>
      <w:sz w:val="21"/>
      <w:lang w:val="en-US" w:eastAsia="zh-CN" w:bidi="ar-SA"/>
    </w:rPr>
  </w:style>
  <w:style w:type="paragraph" w:customStyle="1" w:styleId="158">
    <w:name w:val="段"/>
    <w:link w:val="1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9">
    <w:name w:val="Heading 4 Char"/>
    <w:qFormat/>
    <w:uiPriority w:val="0"/>
    <w:rPr>
      <w:rFonts w:hint="default" w:ascii="Cambria" w:hAnsi="Cambria" w:eastAsia="宋体" w:cs="Cambria"/>
      <w:b/>
      <w:bCs/>
      <w:sz w:val="28"/>
      <w:szCs w:val="28"/>
      <w:lang w:bidi="ar-SA"/>
    </w:rPr>
  </w:style>
  <w:style w:type="character" w:customStyle="1" w:styleId="160">
    <w:name w:val="Heading 2 Char"/>
    <w:qFormat/>
    <w:uiPriority w:val="0"/>
    <w:rPr>
      <w:rFonts w:hint="default" w:ascii="Arial" w:hAnsi="Arial" w:eastAsia="黑体" w:cs="Arial"/>
      <w:b/>
      <w:bCs/>
      <w:kern w:val="2"/>
      <w:sz w:val="32"/>
      <w:szCs w:val="32"/>
      <w:lang w:val="en-US" w:eastAsia="zh-CN" w:bidi="ar-SA"/>
    </w:rPr>
  </w:style>
  <w:style w:type="character" w:customStyle="1" w:styleId="161">
    <w:name w:val="纯文本 Char_0_0"/>
    <w:link w:val="162"/>
    <w:qFormat/>
    <w:locked/>
    <w:uiPriority w:val="0"/>
    <w:rPr>
      <w:rFonts w:ascii="宋体" w:hAnsi="Courier New"/>
      <w:szCs w:val="21"/>
    </w:rPr>
  </w:style>
  <w:style w:type="paragraph" w:customStyle="1" w:styleId="162">
    <w:name w:val="纯文本_0_0"/>
    <w:basedOn w:val="163"/>
    <w:link w:val="161"/>
    <w:qFormat/>
    <w:uiPriority w:val="0"/>
    <w:rPr>
      <w:rFonts w:ascii="宋体" w:hAnsi="Courier New"/>
      <w:szCs w:val="21"/>
    </w:rPr>
  </w:style>
  <w:style w:type="paragraph" w:customStyle="1" w:styleId="163">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4">
    <w:name w:val="Plain Text Char"/>
    <w:qFormat/>
    <w:locked/>
    <w:uiPriority w:val="0"/>
    <w:rPr>
      <w:rFonts w:ascii="宋体" w:hAnsi="Courier New" w:eastAsia="宋体"/>
      <w:kern w:val="2"/>
      <w:sz w:val="21"/>
      <w:lang w:val="en-US" w:eastAsia="zh-CN" w:bidi="ar-SA"/>
    </w:rPr>
  </w:style>
  <w:style w:type="character" w:customStyle="1" w:styleId="165">
    <w:name w:val="正文缩进 Char1_0"/>
    <w:link w:val="166"/>
    <w:qFormat/>
    <w:locked/>
    <w:uiPriority w:val="0"/>
    <w:rPr>
      <w:kern w:val="2"/>
      <w:sz w:val="21"/>
      <w:szCs w:val="22"/>
    </w:rPr>
  </w:style>
  <w:style w:type="paragraph" w:customStyle="1" w:styleId="166">
    <w:name w:val="正文缩进_0"/>
    <w:basedOn w:val="147"/>
    <w:link w:val="165"/>
    <w:qFormat/>
    <w:uiPriority w:val="0"/>
    <w:pPr>
      <w:ind w:firstLine="420" w:firstLineChars="200"/>
    </w:pPr>
    <w:rPr>
      <w:szCs w:val="22"/>
    </w:rPr>
  </w:style>
  <w:style w:type="character" w:customStyle="1" w:styleId="167">
    <w:name w:val="Char Char3"/>
    <w:qFormat/>
    <w:uiPriority w:val="0"/>
    <w:rPr>
      <w:rFonts w:hint="default" w:ascii="Arial" w:hAnsi="Arial" w:eastAsia="黑体" w:cs="Times New Roman"/>
      <w:b/>
      <w:bCs/>
      <w:kern w:val="2"/>
      <w:sz w:val="32"/>
      <w:szCs w:val="32"/>
      <w:lang w:val="en-US" w:eastAsia="zh-CN" w:bidi="ar-SA"/>
    </w:rPr>
  </w:style>
  <w:style w:type="character" w:customStyle="1" w:styleId="168">
    <w:name w:val="Font Style29"/>
    <w:qFormat/>
    <w:uiPriority w:val="0"/>
    <w:rPr>
      <w:rFonts w:ascii="Arial" w:hAnsi="Arial" w:cs="Arial"/>
      <w:sz w:val="14"/>
      <w:szCs w:val="14"/>
    </w:rPr>
  </w:style>
  <w:style w:type="character" w:customStyle="1" w:styleId="169">
    <w:name w:val="font21"/>
    <w:qFormat/>
    <w:uiPriority w:val="0"/>
    <w:rPr>
      <w:rFonts w:hint="default" w:ascii="Times New Roman" w:hAnsi="Times New Roman" w:cs="Times New Roman"/>
      <w:color w:val="000000"/>
      <w:sz w:val="20"/>
      <w:u w:val="none"/>
    </w:rPr>
  </w:style>
  <w:style w:type="character" w:customStyle="1" w:styleId="170">
    <w:name w:val="Font Style36"/>
    <w:qFormat/>
    <w:uiPriority w:val="0"/>
    <w:rPr>
      <w:rFonts w:ascii="宋体" w:eastAsia="宋体" w:cs="宋体"/>
      <w:sz w:val="16"/>
      <w:szCs w:val="16"/>
    </w:rPr>
  </w:style>
  <w:style w:type="character" w:customStyle="1" w:styleId="171">
    <w:name w:val="maywed421"/>
    <w:qFormat/>
    <w:uiPriority w:val="0"/>
    <w:rPr>
      <w:color w:val="366FB6"/>
      <w:u w:val="none"/>
    </w:rPr>
  </w:style>
  <w:style w:type="character" w:customStyle="1" w:styleId="172">
    <w:name w:val="ca-01"/>
    <w:qFormat/>
    <w:uiPriority w:val="0"/>
    <w:rPr>
      <w:rFonts w:hint="eastAsia" w:ascii="宋体" w:hAnsi="宋体" w:eastAsia="宋体"/>
      <w:b/>
      <w:bCs/>
      <w:spacing w:val="-20"/>
      <w:sz w:val="24"/>
      <w:szCs w:val="24"/>
    </w:rPr>
  </w:style>
  <w:style w:type="character" w:customStyle="1" w:styleId="173">
    <w:name w:val="正文文本 Char1"/>
    <w:qFormat/>
    <w:uiPriority w:val="0"/>
    <w:rPr>
      <w:rFonts w:ascii="华文彩云" w:hAnsi="宋体" w:eastAsia="华文彩云"/>
      <w:bCs/>
      <w:color w:val="000000"/>
      <w:kern w:val="2"/>
      <w:sz w:val="28"/>
      <w:szCs w:val="24"/>
    </w:rPr>
  </w:style>
  <w:style w:type="character" w:customStyle="1" w:styleId="174">
    <w:name w:val="正文（编号） Char Char"/>
    <w:link w:val="175"/>
    <w:qFormat/>
    <w:locked/>
    <w:uiPriority w:val="0"/>
    <w:rPr>
      <w:kern w:val="2"/>
      <w:sz w:val="24"/>
      <w:szCs w:val="24"/>
    </w:rPr>
  </w:style>
  <w:style w:type="paragraph" w:customStyle="1" w:styleId="175">
    <w:name w:val="正文（编号）"/>
    <w:basedOn w:val="176"/>
    <w:link w:val="174"/>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6">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7">
    <w:name w:val="正文（缩进） Char Char"/>
    <w:uiPriority w:val="0"/>
    <w:rPr>
      <w:rFonts w:hint="eastAsia" w:ascii="宋体" w:hAnsi="宋体" w:eastAsia="宋体"/>
      <w:kern w:val="2"/>
      <w:sz w:val="24"/>
      <w:szCs w:val="24"/>
      <w:lang w:val="en-US" w:eastAsia="zh-CN" w:bidi="ar-SA"/>
    </w:rPr>
  </w:style>
  <w:style w:type="character" w:customStyle="1" w:styleId="178">
    <w:name w:val="Footer Char"/>
    <w:qFormat/>
    <w:uiPriority w:val="0"/>
    <w:rPr>
      <w:rFonts w:hint="eastAsia" w:ascii="宋体" w:hAnsi="宋体" w:eastAsia="宋体"/>
      <w:kern w:val="2"/>
      <w:sz w:val="18"/>
      <w:lang w:val="en-US" w:eastAsia="zh-CN"/>
    </w:rPr>
  </w:style>
  <w:style w:type="character" w:customStyle="1" w:styleId="179">
    <w:name w:val="批注文字 Char2"/>
    <w:qFormat/>
    <w:uiPriority w:val="0"/>
    <w:rPr>
      <w:kern w:val="2"/>
      <w:sz w:val="21"/>
      <w:szCs w:val="24"/>
    </w:rPr>
  </w:style>
  <w:style w:type="character" w:customStyle="1" w:styleId="180">
    <w:name w:val="纯文本 Char_1"/>
    <w:link w:val="181"/>
    <w:qFormat/>
    <w:locked/>
    <w:uiPriority w:val="0"/>
    <w:rPr>
      <w:rFonts w:ascii="Calibri" w:hAnsi="Calibri"/>
      <w:kern w:val="2"/>
      <w:sz w:val="21"/>
      <w:szCs w:val="22"/>
    </w:rPr>
  </w:style>
  <w:style w:type="paragraph" w:customStyle="1" w:styleId="181">
    <w:name w:val="纯文本_1"/>
    <w:basedOn w:val="1"/>
    <w:link w:val="180"/>
    <w:qFormat/>
    <w:uiPriority w:val="0"/>
    <w:rPr>
      <w:rFonts w:ascii="Calibri" w:hAnsi="Calibri"/>
      <w:szCs w:val="22"/>
    </w:rPr>
  </w:style>
  <w:style w:type="character" w:customStyle="1" w:styleId="182">
    <w:name w:val="Char Char"/>
    <w:qFormat/>
    <w:uiPriority w:val="0"/>
    <w:rPr>
      <w:rFonts w:hint="eastAsia" w:ascii="宋体" w:hAnsi="宋体" w:eastAsia="宋体"/>
      <w:kern w:val="2"/>
      <w:sz w:val="18"/>
      <w:lang w:val="en-US" w:eastAsia="zh-CN"/>
    </w:rPr>
  </w:style>
  <w:style w:type="character" w:customStyle="1" w:styleId="183">
    <w:name w:val="Plain Text Char1"/>
    <w:qFormat/>
    <w:uiPriority w:val="0"/>
    <w:rPr>
      <w:rFonts w:hint="eastAsia" w:ascii="宋体" w:hAnsi="宋体" w:eastAsia="宋体"/>
      <w:kern w:val="2"/>
      <w:sz w:val="21"/>
      <w:szCs w:val="21"/>
      <w:lang w:val="en-US" w:eastAsia="zh-CN" w:bidi="ar-SA"/>
    </w:rPr>
  </w:style>
  <w:style w:type="character" w:customStyle="1" w:styleId="184">
    <w:name w:val="ca-51"/>
    <w:qFormat/>
    <w:uiPriority w:val="0"/>
    <w:rPr>
      <w:rFonts w:hint="eastAsia" w:ascii="楷体_GB2312" w:eastAsia="楷体_GB2312"/>
      <w:b/>
      <w:bCs/>
      <w:spacing w:val="-20"/>
      <w:sz w:val="24"/>
      <w:szCs w:val="24"/>
    </w:rPr>
  </w:style>
  <w:style w:type="character" w:customStyle="1" w:styleId="185">
    <w:name w:val="正文文本_"/>
    <w:link w:val="186"/>
    <w:locked/>
    <w:uiPriority w:val="99"/>
    <w:rPr>
      <w:rFonts w:ascii="宋体" w:hAnsi="宋体"/>
      <w:sz w:val="22"/>
      <w:lang w:val="zh-CN"/>
    </w:rPr>
  </w:style>
  <w:style w:type="paragraph" w:customStyle="1" w:styleId="186">
    <w:name w:val="正文文本1"/>
    <w:basedOn w:val="1"/>
    <w:link w:val="185"/>
    <w:qFormat/>
    <w:uiPriority w:val="99"/>
    <w:pPr>
      <w:spacing w:line="432" w:lineRule="auto"/>
      <w:jc w:val="left"/>
    </w:pPr>
    <w:rPr>
      <w:rFonts w:ascii="宋体" w:hAnsi="宋体"/>
      <w:kern w:val="0"/>
      <w:sz w:val="22"/>
      <w:szCs w:val="20"/>
      <w:lang w:val="zh-CN"/>
    </w:rPr>
  </w:style>
  <w:style w:type="character" w:customStyle="1" w:styleId="187">
    <w:name w:val="Heading 3 Char"/>
    <w:qFormat/>
    <w:uiPriority w:val="0"/>
    <w:rPr>
      <w:rFonts w:hint="default" w:ascii="Times New Roman" w:hAnsi="Times New Roman" w:cs="Times New Roman"/>
      <w:b/>
      <w:bCs/>
      <w:sz w:val="32"/>
      <w:szCs w:val="32"/>
      <w:lang w:bidi="ar-SA"/>
    </w:rPr>
  </w:style>
  <w:style w:type="character" w:customStyle="1" w:styleId="188">
    <w:name w:val="ca-11"/>
    <w:qFormat/>
    <w:uiPriority w:val="0"/>
    <w:rPr>
      <w:rFonts w:hint="eastAsia" w:ascii="宋体" w:hAnsi="宋体" w:eastAsia="宋体"/>
      <w:b/>
      <w:bCs/>
      <w:color w:val="000000"/>
      <w:spacing w:val="-20"/>
      <w:sz w:val="28"/>
      <w:szCs w:val="28"/>
    </w:rPr>
  </w:style>
  <w:style w:type="character" w:customStyle="1" w:styleId="189">
    <w:name w:val="z1"/>
    <w:qFormat/>
    <w:uiPriority w:val="0"/>
  </w:style>
  <w:style w:type="character" w:customStyle="1" w:styleId="190">
    <w:name w:val="正文（标记） Char2"/>
    <w:link w:val="191"/>
    <w:locked/>
    <w:uiPriority w:val="0"/>
    <w:rPr>
      <w:kern w:val="2"/>
      <w:sz w:val="24"/>
      <w:szCs w:val="24"/>
    </w:rPr>
  </w:style>
  <w:style w:type="paragraph" w:customStyle="1" w:styleId="191">
    <w:name w:val="正文（标记）"/>
    <w:basedOn w:val="1"/>
    <w:link w:val="190"/>
    <w:qFormat/>
    <w:uiPriority w:val="0"/>
    <w:pPr>
      <w:tabs>
        <w:tab w:val="left" w:pos="0"/>
        <w:tab w:val="left" w:pos="840"/>
      </w:tabs>
      <w:spacing w:beforeLines="50" w:afterLines="50"/>
    </w:pPr>
    <w:rPr>
      <w:sz w:val="24"/>
    </w:rPr>
  </w:style>
  <w:style w:type="character" w:customStyle="1" w:styleId="192">
    <w:name w:val="Header Char1"/>
    <w:qFormat/>
    <w:uiPriority w:val="0"/>
    <w:rPr>
      <w:rFonts w:hint="default" w:ascii="Times New Roman" w:hAnsi="Times New Roman" w:cs="Times New Roman"/>
      <w:sz w:val="18"/>
      <w:szCs w:val="18"/>
      <w:lang w:bidi="ar-SA"/>
    </w:rPr>
  </w:style>
  <w:style w:type="character" w:customStyle="1" w:styleId="193">
    <w:name w:val="Font Style37"/>
    <w:qFormat/>
    <w:uiPriority w:val="0"/>
    <w:rPr>
      <w:rFonts w:ascii="Arial" w:hAnsi="Arial" w:cs="Arial"/>
      <w:sz w:val="16"/>
      <w:szCs w:val="16"/>
    </w:rPr>
  </w:style>
  <w:style w:type="character" w:customStyle="1" w:styleId="194">
    <w:name w:val="Char Char2"/>
    <w:qFormat/>
    <w:uiPriority w:val="0"/>
    <w:rPr>
      <w:kern w:val="2"/>
      <w:sz w:val="18"/>
      <w:szCs w:val="18"/>
    </w:rPr>
  </w:style>
  <w:style w:type="character" w:customStyle="1" w:styleId="195">
    <w:name w:val="Font Style28"/>
    <w:qFormat/>
    <w:uiPriority w:val="0"/>
    <w:rPr>
      <w:rFonts w:ascii="Constantia" w:hAnsi="Constantia" w:cs="Constantia"/>
      <w:sz w:val="28"/>
      <w:szCs w:val="28"/>
    </w:rPr>
  </w:style>
  <w:style w:type="character" w:customStyle="1" w:styleId="196">
    <w:name w:val="style15"/>
    <w:uiPriority w:val="0"/>
  </w:style>
  <w:style w:type="character" w:customStyle="1" w:styleId="197">
    <w:name w:val="+正文 Char3"/>
    <w:link w:val="198"/>
    <w:qFormat/>
    <w:uiPriority w:val="0"/>
    <w:rPr>
      <w:rFonts w:ascii="Calibri" w:hAnsi="Calibri"/>
      <w:kern w:val="2"/>
      <w:sz w:val="24"/>
      <w:szCs w:val="28"/>
    </w:rPr>
  </w:style>
  <w:style w:type="paragraph" w:customStyle="1" w:styleId="198">
    <w:name w:val="+正文"/>
    <w:basedOn w:val="1"/>
    <w:link w:val="197"/>
    <w:qFormat/>
    <w:uiPriority w:val="0"/>
    <w:pPr>
      <w:spacing w:line="360" w:lineRule="auto"/>
      <w:ind w:firstLine="200" w:firstLineChars="200"/>
    </w:pPr>
    <w:rPr>
      <w:rFonts w:ascii="Calibri" w:hAnsi="Calibri"/>
      <w:sz w:val="24"/>
      <w:szCs w:val="28"/>
    </w:rPr>
  </w:style>
  <w:style w:type="character" w:customStyle="1" w:styleId="199">
    <w:name w:val="Footer Char1"/>
    <w:qFormat/>
    <w:uiPriority w:val="0"/>
    <w:rPr>
      <w:rFonts w:hint="default" w:ascii="Times New Roman" w:hAnsi="Times New Roman" w:cs="Times New Roman"/>
      <w:sz w:val="18"/>
      <w:szCs w:val="18"/>
      <w:lang w:bidi="ar-SA"/>
    </w:rPr>
  </w:style>
  <w:style w:type="character" w:customStyle="1" w:styleId="200">
    <w:name w:val="Font Style30"/>
    <w:qFormat/>
    <w:uiPriority w:val="0"/>
    <w:rPr>
      <w:rFonts w:ascii="宋体" w:eastAsia="宋体" w:cs="宋体"/>
      <w:sz w:val="14"/>
      <w:szCs w:val="14"/>
    </w:rPr>
  </w:style>
  <w:style w:type="character" w:customStyle="1" w:styleId="201">
    <w:name w:val="ca-21"/>
    <w:qFormat/>
    <w:uiPriority w:val="0"/>
    <w:rPr>
      <w:rFonts w:hint="eastAsia" w:ascii="宋体" w:hAnsi="宋体" w:eastAsia="宋体"/>
      <w:sz w:val="21"/>
    </w:rPr>
  </w:style>
  <w:style w:type="character" w:customStyle="1" w:styleId="202">
    <w:name w:val="超链接_0"/>
    <w:qFormat/>
    <w:uiPriority w:val="99"/>
    <w:rPr>
      <w:rFonts w:hint="default" w:ascii="Calibri" w:hAnsi="Calibri"/>
      <w:color w:val="0000FF"/>
      <w:u w:val="single"/>
    </w:rPr>
  </w:style>
  <w:style w:type="character" w:customStyle="1" w:styleId="203">
    <w:name w:val="marklong"/>
    <w:uiPriority w:val="0"/>
  </w:style>
  <w:style w:type="character" w:customStyle="1" w:styleId="204">
    <w:name w:val="style161"/>
    <w:qFormat/>
    <w:uiPriority w:val="0"/>
    <w:rPr>
      <w:rFonts w:hint="default" w:ascii="Verdana" w:hAnsi="Verdana" w:eastAsia="宋体"/>
      <w:b/>
      <w:color w:val="0A246A"/>
      <w:sz w:val="24"/>
      <w:szCs w:val="24"/>
      <w:lang w:val="en-US" w:eastAsia="zh-CN" w:bidi="ar-SA"/>
    </w:rPr>
  </w:style>
  <w:style w:type="character" w:customStyle="1" w:styleId="205">
    <w:name w:val="其他_"/>
    <w:link w:val="206"/>
    <w:qFormat/>
    <w:locked/>
    <w:uiPriority w:val="99"/>
    <w:rPr>
      <w:rFonts w:ascii="宋体" w:hAnsi="宋体"/>
      <w:sz w:val="22"/>
      <w:lang w:val="zh-CN"/>
    </w:rPr>
  </w:style>
  <w:style w:type="paragraph" w:customStyle="1" w:styleId="206">
    <w:name w:val="其他"/>
    <w:basedOn w:val="1"/>
    <w:link w:val="205"/>
    <w:qFormat/>
    <w:uiPriority w:val="99"/>
    <w:pPr>
      <w:spacing w:line="432" w:lineRule="auto"/>
      <w:jc w:val="left"/>
    </w:pPr>
    <w:rPr>
      <w:rFonts w:ascii="宋体" w:hAnsi="宋体"/>
      <w:kern w:val="0"/>
      <w:sz w:val="22"/>
      <w:szCs w:val="20"/>
      <w:lang w:val="zh-CN"/>
    </w:rPr>
  </w:style>
  <w:style w:type="character" w:customStyle="1" w:styleId="207">
    <w:name w:val="question-title"/>
    <w:uiPriority w:val="0"/>
  </w:style>
  <w:style w:type="character" w:customStyle="1" w:styleId="208">
    <w:name w:val="标题 2 Char Char Char"/>
    <w:qFormat/>
    <w:uiPriority w:val="0"/>
    <w:rPr>
      <w:rFonts w:hint="default" w:ascii="Arial" w:hAnsi="Arial" w:eastAsia="宋体" w:cs="Arial"/>
      <w:b/>
      <w:bCs/>
      <w:i/>
      <w:iCs/>
      <w:sz w:val="28"/>
      <w:szCs w:val="28"/>
      <w:lang w:val="en-US" w:eastAsia="zh-CN" w:bidi="ar-SA"/>
    </w:rPr>
  </w:style>
  <w:style w:type="character" w:customStyle="1" w:styleId="209">
    <w:name w:val="段落 Char"/>
    <w:uiPriority w:val="0"/>
    <w:rPr>
      <w:rFonts w:hint="eastAsia" w:ascii="仿宋_GB2312" w:eastAsia="仿宋_GB2312"/>
      <w:kern w:val="2"/>
      <w:sz w:val="24"/>
      <w:szCs w:val="24"/>
      <w:lang w:val="en-US" w:eastAsia="zh-CN" w:bidi="ar-SA"/>
    </w:rPr>
  </w:style>
  <w:style w:type="paragraph" w:customStyle="1" w:styleId="210">
    <w:name w:val="pa-4"/>
    <w:basedOn w:val="1"/>
    <w:qFormat/>
    <w:uiPriority w:val="0"/>
    <w:pPr>
      <w:widowControl/>
      <w:spacing w:line="280" w:lineRule="atLeast"/>
      <w:jc w:val="center"/>
    </w:pPr>
    <w:rPr>
      <w:rFonts w:ascii="宋体" w:hAnsi="Calibri" w:cs="宋体"/>
      <w:kern w:val="0"/>
      <w:sz w:val="24"/>
      <w:szCs w:val="22"/>
    </w:rPr>
  </w:style>
  <w:style w:type="paragraph" w:customStyle="1" w:styleId="211">
    <w:name w:val="_Style 56"/>
    <w:basedOn w:val="19"/>
    <w:uiPriority w:val="0"/>
    <w:pPr>
      <w:spacing w:line="436" w:lineRule="exact"/>
    </w:pPr>
    <w:rPr>
      <w:szCs w:val="20"/>
    </w:rPr>
  </w:style>
  <w:style w:type="paragraph" w:customStyle="1" w:styleId="212">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3">
    <w:name w:val="Char Char Char Char Char Char Char1 Char"/>
    <w:basedOn w:val="1"/>
    <w:qFormat/>
    <w:uiPriority w:val="0"/>
    <w:rPr>
      <w:rFonts w:ascii="Tahoma" w:hAnsi="Tahoma"/>
      <w:sz w:val="24"/>
      <w:szCs w:val="20"/>
    </w:rPr>
  </w:style>
  <w:style w:type="paragraph" w:customStyle="1" w:styleId="214">
    <w:name w:val="三级条标题"/>
    <w:basedOn w:val="215"/>
    <w:next w:val="158"/>
    <w:qFormat/>
    <w:uiPriority w:val="0"/>
    <w:pPr>
      <w:ind w:left="1050"/>
      <w:outlineLvl w:val="4"/>
    </w:pPr>
  </w:style>
  <w:style w:type="paragraph" w:customStyle="1" w:styleId="215">
    <w:name w:val="二级条标题"/>
    <w:basedOn w:val="216"/>
    <w:next w:val="158"/>
    <w:qFormat/>
    <w:uiPriority w:val="0"/>
    <w:pPr>
      <w:ind w:left="360"/>
      <w:outlineLvl w:val="3"/>
    </w:pPr>
  </w:style>
  <w:style w:type="paragraph" w:customStyle="1" w:styleId="216">
    <w:name w:val="一级条标题"/>
    <w:next w:val="158"/>
    <w:qFormat/>
    <w:uiPriority w:val="0"/>
    <w:pPr>
      <w:outlineLvl w:val="2"/>
    </w:pPr>
    <w:rPr>
      <w:rFonts w:ascii="Times New Roman" w:hAnsi="Times New Roman" w:eastAsia="黑体" w:cs="Times New Roman"/>
      <w:sz w:val="21"/>
      <w:lang w:val="en-US" w:eastAsia="zh-CN" w:bidi="ar-SA"/>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8">
    <w:name w:val="HTML 地址 Char1"/>
    <w:semiHidden/>
    <w:qFormat/>
    <w:uiPriority w:val="0"/>
    <w:rPr>
      <w:i/>
      <w:iCs/>
      <w:kern w:val="2"/>
      <w:sz w:val="21"/>
      <w:szCs w:val="24"/>
    </w:rPr>
  </w:style>
  <w:style w:type="paragraph" w:customStyle="1" w:styleId="219">
    <w:name w:val="技术方案正文"/>
    <w:basedOn w:val="1"/>
    <w:qFormat/>
    <w:uiPriority w:val="0"/>
    <w:pPr>
      <w:spacing w:line="360" w:lineRule="auto"/>
      <w:ind w:firstLine="480"/>
    </w:pPr>
    <w:rPr>
      <w:rFonts w:ascii="宋体" w:hAnsi="Calibri"/>
      <w:sz w:val="24"/>
      <w:szCs w:val="22"/>
    </w:rPr>
  </w:style>
  <w:style w:type="paragraph" w:customStyle="1" w:styleId="220">
    <w:name w:val="序号-----------"/>
    <w:basedOn w:val="1"/>
    <w:qFormat/>
    <w:uiPriority w:val="0"/>
    <w:pPr>
      <w:widowControl/>
      <w:jc w:val="left"/>
    </w:pPr>
    <w:rPr>
      <w:rFonts w:ascii="宋体" w:hAnsi="Calibri"/>
      <w:bCs/>
      <w:kern w:val="0"/>
      <w:szCs w:val="21"/>
    </w:rPr>
  </w:style>
  <w:style w:type="paragraph" w:customStyle="1" w:styleId="221">
    <w:name w:val="Normal_6"/>
    <w:qFormat/>
    <w:uiPriority w:val="0"/>
    <w:rPr>
      <w:rFonts w:ascii="黑体" w:hAnsi="黑体" w:eastAsia="黑体" w:cs="Times New Roman"/>
      <w:b/>
      <w:sz w:val="32"/>
      <w:szCs w:val="24"/>
      <w:lang w:val="en-US" w:eastAsia="zh-CN" w:bidi="ar-SA"/>
    </w:rPr>
  </w:style>
  <w:style w:type="character" w:customStyle="1" w:styleId="222">
    <w:name w:val="脚注文本 Char1"/>
    <w:semiHidden/>
    <w:qFormat/>
    <w:uiPriority w:val="0"/>
    <w:rPr>
      <w:kern w:val="2"/>
      <w:sz w:val="18"/>
      <w:szCs w:val="18"/>
    </w:rPr>
  </w:style>
  <w:style w:type="paragraph" w:customStyle="1" w:styleId="22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5">
    <w:name w:val="正文文本缩进 2 Char1"/>
    <w:semiHidden/>
    <w:qFormat/>
    <w:uiPriority w:val="0"/>
    <w:rPr>
      <w:kern w:val="2"/>
      <w:sz w:val="21"/>
      <w:szCs w:val="24"/>
    </w:rPr>
  </w:style>
  <w:style w:type="paragraph" w:customStyle="1" w:styleId="226">
    <w:name w:val="Normal_0_3"/>
    <w:qFormat/>
    <w:uiPriority w:val="0"/>
    <w:rPr>
      <w:rFonts w:ascii="黑体" w:hAnsi="黑体" w:eastAsia="黑体" w:cs="Times New Roman"/>
      <w:b/>
      <w:sz w:val="32"/>
      <w:szCs w:val="24"/>
      <w:lang w:val="en-US" w:eastAsia="zh-CN" w:bidi="ar-SA"/>
    </w:rPr>
  </w:style>
  <w:style w:type="paragraph" w:customStyle="1" w:styleId="227">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Normal_1_2"/>
    <w:qFormat/>
    <w:uiPriority w:val="0"/>
    <w:rPr>
      <w:rFonts w:ascii="Times New Roman" w:hAnsi="Times New Roman" w:eastAsia="Times New Roman" w:cs="Times New Roman"/>
      <w:sz w:val="24"/>
      <w:szCs w:val="24"/>
      <w:lang w:val="en-US" w:eastAsia="zh-CN" w:bidi="ar-SA"/>
    </w:rPr>
  </w:style>
  <w:style w:type="paragraph" w:customStyle="1" w:styleId="229">
    <w:name w:val="Char"/>
    <w:basedOn w:val="1"/>
    <w:qFormat/>
    <w:uiPriority w:val="0"/>
    <w:pPr>
      <w:tabs>
        <w:tab w:val="left" w:pos="360"/>
      </w:tabs>
    </w:pPr>
    <w:rPr>
      <w:sz w:val="24"/>
    </w:rPr>
  </w:style>
  <w:style w:type="paragraph" w:customStyle="1" w:styleId="230">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2">
    <w:name w:val="Normal_11_0"/>
    <w:qFormat/>
    <w:uiPriority w:val="0"/>
    <w:rPr>
      <w:rFonts w:ascii="黑体" w:hAnsi="黑体" w:eastAsia="黑体" w:cs="Times New Roman"/>
      <w:b/>
      <w:sz w:val="32"/>
      <w:szCs w:val="24"/>
      <w:lang w:val="en-US" w:eastAsia="zh-CN" w:bidi="ar-SA"/>
    </w:rPr>
  </w:style>
  <w:style w:type="paragraph" w:customStyle="1" w:styleId="233">
    <w:name w:val="Char Char Char"/>
    <w:basedOn w:val="1"/>
    <w:qFormat/>
    <w:uiPriority w:val="0"/>
    <w:rPr>
      <w:rFonts w:ascii="Calibri" w:hAnsi="Calibri"/>
      <w:szCs w:val="21"/>
    </w:rPr>
  </w:style>
  <w:style w:type="paragraph" w:customStyle="1" w:styleId="234">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Normal_0_1"/>
    <w:qFormat/>
    <w:uiPriority w:val="0"/>
    <w:rPr>
      <w:rFonts w:ascii="黑体" w:hAnsi="黑体" w:eastAsia="黑体" w:cs="Times New Roman"/>
      <w:b/>
      <w:sz w:val="32"/>
      <w:szCs w:val="24"/>
      <w:lang w:val="en-US" w:eastAsia="zh-CN" w:bidi="ar-SA"/>
    </w:rPr>
  </w:style>
  <w:style w:type="character" w:customStyle="1" w:styleId="236">
    <w:name w:val="标题 Char1"/>
    <w:qFormat/>
    <w:uiPriority w:val="10"/>
    <w:rPr>
      <w:rFonts w:ascii="Cambria" w:hAnsi="Cambria" w:cs="Times New Roman"/>
      <w:b/>
      <w:bCs/>
      <w:kern w:val="2"/>
      <w:sz w:val="32"/>
      <w:szCs w:val="32"/>
    </w:rPr>
  </w:style>
  <w:style w:type="paragraph" w:customStyle="1" w:styleId="237">
    <w:name w:val="默认段落字体 Para Char Char Char Char Char Char Char Char Char1"/>
    <w:basedOn w:val="1"/>
    <w:qFormat/>
    <w:uiPriority w:val="0"/>
    <w:rPr>
      <w:rFonts w:ascii="Tahoma" w:hAnsi="Tahoma"/>
      <w:sz w:val="24"/>
      <w:szCs w:val="20"/>
    </w:rPr>
  </w:style>
  <w:style w:type="paragraph" w:customStyle="1" w:styleId="238">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0">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2">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3">
    <w:name w:val="正文首行缩进 2 Char1"/>
    <w:semiHidden/>
    <w:qFormat/>
    <w:uiPriority w:val="0"/>
    <w:rPr>
      <w:rFonts w:ascii="Times New Roman" w:hAnsi="Times New Roman" w:eastAsia="宋体" w:cs="Times New Roman"/>
      <w:kern w:val="2"/>
      <w:sz w:val="21"/>
      <w:szCs w:val="24"/>
    </w:rPr>
  </w:style>
  <w:style w:type="character" w:customStyle="1" w:styleId="244">
    <w:name w:val="正文文本 2 Char1"/>
    <w:semiHidden/>
    <w:qFormat/>
    <w:uiPriority w:val="0"/>
    <w:rPr>
      <w:kern w:val="2"/>
      <w:sz w:val="21"/>
      <w:szCs w:val="24"/>
    </w:rPr>
  </w:style>
  <w:style w:type="paragraph" w:customStyle="1" w:styleId="245">
    <w:name w:val="Normal_13_0"/>
    <w:qFormat/>
    <w:uiPriority w:val="0"/>
    <w:rPr>
      <w:rFonts w:ascii="黑体" w:hAnsi="黑体" w:eastAsia="黑体" w:cs="Times New Roman"/>
      <w:b/>
      <w:sz w:val="32"/>
      <w:szCs w:val="24"/>
      <w:lang w:val="en-US" w:eastAsia="zh-CN" w:bidi="ar-SA"/>
    </w:rPr>
  </w:style>
  <w:style w:type="paragraph" w:customStyle="1" w:styleId="246">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7">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pa-2"/>
    <w:basedOn w:val="1"/>
    <w:qFormat/>
    <w:uiPriority w:val="0"/>
    <w:pPr>
      <w:widowControl/>
      <w:spacing w:line="360" w:lineRule="atLeast"/>
    </w:pPr>
    <w:rPr>
      <w:rFonts w:ascii="宋体" w:hAnsi="Calibri" w:cs="宋体"/>
      <w:kern w:val="0"/>
      <w:sz w:val="24"/>
      <w:szCs w:val="22"/>
    </w:rPr>
  </w:style>
  <w:style w:type="paragraph" w:customStyle="1" w:styleId="250">
    <w:name w:val="Normal_20"/>
    <w:qFormat/>
    <w:uiPriority w:val="0"/>
    <w:rPr>
      <w:rFonts w:ascii="黑体" w:hAnsi="黑体" w:eastAsia="黑体" w:cs="Times New Roman"/>
      <w:b/>
      <w:sz w:val="32"/>
      <w:szCs w:val="24"/>
      <w:lang w:val="en-US" w:eastAsia="zh-CN" w:bidi="ar-SA"/>
    </w:rPr>
  </w:style>
  <w:style w:type="paragraph" w:customStyle="1" w:styleId="251">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3">
    <w:name w:val="HTML 预设格式 Char1"/>
    <w:semiHidden/>
    <w:qFormat/>
    <w:uiPriority w:val="0"/>
    <w:rPr>
      <w:rFonts w:ascii="Courier New" w:hAnsi="Courier New" w:cs="Courier New"/>
      <w:kern w:val="2"/>
    </w:rPr>
  </w:style>
  <w:style w:type="paragraph" w:customStyle="1" w:styleId="254">
    <w:name w:val="篇名"/>
    <w:next w:val="2"/>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5">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6">
    <w:name w:val="尾注文本 Char1"/>
    <w:semiHidden/>
    <w:qFormat/>
    <w:uiPriority w:val="0"/>
    <w:rPr>
      <w:kern w:val="2"/>
      <w:sz w:val="21"/>
      <w:szCs w:val="24"/>
    </w:rPr>
  </w:style>
  <w:style w:type="paragraph" w:customStyle="1" w:styleId="257">
    <w:name w:val="Normal_17"/>
    <w:qFormat/>
    <w:uiPriority w:val="0"/>
    <w:rPr>
      <w:rFonts w:ascii="黑体" w:hAnsi="黑体" w:eastAsia="黑体" w:cs="Times New Roman"/>
      <w:b/>
      <w:sz w:val="32"/>
      <w:szCs w:val="24"/>
      <w:lang w:val="en-US" w:eastAsia="zh-CN" w:bidi="ar-SA"/>
    </w:rPr>
  </w:style>
  <w:style w:type="paragraph" w:customStyle="1" w:styleId="258">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0">
    <w:name w:val="正文文本 3 Char1"/>
    <w:semiHidden/>
    <w:qFormat/>
    <w:uiPriority w:val="0"/>
    <w:rPr>
      <w:kern w:val="2"/>
      <w:sz w:val="16"/>
      <w:szCs w:val="16"/>
    </w:rPr>
  </w:style>
  <w:style w:type="paragraph" w:customStyle="1" w:styleId="26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111"/>
    <w:basedOn w:val="1"/>
    <w:qFormat/>
    <w:uiPriority w:val="0"/>
    <w:pPr>
      <w:tabs>
        <w:tab w:val="left" w:pos="420"/>
      </w:tabs>
      <w:ind w:left="420" w:hanging="420" w:firstLineChars="200"/>
      <w:jc w:val="left"/>
    </w:pPr>
    <w:rPr>
      <w:szCs w:val="20"/>
    </w:rPr>
  </w:style>
  <w:style w:type="paragraph" w:customStyle="1" w:styleId="263">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4">
    <w:name w:val="正文文本缩进 3 Char1"/>
    <w:semiHidden/>
    <w:qFormat/>
    <w:uiPriority w:val="0"/>
    <w:rPr>
      <w:kern w:val="2"/>
      <w:sz w:val="16"/>
      <w:szCs w:val="16"/>
    </w:rPr>
  </w:style>
  <w:style w:type="paragraph" w:customStyle="1" w:styleId="265">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6">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pa-9"/>
    <w:basedOn w:val="1"/>
    <w:qFormat/>
    <w:uiPriority w:val="0"/>
    <w:pPr>
      <w:widowControl/>
      <w:spacing w:line="360" w:lineRule="atLeast"/>
      <w:jc w:val="center"/>
    </w:pPr>
    <w:rPr>
      <w:rFonts w:ascii="宋体" w:hAnsi="Calibri" w:cs="宋体"/>
      <w:kern w:val="0"/>
      <w:sz w:val="24"/>
      <w:szCs w:val="22"/>
    </w:rPr>
  </w:style>
  <w:style w:type="paragraph" w:customStyle="1" w:styleId="268">
    <w:name w:val="pa-6"/>
    <w:basedOn w:val="1"/>
    <w:qFormat/>
    <w:uiPriority w:val="0"/>
    <w:pPr>
      <w:widowControl/>
      <w:spacing w:line="360" w:lineRule="atLeast"/>
    </w:pPr>
    <w:rPr>
      <w:rFonts w:ascii="宋体" w:hAnsi="Calibri"/>
      <w:kern w:val="0"/>
      <w:sz w:val="24"/>
      <w:szCs w:val="20"/>
    </w:rPr>
  </w:style>
  <w:style w:type="character" w:customStyle="1" w:styleId="269">
    <w:name w:val="文档结构图 Char1"/>
    <w:semiHidden/>
    <w:qFormat/>
    <w:uiPriority w:val="0"/>
    <w:rPr>
      <w:rFonts w:ascii="宋体"/>
      <w:kern w:val="2"/>
      <w:sz w:val="18"/>
      <w:szCs w:val="18"/>
    </w:rPr>
  </w:style>
  <w:style w:type="paragraph" w:customStyle="1" w:styleId="270">
    <w:name w:val="Normal_12"/>
    <w:qFormat/>
    <w:uiPriority w:val="0"/>
    <w:rPr>
      <w:rFonts w:ascii="黑体" w:hAnsi="黑体" w:eastAsia="黑体" w:cs="Times New Roman"/>
      <w:b/>
      <w:sz w:val="32"/>
      <w:szCs w:val="24"/>
      <w:lang w:val="en-US" w:eastAsia="zh-CN" w:bidi="ar-SA"/>
    </w:rPr>
  </w:style>
  <w:style w:type="paragraph" w:customStyle="1" w:styleId="27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2">
    <w:name w:val="样式3"/>
    <w:basedOn w:val="4"/>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0"/>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4"/>
    <w:next w:val="158"/>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8"/>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19"/>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0"/>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2"/>
    <w:next w:val="1"/>
    <w:qFormat/>
    <w:uiPriority w:val="0"/>
    <w:pPr>
      <w:adjustRightInd w:val="0"/>
      <w:spacing w:line="578" w:lineRule="atLeast"/>
      <w:jc w:val="left"/>
      <w:textAlignment w:val="baseline"/>
    </w:pPr>
  </w:style>
  <w:style w:type="paragraph" w:customStyle="1" w:styleId="330">
    <w:name w:val="样式6"/>
    <w:basedOn w:val="231"/>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6"/>
    <w:next w:val="15"/>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8"/>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2"/>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6"/>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29"/>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2"/>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4"/>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4"/>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19"/>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5"/>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2"/>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19"/>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2"/>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19"/>
    <w:qFormat/>
    <w:uiPriority w:val="0"/>
    <w:rPr>
      <w:rFonts w:ascii="Tahoma" w:hAnsi="Tahoma"/>
      <w:sz w:val="24"/>
    </w:rPr>
  </w:style>
  <w:style w:type="paragraph" w:customStyle="1" w:styleId="495">
    <w:name w:val="章标题"/>
    <w:next w:val="158"/>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50"/>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6"/>
    <w:next w:val="24"/>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24"/>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3"/>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2"/>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5"/>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4"/>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3"/>
    <w:next w:val="1"/>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2"/>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4"/>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0">
    <w:name w:val="网格型3"/>
    <w:basedOn w:val="64"/>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99C9C-C7C1-4F32-8DD2-9F9F77AD2AC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49</Pages>
  <Words>3668</Words>
  <Characters>20911</Characters>
  <Lines>174</Lines>
  <Paragraphs>49</Paragraphs>
  <TotalTime>1111</TotalTime>
  <ScaleCrop>false</ScaleCrop>
  <LinksUpToDate>false</LinksUpToDate>
  <CharactersWithSpaces>24530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2022-03-07T11:20:00Z</dcterms:created>
  <dc:creator>tao</dc:creator>
  <cp:lastModifiedBy>86188</cp:lastModifiedBy>
  <cp:lastPrinted>2021-09-29T10:02:00Z</cp:lastPrinted>
  <dcterms:modified xsi:type="dcterms:W3CDTF">2024-01-04T01:07:35Z</dcterms:modified>
  <dc:title>港闸区人民法院</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B803712CC6114EE096F91ADFE47B4B17</vt:lpwstr>
  </property>
</Properties>
</file>