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050"/>
          <w:tab w:val="right" w:leader="dot" w:pos="9402"/>
        </w:tabs>
        <w:kinsoku/>
        <w:wordWrap/>
        <w:overflowPunct/>
        <w:topLinePunct w:val="0"/>
        <w:autoSpaceDE/>
        <w:autoSpaceDN/>
        <w:bidi w:val="0"/>
        <w:adjustRightInd/>
        <w:snapToGrid w:val="0"/>
        <w:spacing w:line="360" w:lineRule="auto"/>
        <w:jc w:val="center"/>
        <w:textAlignment w:val="baseline"/>
        <w:rPr>
          <w:rStyle w:val="4"/>
          <w:rFonts w:hint="eastAsia" w:ascii="宋体" w:hAnsi="宋体" w:eastAsia="宋体" w:cs="宋体"/>
          <w:b/>
          <w:color w:val="auto"/>
          <w:w w:val="80"/>
          <w:kern w:val="44"/>
          <w:sz w:val="36"/>
          <w:szCs w:val="36"/>
          <w:highlight w:val="none"/>
        </w:rPr>
      </w:pPr>
      <w:bookmarkStart w:id="0" w:name="_GoBack"/>
      <w:r>
        <w:rPr>
          <w:rStyle w:val="4"/>
          <w:rFonts w:hint="eastAsia" w:ascii="宋体" w:hAnsi="宋体" w:eastAsia="宋体" w:cs="宋体"/>
          <w:b/>
          <w:color w:val="auto"/>
          <w:w w:val="80"/>
          <w:kern w:val="44"/>
          <w:sz w:val="36"/>
          <w:szCs w:val="36"/>
          <w:highlight w:val="none"/>
          <w:lang w:eastAsia="zh-CN"/>
        </w:rPr>
        <w:t>2026年度重点河道生态水位监测与评估项目</w:t>
      </w:r>
      <w:r>
        <w:rPr>
          <w:rStyle w:val="4"/>
          <w:rFonts w:hint="eastAsia" w:ascii="宋体" w:hAnsi="宋体" w:eastAsia="宋体" w:cs="宋体"/>
          <w:b/>
          <w:color w:val="auto"/>
          <w:w w:val="80"/>
          <w:kern w:val="44"/>
          <w:sz w:val="36"/>
          <w:szCs w:val="36"/>
          <w:highlight w:val="none"/>
        </w:rPr>
        <w:t>需求</w:t>
      </w:r>
    </w:p>
    <w:bookmarkEnd w:id="0"/>
    <w:p>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pPr>
        <w:widowControl w:val="0"/>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根据《省水利厅关于进一步加强河湖生态水位（流量）确定与保障工作的通知》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对南通市已确定生态水位的13条河道</w:t>
      </w:r>
      <w:r>
        <w:rPr>
          <w:rFonts w:hint="eastAsia" w:ascii="宋体" w:hAnsi="宋体" w:eastAsia="宋体" w:cs="宋体"/>
          <w:color w:val="auto"/>
          <w:kern w:val="0"/>
          <w:sz w:val="24"/>
          <w:szCs w:val="24"/>
          <w:highlight w:val="none"/>
        </w:rPr>
        <w:t>（九圩港、通吕运河、通启运河、遥望港、新江海河、如海运河、焦港、通扬运河南通段、栟茶运河、北凌河、如泰运河东段、海门河、南凌河）</w:t>
      </w:r>
      <w:r>
        <w:rPr>
          <w:rFonts w:hint="eastAsia" w:ascii="宋体" w:hAnsi="宋体" w:eastAsia="宋体" w:cs="宋体"/>
          <w:color w:val="auto"/>
          <w:kern w:val="0"/>
          <w:sz w:val="24"/>
          <w:szCs w:val="24"/>
          <w:highlight w:val="none"/>
          <w:lang w:val="en-US" w:eastAsia="zh-CN"/>
        </w:rPr>
        <w:t>开展监测与评估，编制季度、年度报告。</w:t>
      </w:r>
    </w:p>
    <w:p>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ascii="Times New Roman" w:eastAsia="宋体"/>
          <w:b/>
          <w:color w:val="auto"/>
          <w:sz w:val="24"/>
          <w:szCs w:val="24"/>
          <w:highlight w:val="none"/>
        </w:rPr>
        <w:t>项目</w:t>
      </w:r>
      <w:r>
        <w:rPr>
          <w:rFonts w:hint="eastAsia" w:eastAsia="宋体"/>
          <w:b/>
          <w:color w:val="auto"/>
          <w:sz w:val="24"/>
          <w:szCs w:val="24"/>
          <w:highlight w:val="none"/>
          <w:lang w:val="en-US" w:eastAsia="zh-CN"/>
        </w:rPr>
        <w:t>实施时间要求</w:t>
      </w:r>
    </w:p>
    <w:p>
      <w:pPr>
        <w:widowControl w:val="0"/>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按季度开展</w:t>
      </w:r>
      <w:r>
        <w:rPr>
          <w:rFonts w:hint="eastAsia" w:ascii="宋体" w:hAnsi="宋体" w:eastAsia="宋体" w:cs="宋体"/>
          <w:color w:val="auto"/>
          <w:kern w:val="0"/>
          <w:sz w:val="24"/>
          <w:szCs w:val="24"/>
          <w:highlight w:val="none"/>
        </w:rPr>
        <w:t>生态水位季度评估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提交评估报告</w:t>
      </w:r>
      <w:r>
        <w:rPr>
          <w:rFonts w:hint="eastAsia" w:ascii="宋体" w:hAnsi="宋体" w:eastAsia="宋体" w:cs="宋体"/>
          <w:color w:val="auto"/>
          <w:kern w:val="0"/>
          <w:sz w:val="24"/>
          <w:szCs w:val="24"/>
          <w:highlight w:val="none"/>
          <w:lang w:eastAsia="zh-CN"/>
        </w:rPr>
        <w:t>；</w:t>
      </w:r>
    </w:p>
    <w:p>
      <w:pPr>
        <w:widowControl w:val="0"/>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highlight w:val="none"/>
        </w:rPr>
        <w:t>年度评估202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底</w:t>
      </w:r>
      <w:r>
        <w:rPr>
          <w:rFonts w:hint="eastAsia" w:ascii="宋体" w:hAnsi="宋体" w:eastAsia="宋体" w:cs="宋体"/>
          <w:color w:val="auto"/>
          <w:kern w:val="0"/>
          <w:sz w:val="24"/>
          <w:szCs w:val="24"/>
          <w:highlight w:val="none"/>
        </w:rPr>
        <w:t>前完成，并将整编的河湖控制断面逐日平均水位资料和年度评价成果报送采购人</w:t>
      </w:r>
      <w:r>
        <w:rPr>
          <w:rFonts w:hint="eastAsia" w:ascii="宋体" w:hAnsi="宋体" w:eastAsia="宋体" w:cs="宋体"/>
          <w:bCs/>
          <w:color w:val="auto"/>
          <w:sz w:val="24"/>
          <w:szCs w:val="24"/>
          <w:highlight w:val="none"/>
          <w:lang w:val="en-US" w:eastAsia="zh-CN"/>
        </w:rPr>
        <w:t>。</w:t>
      </w:r>
    </w:p>
    <w:p>
      <w:pPr>
        <w:spacing w:line="520" w:lineRule="exact"/>
        <w:ind w:right="-26" w:rightChars="-10"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（一）控制断面选择</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选择的控制断面应能满足生态水位监测要求，能够保证成果精度，便于监测和整编。</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（二）监测要求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1.应当遵守相关法律、法规规定，以及水文监测整编相关技术标准规范要求，监测数据要确保真实、准确、有效。</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2.应当使用合格的计量设施，使用的自动监测设施、便携式仪器设备等专用技术装备，应当符合相关标准。</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3.采用在线监测的控制断面，监测频次原则上按24段制报送；非在线监测的控制断面，监测频次原则上不少于1次/日。(尽量与报汛时间同步)</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（三）数据要求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1.逐日水位的确定可根据水文监测规范要求，采用控制断面当日实测数据经计算得到日均水位，必要时采用水文整编数据进行复核。</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2.进行生态水位季度、年度评估。季度评估以每季度整编的河流逐日平均水位成果为基础，评估每季度的生态水位满足程度。年度评估以年度整编的河流逐日平均水位成果为基础，评估年度生态水位保证率。</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（四）评估要求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1.评估范围</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对已发布生态水位的13条重点河道（九圩港、通吕运河、通启运河、遥望港、新江海河、如海运河、焦港、通扬运河南通段、栟茶运河、北凌河、如泰运河东段、海门河、南凌河）编制季度、年度报告。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2.评估断面</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评估断面为已发布的河湖生态水位考核断面。</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3.评估方法</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河流评估时长为日。河湖生态水位保证率为评价时段内大于等于保障目标的逐日平均水位的样本数占评价时段内样本总数的百分比。</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4.评估频次</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按季度整编生态水位监测保障情况，2026年12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底前完成生态水位年度报告，并将整编的河湖控制断面逐日水位资料和年度评价成果报送采购人。</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5.评估报告编制体例</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（1）季度评估报告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①简要说明编制目的和依据。</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②生态水位目标确定情况。</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③评估起讫时间和评估范围。</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④季度评估成果表(详见附件1)。</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（2）年度评估报告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①目的和意义。说明开展河湖生态水位年度评估的目的和重要性。</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②区域概况。包括自然地理、社会经济、河流水系、水资源开发利用情况、河湖控制断面基本情况等。</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③区域生态水位目标确定情况。说明已发布的生态水位目标，生态水位确定、保障、监测、评估等工作开展情况。</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④评估结果。说明评估数据的来源，分析数据的合理性，分析各控制断面本年度水位过程和达标率、得出评估结论。</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⑤保障措施。包括制定和已落实的保障措施。</w:t>
      </w:r>
    </w:p>
    <w:p>
      <w:pPr>
        <w:spacing w:line="520" w:lineRule="exact"/>
        <w:ind w:right="-26" w:rightChars="-10" w:firstLine="480"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⑥附件。河湖生态水位达标评价成果表，详见附件2。</w:t>
      </w:r>
    </w:p>
    <w:p>
      <w:pPr>
        <w:spacing w:line="520" w:lineRule="exact"/>
        <w:ind w:right="-26"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付款方式</w:t>
      </w:r>
    </w:p>
    <w:p>
      <w:pPr>
        <w:widowControl w:val="0"/>
        <w:ind w:firstLine="480" w:firstLineChars="200"/>
        <w:textAlignment w:val="auto"/>
        <w:rPr>
          <w:rFonts w:eastAsia="宋体"/>
          <w:color w:val="auto"/>
          <w:kern w:val="0"/>
          <w:sz w:val="24"/>
          <w:szCs w:val="24"/>
          <w:highlight w:val="none"/>
          <w:lang w:val="zh-CN"/>
        </w:rPr>
      </w:pPr>
      <w:r>
        <w:rPr>
          <w:rFonts w:hint="eastAsia" w:ascii="宋体" w:hAnsi="宋体" w:eastAsia="宋体" w:cs="宋体"/>
          <w:bCs/>
          <w:color w:val="auto"/>
          <w:sz w:val="24"/>
          <w:szCs w:val="24"/>
          <w:highlight w:val="none"/>
        </w:rPr>
        <w:t>1.</w:t>
      </w:r>
      <w:r>
        <w:rPr>
          <w:rFonts w:eastAsia="宋体"/>
          <w:color w:val="auto"/>
          <w:kern w:val="0"/>
          <w:sz w:val="24"/>
          <w:szCs w:val="24"/>
          <w:highlight w:val="none"/>
          <w:lang w:val="zh-CN"/>
        </w:rPr>
        <w:t>合同签订后10个工作日内支付合同价款的</w:t>
      </w:r>
      <w:r>
        <w:rPr>
          <w:rFonts w:hint="eastAsia" w:eastAsia="宋体"/>
          <w:color w:val="auto"/>
          <w:kern w:val="0"/>
          <w:sz w:val="24"/>
          <w:szCs w:val="24"/>
          <w:highlight w:val="none"/>
          <w:lang w:val="en-US" w:eastAsia="zh-CN"/>
        </w:rPr>
        <w:t>65</w:t>
      </w:r>
      <w:r>
        <w:rPr>
          <w:rFonts w:eastAsia="宋体"/>
          <w:color w:val="auto"/>
          <w:kern w:val="0"/>
          <w:sz w:val="24"/>
          <w:szCs w:val="24"/>
          <w:highlight w:val="none"/>
          <w:lang w:val="zh-CN"/>
        </w:rPr>
        <w:t xml:space="preserve">%； </w:t>
      </w:r>
    </w:p>
    <w:p>
      <w:pPr>
        <w:widowControl w:val="0"/>
        <w:ind w:firstLine="480" w:firstLineChars="200"/>
        <w:textAlignment w:val="auto"/>
        <w:rPr>
          <w:rFonts w:hint="eastAsia" w:ascii="宋体" w:hAnsi="宋体" w:eastAsia="宋体" w:cs="宋体"/>
          <w:bCs/>
          <w:color w:val="auto"/>
          <w:sz w:val="24"/>
          <w:szCs w:val="24"/>
          <w:highlight w:val="none"/>
          <w:lang w:val="zh-CN"/>
        </w:rPr>
      </w:pPr>
      <w:r>
        <w:rPr>
          <w:rFonts w:hint="eastAsia" w:eastAsia="宋体"/>
          <w:color w:val="auto"/>
          <w:kern w:val="0"/>
          <w:sz w:val="24"/>
          <w:szCs w:val="24"/>
          <w:highlight w:val="none"/>
          <w:lang w:val="en-US" w:eastAsia="zh-CN"/>
        </w:rPr>
        <w:t>2.</w:t>
      </w:r>
      <w:r>
        <w:rPr>
          <w:rFonts w:hint="eastAsia" w:eastAsia="宋体"/>
          <w:color w:val="auto"/>
          <w:kern w:val="0"/>
          <w:sz w:val="24"/>
          <w:szCs w:val="24"/>
          <w:highlight w:val="none"/>
          <w:lang w:val="zh-CN"/>
        </w:rPr>
        <w:t>项目完成并</w:t>
      </w:r>
      <w:r>
        <w:rPr>
          <w:rFonts w:hint="eastAsia" w:eastAsia="宋体"/>
          <w:color w:val="auto"/>
          <w:kern w:val="0"/>
          <w:sz w:val="24"/>
          <w:szCs w:val="24"/>
          <w:highlight w:val="none"/>
          <w:lang w:val="en-US" w:eastAsia="zh-CN"/>
        </w:rPr>
        <w:t>审核通过</w:t>
      </w:r>
      <w:r>
        <w:rPr>
          <w:rFonts w:hint="eastAsia" w:eastAsia="宋体"/>
          <w:color w:val="auto"/>
          <w:kern w:val="0"/>
          <w:sz w:val="24"/>
          <w:szCs w:val="24"/>
          <w:highlight w:val="none"/>
          <w:lang w:val="zh-CN"/>
        </w:rPr>
        <w:t>后10个工作日内支付余款</w:t>
      </w:r>
      <w:r>
        <w:rPr>
          <w:rFonts w:hint="eastAsia" w:ascii="宋体" w:hAnsi="宋体" w:eastAsia="宋体" w:cs="宋体"/>
          <w:bCs/>
          <w:color w:val="auto"/>
          <w:sz w:val="24"/>
          <w:szCs w:val="24"/>
          <w:highlight w:val="none"/>
          <w:lang w:val="zh-CN"/>
        </w:rPr>
        <w:t>。</w:t>
      </w:r>
    </w:p>
    <w:p>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附件1：</w:t>
      </w:r>
    </w:p>
    <w:p>
      <w:pPr>
        <w:widowControl w:val="0"/>
        <w:ind w:firstLine="520" w:firstLineChars="200"/>
        <w:textAlignment w:val="auto"/>
        <w:rPr>
          <w:rFonts w:hint="eastAsia" w:ascii="宋体" w:hAnsi="宋体" w:eastAsia="宋体" w:cs="宋体"/>
          <w:b/>
          <w:color w:val="auto"/>
          <w:sz w:val="24"/>
          <w:szCs w:val="24"/>
          <w:highlight w:val="none"/>
          <w:lang w:val="zh-CN" w:eastAsia="zh-CN"/>
        </w:rPr>
      </w:pPr>
      <w:r>
        <w:rPr>
          <w:rFonts w:eastAsia="宋体"/>
          <w:color w:val="auto"/>
          <w:highlight w:val="none"/>
        </w:rPr>
        <w:drawing>
          <wp:anchor distT="0" distB="0" distL="114300" distR="114300" simplePos="0" relativeHeight="251659264" behindDoc="0" locked="0" layoutInCell="1" allowOverlap="1">
            <wp:simplePos x="0" y="0"/>
            <wp:positionH relativeFrom="column">
              <wp:posOffset>-101600</wp:posOffset>
            </wp:positionH>
            <wp:positionV relativeFrom="page">
              <wp:posOffset>4327525</wp:posOffset>
            </wp:positionV>
            <wp:extent cx="5757545" cy="2102485"/>
            <wp:effectExtent l="0" t="0" r="8255" b="5715"/>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stretch>
                      <a:fillRect/>
                    </a:stretch>
                  </pic:blipFill>
                  <pic:spPr>
                    <a:xfrm>
                      <a:off x="0" y="0"/>
                      <a:ext cx="5757545" cy="2102485"/>
                    </a:xfrm>
                    <a:prstGeom prst="rect">
                      <a:avLst/>
                    </a:prstGeom>
                    <a:noFill/>
                    <a:ln>
                      <a:noFill/>
                    </a:ln>
                  </pic:spPr>
                </pic:pic>
              </a:graphicData>
            </a:graphic>
          </wp:anchor>
        </w:drawing>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rPr>
          <w:rFonts w:hint="eastAsia" w:ascii="宋体" w:hAnsi="宋体" w:eastAsia="宋体" w:cs="宋体"/>
          <w:b/>
          <w:color w:val="auto"/>
          <w:sz w:val="24"/>
          <w:szCs w:val="24"/>
          <w:highlight w:val="none"/>
          <w:lang w:val="en-US" w:eastAsia="zh-CN"/>
        </w:rPr>
      </w:pPr>
      <w:r>
        <w:rPr>
          <w:rFonts w:eastAsia="宋体"/>
          <w:color w:val="auto"/>
          <w:highlight w:val="none"/>
        </w:rPr>
        <w:drawing>
          <wp:anchor distT="0" distB="0" distL="114300" distR="114300" simplePos="0" relativeHeight="251660288" behindDoc="0" locked="0" layoutInCell="1" allowOverlap="1">
            <wp:simplePos x="0" y="0"/>
            <wp:positionH relativeFrom="column">
              <wp:posOffset>-242570</wp:posOffset>
            </wp:positionH>
            <wp:positionV relativeFrom="paragraph">
              <wp:posOffset>909320</wp:posOffset>
            </wp:positionV>
            <wp:extent cx="5750560" cy="3195955"/>
            <wp:effectExtent l="0" t="0" r="2540" b="4445"/>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a:stretch>
                      <a:fillRect/>
                    </a:stretch>
                  </pic:blipFill>
                  <pic:spPr>
                    <a:xfrm>
                      <a:off x="0" y="0"/>
                      <a:ext cx="5750560" cy="3195955"/>
                    </a:xfrm>
                    <a:prstGeom prst="rect">
                      <a:avLst/>
                    </a:prstGeom>
                    <a:noFill/>
                    <a:ln>
                      <a:noFill/>
                    </a:ln>
                  </pic:spPr>
                </pic:pic>
              </a:graphicData>
            </a:graphic>
          </wp:anchor>
        </w:drawing>
      </w:r>
      <w:r>
        <w:rPr>
          <w:rFonts w:hint="eastAsia" w:ascii="宋体" w:hAnsi="宋体" w:eastAsia="宋体" w:cs="宋体"/>
          <w:b/>
          <w:color w:val="auto"/>
          <w:sz w:val="24"/>
          <w:szCs w:val="24"/>
          <w:highlight w:val="none"/>
          <w:lang w:val="en-US" w:eastAsia="zh-CN"/>
        </w:rPr>
        <w:t>附件2：</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256CB"/>
    <w:rsid w:val="009476F7"/>
    <w:rsid w:val="01705C99"/>
    <w:rsid w:val="040826B4"/>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35256CB"/>
    <w:rsid w:val="36BD095F"/>
    <w:rsid w:val="37FF0092"/>
    <w:rsid w:val="383B6F19"/>
    <w:rsid w:val="399E1B8D"/>
    <w:rsid w:val="39D236DE"/>
    <w:rsid w:val="417032FE"/>
    <w:rsid w:val="46541638"/>
    <w:rsid w:val="467B5DDC"/>
    <w:rsid w:val="4D0B1FFA"/>
    <w:rsid w:val="4E3710B4"/>
    <w:rsid w:val="51937B70"/>
    <w:rsid w:val="51956720"/>
    <w:rsid w:val="522C70F0"/>
    <w:rsid w:val="5AB24ABD"/>
    <w:rsid w:val="63664C8A"/>
    <w:rsid w:val="656600F0"/>
    <w:rsid w:val="67100900"/>
    <w:rsid w:val="6BB73144"/>
    <w:rsid w:val="6FE611FF"/>
    <w:rsid w:val="737050DC"/>
    <w:rsid w:val="73B84B96"/>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2026-05-27T02:09:00Z</dcterms:created>
  <dc:creator>L</dc:creator>
  <cp:lastModifiedBy>L</cp:lastModifiedBy>
  <dcterms:modified xsi:type="dcterms:W3CDTF">2026-05-27T02:11:59Z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4FC42DBF8AB64B1BB2F8DB3A2FC623A3</vt:lpwstr>
  </property>
</Properties>
</file>