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7BEAD8">
      <w:pPr>
        <w:spacing w:line="360" w:lineRule="auto"/>
        <w:jc w:val="center"/>
        <w:rPr>
          <w:rFonts w:ascii="宋体" w:hAnsi="宋体"/>
          <w:b/>
          <w:color w:val="auto"/>
          <w:sz w:val="44"/>
          <w:szCs w:val="44"/>
          <w:highlight w:val="none"/>
        </w:rPr>
      </w:pPr>
    </w:p>
    <w:p w14:paraId="0698909A">
      <w:pPr>
        <w:spacing w:line="360" w:lineRule="auto"/>
        <w:jc w:val="center"/>
        <w:rPr>
          <w:rFonts w:ascii="宋体" w:hAnsi="宋体"/>
          <w:color w:val="auto"/>
          <w:w w:val="90"/>
          <w:kern w:val="0"/>
          <w:sz w:val="48"/>
          <w:szCs w:val="48"/>
          <w:highlight w:val="none"/>
        </w:rPr>
      </w:pPr>
    </w:p>
    <w:p w14:paraId="4476FEF7">
      <w:pPr>
        <w:spacing w:line="360" w:lineRule="auto"/>
        <w:jc w:val="center"/>
        <w:rPr>
          <w:rFonts w:hint="eastAsia" w:ascii="宋体" w:hAnsi="宋体" w:eastAsia="宋体"/>
          <w:b/>
          <w:bCs/>
          <w:color w:val="auto"/>
          <w:w w:val="90"/>
          <w:kern w:val="0"/>
          <w:sz w:val="48"/>
          <w:szCs w:val="48"/>
          <w:highlight w:val="none"/>
          <w:lang w:eastAsia="zh-CN"/>
        </w:rPr>
      </w:pPr>
      <w:r>
        <w:rPr>
          <w:rFonts w:hint="eastAsia" w:ascii="宋体" w:hAnsi="宋体"/>
          <w:b/>
          <w:bCs/>
          <w:color w:val="auto"/>
          <w:w w:val="90"/>
          <w:kern w:val="0"/>
          <w:sz w:val="48"/>
          <w:szCs w:val="48"/>
          <w:highlight w:val="none"/>
          <w:lang w:eastAsia="zh-CN"/>
        </w:rPr>
        <w:t>2026年度通吕运河水利枢纽安全监测项目</w:t>
      </w:r>
    </w:p>
    <w:p w14:paraId="31D6E352">
      <w:pPr>
        <w:spacing w:line="360" w:lineRule="auto"/>
        <w:jc w:val="center"/>
        <w:rPr>
          <w:rFonts w:ascii="宋体" w:hAnsi="宋体" w:cs="宋体"/>
          <w:b/>
          <w:color w:val="auto"/>
          <w:sz w:val="72"/>
          <w:szCs w:val="72"/>
          <w:highlight w:val="none"/>
        </w:rPr>
      </w:pPr>
    </w:p>
    <w:p w14:paraId="5950F29E">
      <w:pPr>
        <w:spacing w:line="360" w:lineRule="auto"/>
        <w:jc w:val="center"/>
        <w:rPr>
          <w:color w:val="auto"/>
          <w:highlight w:val="none"/>
        </w:rPr>
      </w:pPr>
    </w:p>
    <w:p w14:paraId="3F9CF195">
      <w:pPr>
        <w:spacing w:line="360" w:lineRule="auto"/>
        <w:jc w:val="center"/>
        <w:rPr>
          <w:color w:val="auto"/>
          <w:highlight w:val="none"/>
        </w:rPr>
      </w:pPr>
    </w:p>
    <w:p w14:paraId="593699DE">
      <w:pPr>
        <w:spacing w:line="360" w:lineRule="auto"/>
        <w:jc w:val="center"/>
        <w:rPr>
          <w:color w:val="auto"/>
          <w:highlight w:val="none"/>
        </w:rPr>
      </w:pPr>
    </w:p>
    <w:p w14:paraId="5DD1C688">
      <w:pPr>
        <w:spacing w:line="360" w:lineRule="auto"/>
        <w:jc w:val="center"/>
        <w:rPr>
          <w:rFonts w:ascii="宋体"/>
          <w:color w:val="auto"/>
          <w:highlight w:val="none"/>
        </w:rPr>
      </w:pPr>
    </w:p>
    <w:p w14:paraId="4FBAB92C">
      <w:pPr>
        <w:spacing w:line="360" w:lineRule="auto"/>
        <w:jc w:val="center"/>
        <w:rPr>
          <w:rFonts w:ascii="宋体" w:hAnsi="宋体" w:cs="宋体"/>
          <w:b/>
          <w:color w:val="auto"/>
          <w:sz w:val="96"/>
          <w:szCs w:val="96"/>
          <w:highlight w:val="none"/>
        </w:rPr>
      </w:pPr>
      <w:r>
        <w:rPr>
          <w:rFonts w:hint="eastAsia" w:ascii="宋体" w:hAnsi="宋体" w:cs="宋体"/>
          <w:b/>
          <w:color w:val="auto"/>
          <w:sz w:val="72"/>
          <w:szCs w:val="72"/>
          <w:highlight w:val="none"/>
        </w:rPr>
        <w:t>公开招标文件</w:t>
      </w:r>
    </w:p>
    <w:p w14:paraId="09C0A303">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（资格后审）</w:t>
      </w:r>
    </w:p>
    <w:p w14:paraId="0C802ABC">
      <w:pPr>
        <w:spacing w:line="360" w:lineRule="auto"/>
        <w:jc w:val="center"/>
        <w:rPr>
          <w:rFonts w:ascii="宋体" w:hAnsi="宋体"/>
          <w:color w:val="auto"/>
          <w:sz w:val="28"/>
          <w:szCs w:val="21"/>
          <w:highlight w:val="none"/>
        </w:rPr>
      </w:pPr>
    </w:p>
    <w:p w14:paraId="4C6E00B7">
      <w:pPr>
        <w:spacing w:line="360" w:lineRule="auto"/>
        <w:jc w:val="center"/>
        <w:rPr>
          <w:rFonts w:ascii="宋体" w:hAnsi="宋体"/>
          <w:b/>
          <w:color w:val="auto"/>
          <w:sz w:val="36"/>
          <w:szCs w:val="36"/>
          <w:highlight w:val="none"/>
        </w:rPr>
      </w:pPr>
    </w:p>
    <w:p w14:paraId="1ADCA24F">
      <w:pPr>
        <w:spacing w:line="360" w:lineRule="auto"/>
        <w:jc w:val="center"/>
        <w:rPr>
          <w:rFonts w:ascii="宋体" w:hAnsi="宋体"/>
          <w:b/>
          <w:bCs/>
          <w:color w:val="auto"/>
          <w:sz w:val="36"/>
          <w:szCs w:val="36"/>
          <w:highlight w:val="none"/>
        </w:rPr>
      </w:pPr>
      <w:bookmarkStart w:id="32" w:name="_GoBack"/>
      <w:bookmarkEnd w:id="32"/>
    </w:p>
    <w:p w14:paraId="4AC936E6">
      <w:pPr>
        <w:spacing w:line="360" w:lineRule="auto"/>
        <w:jc w:val="center"/>
        <w:rPr>
          <w:rFonts w:ascii="宋体" w:hAnsi="宋体"/>
          <w:b/>
          <w:bCs/>
          <w:color w:val="auto"/>
          <w:sz w:val="36"/>
          <w:szCs w:val="36"/>
          <w:highlight w:val="none"/>
        </w:rPr>
      </w:pPr>
    </w:p>
    <w:p w14:paraId="423CB282">
      <w:pPr>
        <w:spacing w:line="360" w:lineRule="auto"/>
        <w:jc w:val="center"/>
        <w:rPr>
          <w:color w:val="auto"/>
          <w:highlight w:val="none"/>
        </w:rPr>
      </w:pPr>
    </w:p>
    <w:p w14:paraId="5FB9DF69">
      <w:pPr>
        <w:spacing w:line="360" w:lineRule="auto"/>
        <w:jc w:val="center"/>
        <w:rPr>
          <w:rFonts w:ascii="宋体"/>
          <w:color w:val="auto"/>
          <w:highlight w:val="none"/>
        </w:rPr>
      </w:pPr>
    </w:p>
    <w:p w14:paraId="73631EE4">
      <w:pPr>
        <w:spacing w:line="360" w:lineRule="auto"/>
        <w:jc w:val="center"/>
        <w:rPr>
          <w:rFonts w:ascii="宋体"/>
          <w:color w:val="auto"/>
          <w:highlight w:val="none"/>
        </w:rPr>
      </w:pPr>
    </w:p>
    <w:p w14:paraId="638AC059">
      <w:pPr>
        <w:spacing w:line="360" w:lineRule="auto"/>
        <w:jc w:val="center"/>
        <w:rPr>
          <w:rFonts w:ascii="宋体"/>
          <w:color w:val="auto"/>
          <w:highlight w:val="none"/>
        </w:rPr>
      </w:pPr>
    </w:p>
    <w:p w14:paraId="66AEE499">
      <w:pPr>
        <w:spacing w:line="360" w:lineRule="auto"/>
        <w:jc w:val="center"/>
        <w:rPr>
          <w:rFonts w:ascii="宋体"/>
          <w:color w:val="auto"/>
          <w:highlight w:val="none"/>
        </w:rPr>
      </w:pPr>
    </w:p>
    <w:p w14:paraId="05B54402">
      <w:pPr>
        <w:spacing w:line="360" w:lineRule="auto"/>
        <w:ind w:firstLine="964" w:firstLineChars="200"/>
        <w:rPr>
          <w:rFonts w:ascii="宋体" w:hAnsi="宋体"/>
          <w:b/>
          <w:color w:val="auto"/>
          <w:sz w:val="32"/>
          <w:szCs w:val="32"/>
          <w:highlight w:val="none"/>
        </w:rPr>
      </w:pPr>
      <w:bookmarkStart w:id="0" w:name="_Toc257275442"/>
      <w:bookmarkStart w:id="1" w:name="_Toc312608845"/>
      <w:bookmarkStart w:id="2" w:name="_Toc241913651"/>
      <w:r>
        <w:rPr>
          <w:rFonts w:hint="eastAsia" w:ascii="宋体" w:hAnsi="宋体"/>
          <w:b/>
          <w:color w:val="auto"/>
          <w:spacing w:val="81"/>
          <w:kern w:val="0"/>
          <w:sz w:val="32"/>
          <w:szCs w:val="32"/>
          <w:highlight w:val="none"/>
          <w:fitText w:val="1284" w:id="-1688883709"/>
        </w:rPr>
        <w:t>采购</w:t>
      </w:r>
      <w:r>
        <w:rPr>
          <w:rFonts w:hint="eastAsia" w:ascii="宋体" w:hAnsi="宋体"/>
          <w:b/>
          <w:color w:val="auto"/>
          <w:spacing w:val="0"/>
          <w:kern w:val="0"/>
          <w:sz w:val="32"/>
          <w:szCs w:val="32"/>
          <w:highlight w:val="none"/>
          <w:fitText w:val="1284" w:id="-1688883709"/>
        </w:rPr>
        <w:t>人</w:t>
      </w:r>
      <w:r>
        <w:rPr>
          <w:rFonts w:hint="eastAsia" w:ascii="宋体" w:hAnsi="宋体"/>
          <w:b/>
          <w:color w:val="auto"/>
          <w:sz w:val="32"/>
          <w:szCs w:val="32"/>
          <w:highlight w:val="none"/>
        </w:rPr>
        <w:t>：</w:t>
      </w:r>
      <w:r>
        <w:rPr>
          <w:rFonts w:hint="eastAsia" w:ascii="宋体" w:hAnsi="宋体"/>
          <w:b/>
          <w:color w:val="auto"/>
          <w:kern w:val="0"/>
          <w:sz w:val="32"/>
          <w:szCs w:val="32"/>
          <w:highlight w:val="none"/>
        </w:rPr>
        <w:t>南通市通吕运河水利工程管理所</w:t>
      </w:r>
    </w:p>
    <w:p w14:paraId="327E9E9D">
      <w:pPr>
        <w:spacing w:line="360" w:lineRule="auto"/>
        <w:ind w:firstLine="960" w:firstLineChars="3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代理单位：</w:t>
      </w:r>
      <w:r>
        <w:rPr>
          <w:rFonts w:hint="eastAsia" w:ascii="宋体" w:hAnsi="宋体"/>
          <w:b/>
          <w:color w:val="auto"/>
          <w:sz w:val="32"/>
          <w:szCs w:val="32"/>
          <w:highlight w:val="none"/>
          <w:lang w:eastAsia="zh-CN"/>
        </w:rPr>
        <w:t>江苏建博工程管理咨询有限公司</w:t>
      </w:r>
    </w:p>
    <w:p w14:paraId="7946D603">
      <w:pPr>
        <w:spacing w:line="360" w:lineRule="auto"/>
        <w:ind w:firstLine="1928" w:firstLineChars="200"/>
        <w:rPr>
          <w:rFonts w:ascii="宋体" w:hAnsi="宋体"/>
          <w:b/>
          <w:color w:val="auto"/>
          <w:sz w:val="32"/>
          <w:szCs w:val="32"/>
          <w:highlight w:val="none"/>
        </w:rPr>
      </w:pPr>
      <w:r>
        <w:rPr>
          <w:rFonts w:hint="eastAsia" w:ascii="宋体" w:hAnsi="宋体"/>
          <w:b/>
          <w:color w:val="auto"/>
          <w:spacing w:val="322"/>
          <w:kern w:val="0"/>
          <w:sz w:val="32"/>
          <w:szCs w:val="32"/>
          <w:highlight w:val="none"/>
          <w:fitText w:val="1284" w:id="-1688883707"/>
        </w:rPr>
        <w:t>日</w:t>
      </w:r>
      <w:r>
        <w:rPr>
          <w:rFonts w:hint="eastAsia" w:ascii="宋体" w:hAnsi="宋体"/>
          <w:b/>
          <w:color w:val="auto"/>
          <w:spacing w:val="0"/>
          <w:kern w:val="0"/>
          <w:sz w:val="32"/>
          <w:szCs w:val="32"/>
          <w:highlight w:val="none"/>
          <w:fitText w:val="1284" w:id="-1688883707"/>
        </w:rPr>
        <w:t>期</w:t>
      </w: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2026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2</w:t>
      </w:r>
      <w:r>
        <w:rPr>
          <w:rFonts w:hint="eastAsia" w:ascii="宋体" w:hAnsi="宋体"/>
          <w:b/>
          <w:color w:val="auto"/>
          <w:sz w:val="32"/>
          <w:szCs w:val="32"/>
          <w:highlight w:val="none"/>
        </w:rPr>
        <w:t>月</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日</w:t>
      </w:r>
    </w:p>
    <w:p w14:paraId="789EADC1">
      <w:pPr>
        <w:pStyle w:val="63"/>
        <w:rPr>
          <w:color w:val="auto"/>
          <w:szCs w:val="28"/>
          <w:highlight w:val="none"/>
        </w:rPr>
      </w:pPr>
      <w:r>
        <w:rPr>
          <w:color w:val="auto"/>
          <w:highlight w:val="none"/>
        </w:rPr>
        <w:br w:type="page"/>
      </w:r>
      <w:bookmarkEnd w:id="0"/>
      <w:bookmarkEnd w:id="1"/>
      <w:bookmarkEnd w:id="2"/>
    </w:p>
    <w:p w14:paraId="3C554ABC">
      <w:pPr>
        <w:spacing w:line="360" w:lineRule="auto"/>
        <w:jc w:val="center"/>
        <w:rPr>
          <w:rFonts w:ascii="宋体" w:hAnsi="宋体"/>
          <w:b/>
          <w:color w:val="auto"/>
          <w:sz w:val="44"/>
          <w:szCs w:val="44"/>
          <w:highlight w:val="none"/>
        </w:rPr>
      </w:pPr>
      <w:r>
        <w:rPr>
          <w:rFonts w:ascii="宋体" w:hAnsi="宋体"/>
          <w:b/>
          <w:color w:val="auto"/>
          <w:sz w:val="44"/>
          <w:szCs w:val="44"/>
          <w:highlight w:val="none"/>
        </w:rPr>
        <w:t>目      录</w:t>
      </w:r>
    </w:p>
    <w:p w14:paraId="05D5D196">
      <w:pPr>
        <w:spacing w:line="360" w:lineRule="auto"/>
        <w:jc w:val="center"/>
        <w:rPr>
          <w:rFonts w:ascii="宋体" w:hAnsi="宋体"/>
          <w:b/>
          <w:color w:val="auto"/>
          <w:sz w:val="28"/>
          <w:szCs w:val="28"/>
          <w:highlight w:val="none"/>
        </w:rPr>
      </w:pPr>
    </w:p>
    <w:p w14:paraId="3841988C">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第一章  招标公告</w:t>
      </w:r>
    </w:p>
    <w:p w14:paraId="0E877592">
      <w:pPr>
        <w:tabs>
          <w:tab w:val="left" w:pos="7740"/>
        </w:tabs>
        <w:spacing w:line="360" w:lineRule="auto"/>
        <w:rPr>
          <w:rFonts w:ascii="宋体" w:hAnsi="宋体"/>
          <w:b/>
          <w:color w:val="auto"/>
          <w:sz w:val="28"/>
          <w:szCs w:val="28"/>
          <w:highlight w:val="none"/>
        </w:rPr>
      </w:pPr>
    </w:p>
    <w:p w14:paraId="0F1F18E2">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第二章  投标人须知</w:t>
      </w:r>
    </w:p>
    <w:p w14:paraId="58C3B71D">
      <w:pPr>
        <w:spacing w:line="360" w:lineRule="auto"/>
        <w:rPr>
          <w:rFonts w:ascii="宋体" w:hAnsi="宋体"/>
          <w:b/>
          <w:color w:val="auto"/>
          <w:sz w:val="28"/>
          <w:szCs w:val="28"/>
          <w:highlight w:val="none"/>
        </w:rPr>
      </w:pPr>
    </w:p>
    <w:p w14:paraId="7D8D0A92">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第三章  项目需求</w:t>
      </w:r>
    </w:p>
    <w:p w14:paraId="51A240DF">
      <w:pPr>
        <w:pStyle w:val="27"/>
        <w:tabs>
          <w:tab w:val="left" w:pos="7740"/>
          <w:tab w:val="left" w:pos="7920"/>
        </w:tabs>
        <w:spacing w:line="360" w:lineRule="auto"/>
        <w:ind w:left="0" w:leftChars="0"/>
        <w:rPr>
          <w:rFonts w:ascii="宋体" w:hAnsi="宋体"/>
          <w:b/>
          <w:color w:val="auto"/>
          <w:sz w:val="28"/>
          <w:szCs w:val="28"/>
          <w:highlight w:val="none"/>
        </w:rPr>
      </w:pPr>
    </w:p>
    <w:p w14:paraId="0A3DB9E7">
      <w:pPr>
        <w:tabs>
          <w:tab w:val="left" w:pos="7740"/>
        </w:tabs>
        <w:spacing w:line="360" w:lineRule="auto"/>
        <w:rPr>
          <w:rFonts w:ascii="宋体" w:hAnsi="宋体"/>
          <w:b/>
          <w:bCs/>
          <w:color w:val="auto"/>
          <w:sz w:val="28"/>
          <w:szCs w:val="28"/>
          <w:highlight w:val="none"/>
        </w:rPr>
      </w:pPr>
      <w:r>
        <w:rPr>
          <w:rFonts w:ascii="宋体" w:hAnsi="宋体"/>
          <w:b/>
          <w:color w:val="auto"/>
          <w:sz w:val="28"/>
          <w:szCs w:val="28"/>
          <w:highlight w:val="none"/>
        </w:rPr>
        <w:t xml:space="preserve">第四章  </w:t>
      </w:r>
      <w:r>
        <w:rPr>
          <w:rFonts w:ascii="宋体" w:hAnsi="宋体"/>
          <w:b/>
          <w:bCs/>
          <w:color w:val="auto"/>
          <w:sz w:val="28"/>
          <w:szCs w:val="28"/>
          <w:highlight w:val="none"/>
        </w:rPr>
        <w:t>评审方法和程序</w:t>
      </w:r>
    </w:p>
    <w:p w14:paraId="2BF76C51">
      <w:pPr>
        <w:spacing w:line="360" w:lineRule="auto"/>
        <w:rPr>
          <w:rFonts w:ascii="宋体" w:hAnsi="宋体"/>
          <w:b/>
          <w:color w:val="auto"/>
          <w:sz w:val="28"/>
          <w:szCs w:val="28"/>
          <w:highlight w:val="none"/>
        </w:rPr>
      </w:pPr>
    </w:p>
    <w:p w14:paraId="52F93790">
      <w:pPr>
        <w:tabs>
          <w:tab w:val="left" w:pos="7740"/>
        </w:tabs>
        <w:spacing w:line="360" w:lineRule="auto"/>
        <w:rPr>
          <w:rFonts w:ascii="宋体" w:hAnsi="宋体"/>
          <w:b/>
          <w:bCs/>
          <w:color w:val="auto"/>
          <w:sz w:val="28"/>
          <w:szCs w:val="28"/>
          <w:highlight w:val="none"/>
        </w:rPr>
      </w:pPr>
      <w:r>
        <w:rPr>
          <w:rFonts w:ascii="宋体" w:hAnsi="宋体"/>
          <w:b/>
          <w:bCs/>
          <w:color w:val="auto"/>
          <w:sz w:val="28"/>
          <w:szCs w:val="28"/>
          <w:highlight w:val="none"/>
        </w:rPr>
        <w:t xml:space="preserve">第五章  </w:t>
      </w:r>
      <w:r>
        <w:rPr>
          <w:rFonts w:hint="eastAsia" w:ascii="宋体" w:hAnsi="宋体"/>
          <w:b/>
          <w:bCs/>
          <w:color w:val="auto"/>
          <w:sz w:val="28"/>
          <w:szCs w:val="28"/>
          <w:highlight w:val="none"/>
        </w:rPr>
        <w:t>合同主要条款</w:t>
      </w:r>
    </w:p>
    <w:p w14:paraId="0EC42CAF">
      <w:pPr>
        <w:tabs>
          <w:tab w:val="left" w:pos="7740"/>
        </w:tabs>
        <w:spacing w:line="360" w:lineRule="auto"/>
        <w:rPr>
          <w:rFonts w:ascii="宋体" w:hAnsi="宋体"/>
          <w:b/>
          <w:bCs/>
          <w:color w:val="auto"/>
          <w:sz w:val="28"/>
          <w:szCs w:val="28"/>
          <w:highlight w:val="none"/>
        </w:rPr>
      </w:pPr>
    </w:p>
    <w:p w14:paraId="4319FC30">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第六章  合同授予</w:t>
      </w:r>
    </w:p>
    <w:p w14:paraId="11EC8D46">
      <w:pPr>
        <w:tabs>
          <w:tab w:val="left" w:pos="7740"/>
        </w:tabs>
        <w:spacing w:line="360" w:lineRule="auto"/>
        <w:rPr>
          <w:rFonts w:ascii="宋体" w:hAnsi="宋体"/>
          <w:b/>
          <w:bCs/>
          <w:color w:val="auto"/>
          <w:sz w:val="28"/>
          <w:szCs w:val="28"/>
          <w:highlight w:val="none"/>
        </w:rPr>
      </w:pPr>
    </w:p>
    <w:p w14:paraId="1F9E59C7">
      <w:pPr>
        <w:tabs>
          <w:tab w:val="left" w:pos="7740"/>
        </w:tabs>
        <w:spacing w:line="360" w:lineRule="auto"/>
        <w:rPr>
          <w:rFonts w:ascii="宋体" w:hAnsi="宋体"/>
          <w:b/>
          <w:bCs/>
          <w:color w:val="auto"/>
          <w:sz w:val="28"/>
          <w:szCs w:val="28"/>
          <w:highlight w:val="none"/>
        </w:rPr>
      </w:pPr>
      <w:r>
        <w:rPr>
          <w:rFonts w:ascii="宋体" w:hAnsi="宋体"/>
          <w:b/>
          <w:color w:val="auto"/>
          <w:sz w:val="28"/>
          <w:szCs w:val="28"/>
          <w:highlight w:val="none"/>
        </w:rPr>
        <w:t>第七章</w:t>
      </w:r>
      <w:r>
        <w:rPr>
          <w:rFonts w:hint="eastAsia" w:ascii="宋体" w:hAnsi="宋体"/>
          <w:b/>
          <w:color w:val="auto"/>
          <w:sz w:val="28"/>
          <w:szCs w:val="28"/>
          <w:highlight w:val="none"/>
        </w:rPr>
        <w:t xml:space="preserve"> </w:t>
      </w:r>
      <w:r>
        <w:rPr>
          <w:rFonts w:ascii="宋体" w:hAnsi="宋体"/>
          <w:b/>
          <w:color w:val="auto"/>
          <w:sz w:val="28"/>
          <w:szCs w:val="28"/>
          <w:highlight w:val="none"/>
        </w:rPr>
        <w:t xml:space="preserve"> </w:t>
      </w:r>
      <w:r>
        <w:rPr>
          <w:rFonts w:ascii="宋体" w:hAnsi="宋体"/>
          <w:b/>
          <w:bCs/>
          <w:color w:val="auto"/>
          <w:sz w:val="28"/>
          <w:szCs w:val="28"/>
          <w:highlight w:val="none"/>
        </w:rPr>
        <w:t>质疑提出和处理</w:t>
      </w:r>
    </w:p>
    <w:p w14:paraId="303DF672">
      <w:pPr>
        <w:tabs>
          <w:tab w:val="left" w:pos="7740"/>
        </w:tabs>
        <w:spacing w:line="360" w:lineRule="auto"/>
        <w:rPr>
          <w:rFonts w:ascii="宋体" w:hAnsi="宋体"/>
          <w:b/>
          <w:color w:val="auto"/>
          <w:sz w:val="28"/>
          <w:szCs w:val="28"/>
          <w:highlight w:val="none"/>
        </w:rPr>
      </w:pPr>
    </w:p>
    <w:p w14:paraId="7E76E4F5">
      <w:pPr>
        <w:spacing w:line="360" w:lineRule="auto"/>
        <w:rPr>
          <w:rFonts w:ascii="宋体" w:hAnsi="宋体"/>
          <w:b/>
          <w:color w:val="auto"/>
          <w:sz w:val="28"/>
          <w:szCs w:val="28"/>
          <w:highlight w:val="none"/>
        </w:rPr>
      </w:pPr>
      <w:bookmarkStart w:id="3" w:name="_Hlk86587575"/>
      <w:r>
        <w:rPr>
          <w:rFonts w:ascii="宋体" w:hAnsi="宋体"/>
          <w:b/>
          <w:color w:val="auto"/>
          <w:sz w:val="28"/>
          <w:szCs w:val="28"/>
          <w:highlight w:val="none"/>
        </w:rPr>
        <w:t>第</w:t>
      </w:r>
      <w:r>
        <w:rPr>
          <w:rFonts w:hint="eastAsia" w:ascii="宋体" w:hAnsi="宋体"/>
          <w:b/>
          <w:color w:val="auto"/>
          <w:sz w:val="28"/>
          <w:szCs w:val="28"/>
          <w:highlight w:val="none"/>
        </w:rPr>
        <w:t>八</w:t>
      </w:r>
      <w:r>
        <w:rPr>
          <w:rFonts w:ascii="宋体" w:hAnsi="宋体"/>
          <w:b/>
          <w:color w:val="auto"/>
          <w:sz w:val="28"/>
          <w:szCs w:val="28"/>
          <w:highlight w:val="none"/>
        </w:rPr>
        <w:t>章</w:t>
      </w:r>
      <w:bookmarkEnd w:id="3"/>
      <w:r>
        <w:rPr>
          <w:rFonts w:ascii="宋体" w:hAnsi="宋体"/>
          <w:b/>
          <w:color w:val="auto"/>
          <w:sz w:val="28"/>
          <w:szCs w:val="28"/>
          <w:highlight w:val="none"/>
        </w:rPr>
        <w:t xml:space="preserve">  投标文件组成</w:t>
      </w:r>
    </w:p>
    <w:p w14:paraId="3E5A5CDA">
      <w:pPr>
        <w:spacing w:line="360" w:lineRule="auto"/>
        <w:rPr>
          <w:rFonts w:ascii="宋体" w:hAnsi="宋体"/>
          <w:color w:val="auto"/>
          <w:sz w:val="24"/>
          <w:highlight w:val="none"/>
        </w:rPr>
      </w:pPr>
    </w:p>
    <w:p w14:paraId="06408B4C">
      <w:pPr>
        <w:pStyle w:val="63"/>
        <w:spacing w:line="360" w:lineRule="auto"/>
        <w:rPr>
          <w:rStyle w:val="124"/>
          <w:rFonts w:hint="default"/>
          <w:color w:val="auto"/>
          <w:sz w:val="28"/>
          <w:szCs w:val="28"/>
          <w:highlight w:val="none"/>
        </w:rPr>
      </w:pPr>
      <w:r>
        <w:rPr>
          <w:color w:val="auto"/>
          <w:sz w:val="24"/>
          <w:highlight w:val="none"/>
        </w:rPr>
        <w:br w:type="page"/>
      </w:r>
      <w:r>
        <w:rPr>
          <w:rStyle w:val="124"/>
          <w:rFonts w:hint="default"/>
          <w:color w:val="auto"/>
          <w:sz w:val="28"/>
          <w:szCs w:val="28"/>
          <w:highlight w:val="none"/>
        </w:rPr>
        <w:t xml:space="preserve">第一章  </w:t>
      </w:r>
      <w:bookmarkStart w:id="4" w:name="OLE_LINK3"/>
      <w:bookmarkStart w:id="5" w:name="OLE_LINK4"/>
      <w:bookmarkStart w:id="6" w:name="OLE_LINK1"/>
      <w:bookmarkStart w:id="7" w:name="OLE_LINK2"/>
      <w:bookmarkStart w:id="8" w:name="OLE_LINK5"/>
      <w:r>
        <w:rPr>
          <w:rStyle w:val="124"/>
          <w:rFonts w:hint="default"/>
          <w:color w:val="auto"/>
          <w:sz w:val="28"/>
          <w:szCs w:val="28"/>
          <w:highlight w:val="none"/>
        </w:rPr>
        <w:t>招标公告</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0"/>
      </w:tblGrid>
      <w:tr w14:paraId="1D6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14:paraId="2C10B519">
            <w:pPr>
              <w:widowControl/>
              <w:snapToGrid w:val="0"/>
              <w:spacing w:line="360" w:lineRule="auto"/>
              <w:jc w:val="left"/>
              <w:rPr>
                <w:rFonts w:ascii="宋体" w:hAnsi="宋体"/>
                <w:color w:val="auto"/>
                <w:sz w:val="24"/>
                <w:highlight w:val="none"/>
              </w:rPr>
            </w:pPr>
            <w:bookmarkStart w:id="9" w:name="OLE_LINK6"/>
            <w:r>
              <w:rPr>
                <w:rFonts w:ascii="宋体" w:hAnsi="宋体"/>
                <w:color w:val="auto"/>
                <w:sz w:val="24"/>
                <w:highlight w:val="none"/>
              </w:rPr>
              <w:t>项目概况</w:t>
            </w:r>
          </w:p>
          <w:p w14:paraId="0D68C18F">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hint="eastAsia" w:ascii="宋体" w:hAnsi="宋体"/>
                <w:color w:val="auto"/>
                <w:sz w:val="24"/>
                <w:highlight w:val="none"/>
                <w:u w:val="single"/>
                <w:lang w:eastAsia="zh-CN"/>
              </w:rPr>
              <w:t>2026年度通吕运河水利枢纽安全监测项目</w:t>
            </w:r>
            <w:r>
              <w:rPr>
                <w:rFonts w:ascii="宋体" w:hAnsi="宋体"/>
                <w:color w:val="auto"/>
                <w:sz w:val="24"/>
                <w:highlight w:val="none"/>
              </w:rPr>
              <w:t>的潜在供应商应在</w:t>
            </w:r>
            <w:r>
              <w:rPr>
                <w:rFonts w:hint="eastAsia" w:ascii="宋体" w:hAnsi="宋体"/>
                <w:color w:val="auto"/>
                <w:sz w:val="24"/>
                <w:szCs w:val="21"/>
                <w:highlight w:val="none"/>
                <w:u w:val="single"/>
                <w:lang w:val="zh-CN"/>
              </w:rPr>
              <w:t>南通市水利局网站（</w:t>
            </w:r>
            <w:r>
              <w:rPr>
                <w:rFonts w:ascii="宋体" w:hAnsi="宋体"/>
                <w:color w:val="auto"/>
                <w:szCs w:val="21"/>
                <w:highlight w:val="none"/>
                <w:u w:val="single"/>
                <w:lang w:val="zh-CN"/>
              </w:rPr>
              <w:t>http://slj.nantong.gov.cn/</w:t>
            </w:r>
            <w:r>
              <w:rPr>
                <w:rFonts w:hint="eastAsia" w:ascii="宋体" w:hAnsi="宋体"/>
                <w:color w:val="auto"/>
                <w:sz w:val="24"/>
                <w:szCs w:val="21"/>
                <w:highlight w:val="none"/>
                <w:u w:val="single"/>
                <w:lang w:val="zh-CN"/>
              </w:rPr>
              <w:t>）</w:t>
            </w:r>
            <w:r>
              <w:rPr>
                <w:rFonts w:ascii="宋体" w:hAnsi="宋体"/>
                <w:color w:val="auto"/>
                <w:szCs w:val="21"/>
                <w:highlight w:val="none"/>
                <w:u w:val="single"/>
                <w:lang w:val="zh-CN"/>
              </w:rPr>
              <w:t>-</w:t>
            </w:r>
            <w:r>
              <w:rPr>
                <w:rFonts w:hint="eastAsia" w:ascii="宋体" w:hAnsi="宋体"/>
                <w:color w:val="auto"/>
                <w:sz w:val="24"/>
                <w:szCs w:val="21"/>
                <w:highlight w:val="none"/>
                <w:u w:val="single"/>
                <w:lang w:val="zh-CN"/>
              </w:rPr>
              <w:t>公告公示栏目</w:t>
            </w:r>
            <w:r>
              <w:rPr>
                <w:rFonts w:ascii="宋体" w:hAnsi="宋体"/>
                <w:color w:val="auto"/>
                <w:sz w:val="24"/>
                <w:highlight w:val="none"/>
                <w:u w:val="single"/>
              </w:rPr>
              <w:t>本公告附件中</w:t>
            </w:r>
            <w:r>
              <w:rPr>
                <w:rFonts w:ascii="宋体" w:hAnsi="宋体"/>
                <w:color w:val="auto"/>
                <w:sz w:val="24"/>
                <w:highlight w:val="none"/>
              </w:rPr>
              <w:t>获取采购文件，并于</w:t>
            </w:r>
            <w:r>
              <w:rPr>
                <w:rFonts w:hint="eastAsia" w:ascii="宋体" w:hAnsi="宋体"/>
                <w:color w:val="auto"/>
                <w:sz w:val="24"/>
                <w:highlight w:val="none"/>
                <w:u w:val="single"/>
                <w:lang w:eastAsia="zh-CN"/>
              </w:rPr>
              <w:t>2026</w:t>
            </w:r>
            <w:r>
              <w:rPr>
                <w:rFonts w:ascii="宋体" w:hAnsi="宋体"/>
                <w:color w:val="auto"/>
                <w:sz w:val="24"/>
                <w:highlight w:val="none"/>
              </w:rPr>
              <w:t>年</w:t>
            </w:r>
            <w:r>
              <w:rPr>
                <w:rFonts w:hint="eastAsia" w:ascii="宋体" w:hAnsi="宋体"/>
                <w:color w:val="auto"/>
                <w:sz w:val="24"/>
                <w:highlight w:val="none"/>
                <w:lang w:val="en-US" w:eastAsia="zh-CN"/>
              </w:rPr>
              <w:t>3</w:t>
            </w:r>
            <w:r>
              <w:rPr>
                <w:rFonts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6</w:t>
            </w:r>
            <w:r>
              <w:rPr>
                <w:rFonts w:ascii="宋体" w:hAnsi="宋体"/>
                <w:color w:val="auto"/>
                <w:sz w:val="24"/>
                <w:highlight w:val="none"/>
              </w:rPr>
              <w:t>日</w:t>
            </w:r>
            <w:r>
              <w:rPr>
                <w:rFonts w:hint="eastAsia" w:ascii="宋体" w:hAnsi="宋体"/>
                <w:color w:val="auto"/>
                <w:sz w:val="24"/>
                <w:highlight w:val="none"/>
                <w:lang w:val="en-US" w:eastAsia="zh-CN"/>
              </w:rPr>
              <w:t>14</w:t>
            </w:r>
            <w:r>
              <w:rPr>
                <w:rFonts w:ascii="宋体" w:hAnsi="宋体"/>
                <w:color w:val="auto"/>
                <w:sz w:val="24"/>
                <w:highlight w:val="none"/>
              </w:rPr>
              <w:t>时</w:t>
            </w:r>
            <w:r>
              <w:rPr>
                <w:rFonts w:hint="eastAsia" w:ascii="宋体" w:hAnsi="宋体"/>
                <w:color w:val="auto"/>
                <w:sz w:val="24"/>
                <w:highlight w:val="none"/>
                <w:lang w:val="en-US" w:eastAsia="zh-CN"/>
              </w:rPr>
              <w:t>00</w:t>
            </w:r>
            <w:r>
              <w:rPr>
                <w:rFonts w:ascii="宋体" w:hAnsi="宋体"/>
                <w:color w:val="auto"/>
                <w:sz w:val="24"/>
                <w:highlight w:val="none"/>
              </w:rPr>
              <w:t>分</w:t>
            </w:r>
            <w:r>
              <w:rPr>
                <w:rFonts w:ascii="宋体" w:hAnsi="宋体"/>
                <w:color w:val="auto"/>
                <w:sz w:val="24"/>
                <w:highlight w:val="none"/>
              </w:rPr>
              <w:t>（北京时间）前提交响应文件。</w:t>
            </w:r>
          </w:p>
        </w:tc>
      </w:tr>
    </w:tbl>
    <w:p w14:paraId="75A7DED6">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一、项目基本情况</w:t>
      </w:r>
    </w:p>
    <w:p w14:paraId="71161644">
      <w:pPr>
        <w:widowControl/>
        <w:snapToGrid w:val="0"/>
        <w:spacing w:line="360" w:lineRule="auto"/>
        <w:ind w:firstLine="480" w:firstLineChars="200"/>
        <w:jc w:val="left"/>
        <w:rPr>
          <w:rFonts w:hint="eastAsia" w:ascii="宋体" w:hAnsi="宋体" w:eastAsia="宋体"/>
          <w:color w:val="auto"/>
          <w:sz w:val="24"/>
          <w:highlight w:val="none"/>
          <w:lang w:eastAsia="zh-CN"/>
        </w:rPr>
      </w:pPr>
      <w:r>
        <w:rPr>
          <w:rFonts w:ascii="宋体" w:hAnsi="宋体"/>
          <w:color w:val="auto"/>
          <w:sz w:val="24"/>
          <w:highlight w:val="none"/>
        </w:rPr>
        <w:t>1、项目名称：</w:t>
      </w:r>
      <w:r>
        <w:rPr>
          <w:rFonts w:hint="eastAsia" w:ascii="宋体" w:hAnsi="宋体"/>
          <w:color w:val="auto"/>
          <w:sz w:val="24"/>
          <w:highlight w:val="none"/>
          <w:lang w:eastAsia="zh-CN"/>
        </w:rPr>
        <w:t>2026年度通吕运河水利枢纽安全监测项目</w:t>
      </w:r>
    </w:p>
    <w:p w14:paraId="49AEF456">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2、预算金额：</w:t>
      </w:r>
      <w:r>
        <w:rPr>
          <w:rFonts w:hint="eastAsia" w:ascii="宋体" w:hAnsi="宋体"/>
          <w:color w:val="auto"/>
          <w:sz w:val="24"/>
          <w:highlight w:val="none"/>
          <w:lang w:val="en-US" w:eastAsia="zh-CN"/>
        </w:rPr>
        <w:t>14.78</w:t>
      </w:r>
      <w:r>
        <w:rPr>
          <w:rFonts w:hint="eastAsia" w:ascii="宋体" w:hAnsi="宋体"/>
          <w:color w:val="auto"/>
          <w:sz w:val="24"/>
          <w:highlight w:val="none"/>
        </w:rPr>
        <w:t>万</w:t>
      </w:r>
      <w:r>
        <w:rPr>
          <w:rFonts w:ascii="宋体" w:hAnsi="宋体"/>
          <w:color w:val="auto"/>
          <w:sz w:val="24"/>
          <w:highlight w:val="none"/>
        </w:rPr>
        <w:t>元</w:t>
      </w:r>
    </w:p>
    <w:p w14:paraId="4ACEE0A6">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3、最高限价：</w:t>
      </w:r>
      <w:r>
        <w:rPr>
          <w:rFonts w:hint="eastAsia" w:ascii="宋体" w:hAnsi="宋体"/>
          <w:color w:val="auto"/>
          <w:sz w:val="24"/>
          <w:highlight w:val="none"/>
          <w:lang w:val="en-US" w:eastAsia="zh-CN"/>
        </w:rPr>
        <w:t>14.78</w:t>
      </w:r>
      <w:r>
        <w:rPr>
          <w:rFonts w:hint="eastAsia" w:ascii="宋体" w:hAnsi="宋体"/>
          <w:color w:val="auto"/>
          <w:sz w:val="24"/>
          <w:highlight w:val="none"/>
        </w:rPr>
        <w:t>万</w:t>
      </w:r>
      <w:r>
        <w:rPr>
          <w:rFonts w:ascii="宋体" w:hAnsi="宋体"/>
          <w:color w:val="auto"/>
          <w:sz w:val="24"/>
          <w:highlight w:val="none"/>
        </w:rPr>
        <w:t>元，</w:t>
      </w:r>
      <w:r>
        <w:rPr>
          <w:rFonts w:ascii="宋体" w:hAnsi="宋体"/>
          <w:color w:val="auto"/>
          <w:sz w:val="24"/>
          <w:highlight w:val="none"/>
        </w:rPr>
        <w:t>报价超过</w:t>
      </w:r>
      <w:r>
        <w:rPr>
          <w:rFonts w:hint="eastAsia" w:ascii="宋体" w:hAnsi="宋体"/>
          <w:color w:val="auto"/>
          <w:sz w:val="24"/>
          <w:highlight w:val="none"/>
        </w:rPr>
        <w:t>最高限价</w:t>
      </w:r>
      <w:r>
        <w:rPr>
          <w:rFonts w:ascii="宋体" w:hAnsi="宋体"/>
          <w:color w:val="auto"/>
          <w:sz w:val="24"/>
          <w:highlight w:val="none"/>
        </w:rPr>
        <w:t>的为无效响应文件。</w:t>
      </w:r>
    </w:p>
    <w:p w14:paraId="2A00138C">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、采购需求：详见第三章</w:t>
      </w:r>
    </w:p>
    <w:p w14:paraId="39DFF7EF">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5、合同履行期限：</w:t>
      </w:r>
      <w:r>
        <w:rPr>
          <w:rFonts w:hint="eastAsia" w:ascii="宋体" w:hAnsi="宋体" w:cs="宋体"/>
          <w:color w:val="auto"/>
          <w:sz w:val="24"/>
          <w:highlight w:val="none"/>
        </w:rPr>
        <w:t>自合同签订之日起至</w:t>
      </w:r>
      <w:r>
        <w:rPr>
          <w:rFonts w:hint="eastAsia" w:ascii="宋体" w:hAnsi="宋体" w:cs="宋体"/>
          <w:color w:val="auto"/>
          <w:sz w:val="24"/>
          <w:highlight w:val="none"/>
          <w:lang w:eastAsia="zh-CN"/>
        </w:rPr>
        <w:t>2026</w:t>
      </w:r>
      <w:r>
        <w:rPr>
          <w:rFonts w:hint="eastAsia" w:ascii="宋体" w:hAnsi="宋体" w:cs="宋体"/>
          <w:color w:val="auto"/>
          <w:sz w:val="24"/>
          <w:highlight w:val="none"/>
        </w:rPr>
        <w:t>年12月31日止。</w:t>
      </w:r>
    </w:p>
    <w:p w14:paraId="14C66679">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6、本项目不接受联合体投标。</w:t>
      </w:r>
    </w:p>
    <w:p w14:paraId="27872F44">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二、</w:t>
      </w:r>
      <w:r>
        <w:rPr>
          <w:rFonts w:hint="eastAsia" w:ascii="宋体" w:hAnsi="宋体"/>
          <w:b/>
          <w:color w:val="auto"/>
          <w:sz w:val="24"/>
          <w:highlight w:val="none"/>
        </w:rPr>
        <w:t>投标人</w:t>
      </w:r>
      <w:r>
        <w:rPr>
          <w:rFonts w:ascii="宋体" w:hAnsi="宋体"/>
          <w:b/>
          <w:color w:val="auto"/>
          <w:sz w:val="24"/>
          <w:highlight w:val="none"/>
        </w:rPr>
        <w:t>的资格要求：</w:t>
      </w:r>
    </w:p>
    <w:p w14:paraId="44B5C4DF">
      <w:pPr>
        <w:widowControl/>
        <w:shd w:val="clear" w:color="auto" w:fill="FFFFFF"/>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1、满足《中华人民共和国政府采购法》第二十二条规定。</w:t>
      </w:r>
    </w:p>
    <w:p w14:paraId="7103C25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落实政府采购政策需满足的资格要求：</w:t>
      </w:r>
      <w:r>
        <w:rPr>
          <w:rFonts w:hint="eastAsia" w:ascii="宋体" w:hAnsi="宋体" w:cs="宋体"/>
          <w:color w:val="auto"/>
          <w:sz w:val="24"/>
          <w:highlight w:val="none"/>
          <w:u w:val="single"/>
        </w:rPr>
        <w:t>本项目属于专门面向中小企业（</w:t>
      </w:r>
      <w:r>
        <w:rPr>
          <w:rFonts w:hint="eastAsia" w:ascii="宋体" w:hAnsi="宋体" w:cs="宋体"/>
          <w:color w:val="auto"/>
          <w:sz w:val="24"/>
          <w:highlight w:val="none"/>
          <w:u w:val="single"/>
        </w:rPr>
        <w:t>含残疾人福利性单位、监狱企业）采购的项目,供应商应为中小微企业、监狱企业或残疾人福利性单位，并按照采购文件要求提供《中小企业声明函》、《残疾人福利性单位声明函》或监狱和戒毒企业证明材料</w:t>
      </w:r>
      <w:r>
        <w:rPr>
          <w:rFonts w:hint="eastAsia" w:ascii="宋体" w:hAnsi="宋体" w:cs="宋体"/>
          <w:color w:val="auto"/>
          <w:sz w:val="24"/>
          <w:highlight w:val="none"/>
        </w:rPr>
        <w:t>。</w:t>
      </w:r>
    </w:p>
    <w:p w14:paraId="4D5209C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本项目采购标的对应的中小企业划分标准所属行业为其他未列明行业。</w:t>
      </w:r>
      <w:r>
        <w:rPr>
          <w:rFonts w:hint="eastAsia" w:ascii="宋体" w:hAnsi="宋体" w:cs="宋体"/>
          <w:color w:val="auto"/>
          <w:sz w:val="24"/>
          <w:highlight w:val="none"/>
          <w:shd w:val="clear" w:color="auto" w:fill="FFFFFF"/>
        </w:rPr>
        <w:t>从业人员300人以下的为中小微型企业。其中，从业人员100人及以上的为中型企业；从业人员10人及以上的为小型企业；从业人员10人以下的为微型企业</w:t>
      </w:r>
      <w:r>
        <w:rPr>
          <w:rFonts w:hint="eastAsia" w:ascii="宋体" w:hAnsi="宋体" w:cs="宋体"/>
          <w:color w:val="auto"/>
          <w:sz w:val="24"/>
          <w:highlight w:val="none"/>
        </w:rPr>
        <w:t>。</w:t>
      </w:r>
    </w:p>
    <w:p w14:paraId="05B4FC56">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、投标单位具有独立法人资格和</w:t>
      </w:r>
      <w:r>
        <w:rPr>
          <w:rFonts w:hint="eastAsia" w:ascii="宋体" w:hAnsi="宋体" w:cs="宋体"/>
          <w:bCs/>
          <w:color w:val="auto"/>
          <w:sz w:val="24"/>
          <w:highlight w:val="none"/>
        </w:rPr>
        <w:t>工程测量乙级及以上测绘资质；</w:t>
      </w:r>
    </w:p>
    <w:p w14:paraId="6EA2B6F0">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w:t>
      </w:r>
      <w:r>
        <w:rPr>
          <w:rFonts w:hint="eastAsia" w:ascii="宋体" w:hAnsi="宋体" w:cs="宋体"/>
          <w:bCs/>
          <w:color w:val="auto"/>
          <w:sz w:val="24"/>
          <w:highlight w:val="none"/>
        </w:rPr>
        <w:t>拟派本项目负责人具备水利工程专业中级及以上职称</w:t>
      </w:r>
      <w:r>
        <w:rPr>
          <w:rFonts w:hint="eastAsia" w:ascii="宋体" w:hAnsi="宋体" w:cs="宋体"/>
          <w:bCs/>
          <w:color w:val="auto"/>
          <w:sz w:val="24"/>
          <w:highlight w:val="none"/>
        </w:rPr>
        <w:t>（需提供人员证书复印件及投标企业所在地社保机构出具的企业为其缴纳的最近6个月中任意一个月的社保缴费证明并加盖公章，可提供原件扫描件或官网打印具有二维码或验证码的官网打印件或截图）。</w:t>
      </w:r>
    </w:p>
    <w:p w14:paraId="394AD89A">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、投标单位未被“信用中国”网站列入失信被执行人、重大税收违法</w:t>
      </w:r>
      <w:r>
        <w:rPr>
          <w:rFonts w:hint="eastAsia" w:ascii="宋体" w:hAnsi="宋体" w:cs="宋体"/>
          <w:bCs/>
          <w:color w:val="auto"/>
          <w:sz w:val="24"/>
          <w:highlight w:val="none"/>
          <w:lang w:val="en-US" w:eastAsia="zh-CN"/>
        </w:rPr>
        <w:t>失信主体</w:t>
      </w:r>
      <w:r>
        <w:rPr>
          <w:rFonts w:hint="eastAsia" w:ascii="宋体" w:hAnsi="宋体" w:cs="宋体"/>
          <w:bCs/>
          <w:color w:val="auto"/>
          <w:sz w:val="24"/>
          <w:highlight w:val="none"/>
        </w:rPr>
        <w:t>、政府采购严重违法失信行为记录名单、</w:t>
      </w:r>
      <w:r>
        <w:rPr>
          <w:rFonts w:hint="eastAsia" w:ascii="宋体" w:hAnsi="宋体" w:cs="宋体"/>
          <w:bCs/>
          <w:color w:val="auto"/>
          <w:sz w:val="24"/>
          <w:highlight w:val="none"/>
          <w:lang w:val="en-US" w:eastAsia="zh-CN"/>
        </w:rPr>
        <w:t>经营（活动）</w:t>
      </w:r>
      <w:r>
        <w:rPr>
          <w:rFonts w:hint="eastAsia" w:ascii="宋体" w:hAnsi="宋体" w:cs="宋体"/>
          <w:bCs/>
          <w:color w:val="auto"/>
          <w:sz w:val="24"/>
          <w:highlight w:val="none"/>
        </w:rPr>
        <w:t>异常名录、严重失信</w:t>
      </w:r>
      <w:r>
        <w:rPr>
          <w:rFonts w:hint="eastAsia" w:ascii="宋体" w:hAnsi="宋体" w:cs="宋体"/>
          <w:bCs/>
          <w:color w:val="auto"/>
          <w:sz w:val="24"/>
          <w:highlight w:val="none"/>
          <w:lang w:val="en-US" w:eastAsia="zh-CN"/>
        </w:rPr>
        <w:t>主体</w:t>
      </w:r>
      <w:r>
        <w:rPr>
          <w:rFonts w:hint="eastAsia" w:ascii="宋体" w:hAnsi="宋体" w:cs="宋体"/>
          <w:bCs/>
          <w:color w:val="auto"/>
          <w:sz w:val="24"/>
          <w:highlight w:val="none"/>
        </w:rPr>
        <w:t>名单；为确保政府采购守法供应商公平参加政府采购活动，采购代理机构将在开标开始后一个小时内，通过“信用中国”网站对供应商信用信息进行查询查证，并将查询记录截屏打印保存在采购档案内。如核实未通过，经评标小组确认后资格审查不予通过；</w:t>
      </w:r>
    </w:p>
    <w:p w14:paraId="7393A5A2">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关于</w:t>
      </w:r>
      <w:r>
        <w:rPr>
          <w:rFonts w:hint="eastAsia" w:ascii="宋体" w:hAnsi="宋体" w:cs="宋体"/>
          <w:bCs/>
          <w:color w:val="auto"/>
          <w:sz w:val="24"/>
          <w:highlight w:val="none"/>
        </w:rPr>
        <w:t>资格</w:t>
      </w:r>
      <w:r>
        <w:rPr>
          <w:rFonts w:hint="eastAsia" w:ascii="宋体" w:hAnsi="宋体" w:cs="宋体"/>
          <w:bCs/>
          <w:color w:val="auto"/>
          <w:sz w:val="24"/>
          <w:highlight w:val="none"/>
          <w:lang w:val="en-US" w:eastAsia="zh-CN"/>
        </w:rPr>
        <w:t>文件的</w:t>
      </w:r>
      <w:r>
        <w:rPr>
          <w:rFonts w:hint="eastAsia" w:ascii="宋体" w:hAnsi="宋体" w:cs="宋体"/>
          <w:bCs/>
          <w:color w:val="auto"/>
          <w:sz w:val="24"/>
          <w:highlight w:val="none"/>
        </w:rPr>
        <w:t>声明函；</w:t>
      </w:r>
    </w:p>
    <w:p w14:paraId="4E519817">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、法定代表人为同一个人或者存在投资、控股以及其他关联关系的不同单位，不得参加同一项目的招标活动；</w:t>
      </w:r>
    </w:p>
    <w:p w14:paraId="23CAF91E">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、本项目不接受联合体投标。</w:t>
      </w:r>
    </w:p>
    <w:p w14:paraId="049509A2">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、符合相关法律、法规规定的其他要求。</w:t>
      </w:r>
    </w:p>
    <w:p w14:paraId="6E97D648">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三、获取招标文件</w:t>
      </w:r>
    </w:p>
    <w:p w14:paraId="0B9EEEAD">
      <w:pPr>
        <w:snapToGrid w:val="0"/>
        <w:spacing w:line="360" w:lineRule="auto"/>
        <w:ind w:firstLine="480" w:firstLineChars="200"/>
        <w:rPr>
          <w:rFonts w:ascii="宋体" w:hAnsi="宋体"/>
          <w:color w:val="auto"/>
          <w:sz w:val="24"/>
          <w:szCs w:val="21"/>
          <w:highlight w:val="none"/>
          <w:lang w:val="zh-CN"/>
        </w:rPr>
      </w:pPr>
      <w:r>
        <w:rPr>
          <w:rFonts w:ascii="宋体" w:hAnsi="宋体"/>
          <w:color w:val="auto"/>
          <w:sz w:val="24"/>
          <w:szCs w:val="21"/>
          <w:highlight w:val="none"/>
          <w:lang w:val="zh-CN"/>
        </w:rPr>
        <w:t>1、时间：</w:t>
      </w:r>
      <w:r>
        <w:rPr>
          <w:rFonts w:ascii="宋体" w:hAnsi="宋体"/>
          <w:color w:val="auto"/>
          <w:sz w:val="24"/>
          <w:szCs w:val="21"/>
          <w:highlight w:val="none"/>
          <w:u w:val="single"/>
          <w:lang w:val="zh-CN"/>
        </w:rPr>
        <w:t>自本招标公告发布之日起</w:t>
      </w:r>
      <w:r>
        <w:rPr>
          <w:rFonts w:hint="eastAsia" w:ascii="宋体" w:hAnsi="宋体"/>
          <w:color w:val="auto"/>
          <w:sz w:val="24"/>
          <w:szCs w:val="21"/>
          <w:highlight w:val="none"/>
          <w:u w:val="single"/>
        </w:rPr>
        <w:t>至</w:t>
      </w:r>
      <w:r>
        <w:rPr>
          <w:rFonts w:hint="eastAsia" w:ascii="宋体" w:hAnsi="宋体"/>
          <w:color w:val="auto"/>
          <w:sz w:val="24"/>
          <w:szCs w:val="21"/>
          <w:highlight w:val="none"/>
          <w:u w:val="single"/>
          <w:lang w:eastAsia="zh-CN"/>
        </w:rPr>
        <w:t>2026</w:t>
      </w:r>
      <w:r>
        <w:rPr>
          <w:rFonts w:hint="eastAsia" w:ascii="宋体" w:hAnsi="宋体"/>
          <w:color w:val="auto"/>
          <w:sz w:val="24"/>
          <w:szCs w:val="21"/>
          <w:highlight w:val="none"/>
          <w:u w:val="single"/>
        </w:rPr>
        <w:t>年</w:t>
      </w:r>
      <w:r>
        <w:rPr>
          <w:rFonts w:hint="eastAsia" w:ascii="宋体" w:hAnsi="宋体"/>
          <w:color w:val="auto"/>
          <w:sz w:val="24"/>
          <w:szCs w:val="21"/>
          <w:highlight w:val="none"/>
          <w:u w:val="single"/>
          <w:lang w:val="en-US" w:eastAsia="zh-CN"/>
        </w:rPr>
        <w:t>3</w:t>
      </w:r>
      <w:r>
        <w:rPr>
          <w:rFonts w:hint="eastAsia" w:ascii="宋体" w:hAnsi="宋体"/>
          <w:color w:val="auto"/>
          <w:sz w:val="24"/>
          <w:szCs w:val="21"/>
          <w:highlight w:val="none"/>
          <w:u w:val="single"/>
        </w:rPr>
        <w:t>月</w:t>
      </w:r>
      <w:r>
        <w:rPr>
          <w:rFonts w:hint="eastAsia" w:ascii="宋体" w:hAnsi="宋体"/>
          <w:color w:val="auto"/>
          <w:sz w:val="24"/>
          <w:szCs w:val="21"/>
          <w:highlight w:val="none"/>
          <w:u w:val="single"/>
          <w:lang w:val="en-US" w:eastAsia="zh-CN"/>
        </w:rPr>
        <w:t>6</w:t>
      </w:r>
      <w:r>
        <w:rPr>
          <w:rFonts w:hint="eastAsia" w:ascii="宋体" w:hAnsi="宋体"/>
          <w:color w:val="auto"/>
          <w:sz w:val="24"/>
          <w:szCs w:val="21"/>
          <w:highlight w:val="none"/>
          <w:u w:val="single"/>
        </w:rPr>
        <w:t>日</w:t>
      </w:r>
      <w:r>
        <w:rPr>
          <w:rFonts w:ascii="宋体" w:hAnsi="宋体"/>
          <w:color w:val="auto"/>
          <w:sz w:val="24"/>
          <w:szCs w:val="21"/>
          <w:highlight w:val="none"/>
          <w:lang w:val="zh-CN"/>
        </w:rPr>
        <w:t>。</w:t>
      </w:r>
    </w:p>
    <w:p w14:paraId="49803671">
      <w:pPr>
        <w:adjustRightInd w:val="0"/>
        <w:snapToGrid w:val="0"/>
        <w:spacing w:line="360" w:lineRule="auto"/>
        <w:ind w:right="-600" w:rightChars="-286" w:firstLine="480" w:firstLineChars="200"/>
        <w:rPr>
          <w:rFonts w:ascii="宋体" w:hAnsi="宋体"/>
          <w:color w:val="auto"/>
          <w:sz w:val="24"/>
          <w:szCs w:val="21"/>
          <w:highlight w:val="none"/>
          <w:u w:val="single"/>
          <w:lang w:val="zh-CN"/>
        </w:rPr>
      </w:pPr>
      <w:bookmarkStart w:id="10" w:name="_Toc387526369"/>
      <w:bookmarkStart w:id="11" w:name="_Toc387526173"/>
      <w:bookmarkStart w:id="12" w:name="_Toc387526277"/>
      <w:r>
        <w:rPr>
          <w:rFonts w:ascii="宋体" w:hAnsi="宋体"/>
          <w:color w:val="auto"/>
          <w:sz w:val="24"/>
          <w:szCs w:val="21"/>
          <w:highlight w:val="none"/>
          <w:lang w:val="zh-CN"/>
        </w:rPr>
        <w:t>2、方式：</w:t>
      </w:r>
      <w:r>
        <w:rPr>
          <w:rFonts w:ascii="宋体" w:hAnsi="宋体"/>
          <w:color w:val="auto"/>
          <w:sz w:val="24"/>
          <w:szCs w:val="21"/>
          <w:highlight w:val="none"/>
          <w:u w:val="single"/>
          <w:lang w:val="zh-CN"/>
        </w:rPr>
        <w:t>本项目资格审查采用资格后审方式，无报名环节，投标人直接从</w:t>
      </w:r>
      <w:r>
        <w:rPr>
          <w:rFonts w:hint="eastAsia" w:ascii="宋体" w:hAnsi="宋体"/>
          <w:color w:val="auto"/>
          <w:sz w:val="24"/>
          <w:szCs w:val="21"/>
          <w:highlight w:val="none"/>
          <w:u w:val="single"/>
          <w:lang w:val="zh-CN"/>
        </w:rPr>
        <w:t>南通市水利局网站（</w:t>
      </w:r>
      <w:r>
        <w:rPr>
          <w:rFonts w:ascii="宋体" w:hAnsi="宋体"/>
          <w:color w:val="auto"/>
          <w:szCs w:val="21"/>
          <w:highlight w:val="none"/>
          <w:u w:val="single"/>
          <w:lang w:val="zh-CN"/>
        </w:rPr>
        <w:t>http://slj.nantong.gov.cn/-</w:t>
      </w:r>
      <w:r>
        <w:rPr>
          <w:rFonts w:hint="eastAsia" w:ascii="宋体" w:hAnsi="宋体"/>
          <w:color w:val="auto"/>
          <w:sz w:val="24"/>
          <w:szCs w:val="21"/>
          <w:highlight w:val="none"/>
          <w:u w:val="single"/>
          <w:lang w:val="zh-CN"/>
        </w:rPr>
        <w:t>公告公示栏目）下载</w:t>
      </w:r>
      <w:r>
        <w:rPr>
          <w:rFonts w:ascii="宋体" w:hAnsi="宋体"/>
          <w:color w:val="auto"/>
          <w:sz w:val="24"/>
          <w:szCs w:val="21"/>
          <w:highlight w:val="none"/>
          <w:u w:val="single"/>
          <w:lang w:val="zh-CN"/>
        </w:rPr>
        <w:t>招标文件、澄清答疑等相关招标资料</w:t>
      </w:r>
      <w:r>
        <w:rPr>
          <w:rFonts w:hint="eastAsia" w:ascii="宋体" w:hAnsi="宋体"/>
          <w:color w:val="auto"/>
          <w:sz w:val="24"/>
          <w:szCs w:val="21"/>
          <w:highlight w:val="none"/>
          <w:u w:val="single"/>
          <w:lang w:val="zh-CN"/>
        </w:rPr>
        <w:t>。</w:t>
      </w:r>
    </w:p>
    <w:bookmarkEnd w:id="10"/>
    <w:bookmarkEnd w:id="11"/>
    <w:bookmarkEnd w:id="12"/>
    <w:p w14:paraId="2D1E68E6">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四、提交投标文件截止时间、开标时间和地点</w:t>
      </w:r>
    </w:p>
    <w:p w14:paraId="13B325B6">
      <w:pPr>
        <w:widowControl/>
        <w:snapToGrid w:val="0"/>
        <w:spacing w:line="360" w:lineRule="auto"/>
        <w:ind w:firstLine="470" w:firstLineChars="196"/>
        <w:jc w:val="left"/>
        <w:rPr>
          <w:rFonts w:ascii="宋体" w:hAnsi="宋体"/>
          <w:color w:val="auto"/>
          <w:sz w:val="24"/>
          <w:highlight w:val="none"/>
        </w:rPr>
      </w:pPr>
      <w:r>
        <w:rPr>
          <w:rFonts w:ascii="宋体" w:hAnsi="宋体"/>
          <w:color w:val="auto"/>
          <w:sz w:val="24"/>
          <w:highlight w:val="none"/>
        </w:rPr>
        <w:t>截止时间及开标时间：</w:t>
      </w:r>
      <w:r>
        <w:rPr>
          <w:rFonts w:hint="eastAsia" w:ascii="宋体" w:hAnsi="宋体"/>
          <w:color w:val="auto"/>
          <w:sz w:val="24"/>
          <w:highlight w:val="none"/>
          <w:u w:val="single"/>
          <w:lang w:eastAsia="zh-CN"/>
        </w:rPr>
        <w:t>2026</w:t>
      </w:r>
      <w:r>
        <w:rPr>
          <w:rFonts w:ascii="宋体" w:hAnsi="宋体"/>
          <w:color w:val="auto"/>
          <w:sz w:val="24"/>
          <w:highlight w:val="none"/>
          <w:u w:val="single"/>
        </w:rPr>
        <w:t>年</w:t>
      </w:r>
      <w:r>
        <w:rPr>
          <w:rFonts w:hint="eastAsia" w:ascii="宋体" w:hAnsi="宋体"/>
          <w:color w:val="auto"/>
          <w:sz w:val="24"/>
          <w:highlight w:val="none"/>
          <w:u w:val="single"/>
          <w:lang w:val="en-US" w:eastAsia="zh-CN"/>
        </w:rPr>
        <w:t>3</w:t>
      </w:r>
      <w:r>
        <w:rPr>
          <w:rFonts w:ascii="宋体" w:hAnsi="宋体"/>
          <w:color w:val="auto"/>
          <w:sz w:val="24"/>
          <w:highlight w:val="none"/>
          <w:u w:val="single"/>
        </w:rPr>
        <w:t>月</w:t>
      </w:r>
      <w:r>
        <w:rPr>
          <w:rFonts w:hint="eastAsia" w:ascii="宋体" w:hAnsi="宋体"/>
          <w:color w:val="auto"/>
          <w:sz w:val="24"/>
          <w:highlight w:val="none"/>
          <w:u w:val="single"/>
          <w:lang w:val="en-US" w:eastAsia="zh-CN"/>
        </w:rPr>
        <w:t>6</w:t>
      </w:r>
      <w:r>
        <w:rPr>
          <w:rFonts w:ascii="宋体" w:hAnsi="宋体"/>
          <w:color w:val="auto"/>
          <w:sz w:val="24"/>
          <w:highlight w:val="none"/>
          <w:u w:val="single"/>
        </w:rPr>
        <w:t>日</w:t>
      </w:r>
      <w:r>
        <w:rPr>
          <w:rFonts w:hint="eastAsia" w:ascii="宋体" w:hAnsi="宋体"/>
          <w:color w:val="auto"/>
          <w:sz w:val="24"/>
          <w:highlight w:val="none"/>
          <w:u w:val="single"/>
          <w:lang w:val="en-US" w:eastAsia="zh-CN"/>
        </w:rPr>
        <w:t>14</w:t>
      </w:r>
      <w:r>
        <w:rPr>
          <w:rFonts w:ascii="宋体" w:hAnsi="宋体"/>
          <w:color w:val="auto"/>
          <w:sz w:val="24"/>
          <w:highlight w:val="none"/>
          <w:u w:val="single"/>
        </w:rPr>
        <w:t>时</w:t>
      </w:r>
      <w:r>
        <w:rPr>
          <w:rFonts w:hint="eastAsia" w:ascii="宋体" w:hAnsi="宋体"/>
          <w:color w:val="auto"/>
          <w:sz w:val="24"/>
          <w:highlight w:val="none"/>
          <w:u w:val="single"/>
          <w:lang w:val="en-US" w:eastAsia="zh-CN"/>
        </w:rPr>
        <w:t>00</w:t>
      </w:r>
      <w:r>
        <w:rPr>
          <w:rFonts w:ascii="宋体" w:hAnsi="宋体"/>
          <w:color w:val="auto"/>
          <w:sz w:val="24"/>
          <w:highlight w:val="none"/>
          <w:u w:val="single"/>
        </w:rPr>
        <w:t>分</w:t>
      </w:r>
      <w:r>
        <w:rPr>
          <w:rFonts w:ascii="宋体" w:hAnsi="宋体"/>
          <w:color w:val="auto"/>
          <w:sz w:val="24"/>
          <w:highlight w:val="none"/>
        </w:rPr>
        <w:t>；</w:t>
      </w:r>
    </w:p>
    <w:p w14:paraId="5D9643EB">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地点：</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rPr>
        <w:t xml:space="preserve">南通市通吕运河水利工程管理所（外环西路397号）三楼会议室 </w:t>
      </w:r>
      <w:r>
        <w:rPr>
          <w:rFonts w:ascii="宋体" w:hAnsi="宋体"/>
          <w:color w:val="auto"/>
          <w:kern w:val="0"/>
          <w:sz w:val="24"/>
          <w:highlight w:val="none"/>
        </w:rPr>
        <w:t>。</w:t>
      </w:r>
    </w:p>
    <w:p w14:paraId="79F82497">
      <w:pPr>
        <w:widowControl/>
        <w:snapToGrid w:val="0"/>
        <w:spacing w:line="360" w:lineRule="auto"/>
        <w:ind w:firstLine="480" w:firstLineChars="200"/>
        <w:jc w:val="left"/>
        <w:rPr>
          <w:rFonts w:ascii="宋体" w:hAnsi="宋体"/>
          <w:b/>
          <w:bCs/>
          <w:color w:val="auto"/>
          <w:sz w:val="24"/>
          <w:highlight w:val="none"/>
        </w:rPr>
      </w:pPr>
      <w:r>
        <w:rPr>
          <w:rFonts w:hint="eastAsia" w:ascii="宋体" w:hAnsi="宋体"/>
          <w:b/>
          <w:bCs/>
          <w:color w:val="auto"/>
          <w:sz w:val="24"/>
          <w:highlight w:val="none"/>
        </w:rPr>
        <w:t>投标人递交投标文件时，投标人的法定代表人（或其授权代理人）必须携带本人身份证件原件、法定代表人身份证明（或授权委托书）原件准时参加开标会议。否则，其投标文件不予受理。</w:t>
      </w:r>
    </w:p>
    <w:p w14:paraId="5DD9D87F">
      <w:pPr>
        <w:widowControl/>
        <w:snapToGrid w:val="0"/>
        <w:spacing w:line="360" w:lineRule="auto"/>
        <w:ind w:firstLine="480" w:firstLineChars="200"/>
        <w:jc w:val="left"/>
        <w:rPr>
          <w:rFonts w:ascii="宋体" w:hAnsi="宋体"/>
          <w:b/>
          <w:bCs/>
          <w:color w:val="auto"/>
          <w:sz w:val="24"/>
          <w:highlight w:val="none"/>
        </w:rPr>
      </w:pPr>
      <w:r>
        <w:rPr>
          <w:rFonts w:hint="eastAsia" w:ascii="宋体" w:hAnsi="宋体"/>
          <w:b/>
          <w:bCs/>
          <w:color w:val="auto"/>
          <w:sz w:val="24"/>
          <w:highlight w:val="none"/>
        </w:rPr>
        <w:t>注：法定代表人身份证明（或授权委托书）不仅需要装订在投标文件中，还需要一份原件由法定代表人（或其授权代理人）在投标时随身携带，供递交投标文件时核验。</w:t>
      </w:r>
    </w:p>
    <w:p w14:paraId="59D95290">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五、公告期限</w:t>
      </w:r>
    </w:p>
    <w:p w14:paraId="45818708">
      <w:pPr>
        <w:widowControl/>
        <w:snapToGrid w:val="0"/>
        <w:spacing w:line="360" w:lineRule="auto"/>
        <w:ind w:firstLine="470" w:firstLineChars="196"/>
        <w:jc w:val="left"/>
        <w:rPr>
          <w:rFonts w:ascii="宋体" w:hAnsi="宋体"/>
          <w:color w:val="auto"/>
          <w:sz w:val="24"/>
          <w:highlight w:val="none"/>
        </w:rPr>
      </w:pPr>
      <w:r>
        <w:rPr>
          <w:rFonts w:ascii="宋体" w:hAnsi="宋体"/>
          <w:color w:val="auto"/>
          <w:sz w:val="24"/>
          <w:highlight w:val="none"/>
        </w:rPr>
        <w:t>自本公告发布之日起5个工作日。</w:t>
      </w:r>
    </w:p>
    <w:p w14:paraId="095872BE">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六、其他补充事宜</w:t>
      </w:r>
    </w:p>
    <w:p w14:paraId="1A10C0A8">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本项目采用现场开标模式，投标人须在提交投标文件的截止时间前到达开标现场提交纸质投标文件。</w:t>
      </w:r>
    </w:p>
    <w:p w14:paraId="568C198B">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七</w:t>
      </w:r>
      <w:r>
        <w:rPr>
          <w:rFonts w:ascii="宋体" w:hAnsi="宋体"/>
          <w:b/>
          <w:color w:val="auto"/>
          <w:sz w:val="24"/>
          <w:highlight w:val="none"/>
        </w:rPr>
        <w:t>、凡对本次采购提出询问，请按以下方式联系。</w:t>
      </w:r>
    </w:p>
    <w:bookmarkEnd w:id="4"/>
    <w:bookmarkEnd w:id="5"/>
    <w:bookmarkEnd w:id="6"/>
    <w:bookmarkEnd w:id="7"/>
    <w:p w14:paraId="36899913">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1.采购人：南通市通吕运河水利工程管理所</w:t>
      </w:r>
    </w:p>
    <w:p w14:paraId="14370324">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0513-83530190</w:t>
      </w:r>
    </w:p>
    <w:p w14:paraId="05B40AB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2、采购代理机构：江苏建博工程管理咨询有限公司</w:t>
      </w:r>
    </w:p>
    <w:p w14:paraId="4EDA0BC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址：南通市崇川区新胜路北同济科技园B7栋四楼</w:t>
      </w:r>
    </w:p>
    <w:p w14:paraId="03A920B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联系人：刘丽敏</w:t>
      </w:r>
    </w:p>
    <w:p w14:paraId="76A2F92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联系电话：18251304156</w:t>
      </w:r>
    </w:p>
    <w:p w14:paraId="49F3F0A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4AD092A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项目联系人：刘丽敏</w:t>
      </w:r>
    </w:p>
    <w:p w14:paraId="3760B96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话：18251304156</w:t>
      </w:r>
    </w:p>
    <w:p w14:paraId="5A7A22AC">
      <w:pPr>
        <w:pStyle w:val="63"/>
        <w:rPr>
          <w:color w:val="auto"/>
          <w:kern w:val="0"/>
          <w:sz w:val="24"/>
          <w:highlight w:val="none"/>
        </w:rPr>
      </w:pPr>
      <w:r>
        <w:rPr>
          <w:color w:val="auto"/>
          <w:highlight w:val="none"/>
        </w:rPr>
        <w:br w:type="page"/>
      </w:r>
      <w:bookmarkEnd w:id="8"/>
      <w:bookmarkEnd w:id="9"/>
      <w:bookmarkStart w:id="13" w:name="_Toc182848970"/>
      <w:r>
        <w:rPr>
          <w:rStyle w:val="124"/>
          <w:rFonts w:hint="default"/>
          <w:color w:val="auto"/>
          <w:sz w:val="28"/>
          <w:szCs w:val="28"/>
          <w:highlight w:val="none"/>
        </w:rPr>
        <w:t>第二章  投标人须知</w:t>
      </w:r>
      <w:bookmarkEnd w:id="13"/>
    </w:p>
    <w:p w14:paraId="04283A4D">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一、说明</w:t>
      </w:r>
    </w:p>
    <w:p w14:paraId="79D912A6">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1、本招标文件仅适用于采购人组织的本次公开招标活动。</w:t>
      </w:r>
    </w:p>
    <w:p w14:paraId="0DE4BD1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2、公开招标活动及因本次招标产生的合同受中国法律制约和保护。</w:t>
      </w:r>
    </w:p>
    <w:p w14:paraId="48403FFD">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3、招标文件的解释权属于采购人。</w:t>
      </w:r>
    </w:p>
    <w:p w14:paraId="2027588B">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投标人在知道或应当知道本项目招标公告及招标文件中的所有内容：如内容或页码短缺、资格要求和技术参数出现倾向性或排他性等表述的，</w:t>
      </w:r>
      <w:r>
        <w:rPr>
          <w:rFonts w:hint="eastAsia" w:ascii="宋体" w:hAnsi="宋体" w:cs="宋体"/>
          <w:b/>
          <w:color w:val="auto"/>
          <w:sz w:val="24"/>
          <w:highlight w:val="none"/>
        </w:rPr>
        <w:t>应在本项目招标公告发布之日起的7个工作日内提出询问或以书面实名制形式提出质疑</w:t>
      </w:r>
      <w:r>
        <w:rPr>
          <w:rFonts w:hint="eastAsia" w:ascii="宋体" w:hAnsi="宋体" w:cs="宋体"/>
          <w:color w:val="auto"/>
          <w:sz w:val="24"/>
          <w:highlight w:val="none"/>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hint="eastAsia" w:ascii="宋体" w:hAnsi="宋体" w:cs="宋体"/>
          <w:b/>
          <w:bCs/>
          <w:color w:val="auto"/>
          <w:sz w:val="24"/>
          <w:highlight w:val="none"/>
        </w:rPr>
        <w:t>非书面形式的不作为日后质疑提出的依据。</w:t>
      </w:r>
    </w:p>
    <w:p w14:paraId="35F8A8E5">
      <w:pPr>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5、投标人应认真审阅招标文件中所有的事项、格式、条款和规范要求等，如果投标人没有按照招标文件要求提交投标文件，或者投标文件没有对招标文件做出实质性响应，将被拒绝参</w:t>
      </w:r>
      <w:r>
        <w:rPr>
          <w:rFonts w:hint="eastAsia" w:ascii="宋体" w:hAnsi="宋体" w:cs="宋体"/>
          <w:color w:val="auto"/>
          <w:sz w:val="24"/>
          <w:highlight w:val="none"/>
        </w:rPr>
        <w:t>与投标。</w:t>
      </w:r>
    </w:p>
    <w:p w14:paraId="5E96570D">
      <w:pPr>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二、招标文件的补充说明、澄清、修改、答疑</w:t>
      </w:r>
    </w:p>
    <w:p w14:paraId="16621B83">
      <w:pPr>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s="宋体"/>
          <w:color w:val="auto"/>
          <w:sz w:val="24"/>
          <w:highlight w:val="none"/>
        </w:rPr>
        <w:t>采购人有权对发出的招标文件进行必要的补充说明、澄清或修改。</w:t>
      </w:r>
    </w:p>
    <w:p w14:paraId="3FDC4BD0">
      <w:pPr>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2、招标文件的澄清、修改、补充等内容均以补充公告的形式发布，且以在南通市</w:t>
      </w:r>
      <w:r>
        <w:rPr>
          <w:rFonts w:hint="eastAsia" w:ascii="宋体" w:hAnsi="宋体"/>
          <w:color w:val="auto"/>
          <w:kern w:val="0"/>
          <w:sz w:val="24"/>
          <w:highlight w:val="none"/>
        </w:rPr>
        <w:t>水利局</w:t>
      </w:r>
      <w:r>
        <w:rPr>
          <w:rFonts w:ascii="宋体" w:hAnsi="宋体"/>
          <w:color w:val="auto"/>
          <w:kern w:val="0"/>
          <w:sz w:val="24"/>
          <w:highlight w:val="none"/>
        </w:rPr>
        <w:t>网站发布的信息为准。</w:t>
      </w:r>
    </w:p>
    <w:p w14:paraId="0118E59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3、采购人对招标文件的补充说明、澄清或修改，将构成招标文件的一部分，对所有投标人具有约束力。</w:t>
      </w:r>
    </w:p>
    <w:p w14:paraId="3F41FE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4、补充说明、澄清或修改的内容可能影响到投标文件编制的，采购人将在投标截止时间15日前，发布补充说明、澄清或修改公告，不足15日的，应当顺延提交投标文件的截止时间。</w:t>
      </w:r>
    </w:p>
    <w:p w14:paraId="31CBB2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5、除非采购人以书面的形式对招标文件作出澄清、修改及补充，投标人对涉及招标文件的任何推论、理解和结论所造成的结果，均由投标人自负。</w:t>
      </w:r>
    </w:p>
    <w:p w14:paraId="02E299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6、采购人视情组织答疑会。如有产生答疑且对招标文件内容有修改，采购人将按照本须知有关规定，以补充通知（公告）的方式发出。</w:t>
      </w:r>
    </w:p>
    <w:p w14:paraId="39716471">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三、投标项目涉及到的现场勘查</w:t>
      </w:r>
    </w:p>
    <w:p w14:paraId="2C96D2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7DDFC83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2、采购人向投标人提供的有关现场的资料和数据，是采购人现有的并认为能使投标人可利用的资料。采购人对投标人由此而做出的推论、理解和结论概不负责。</w:t>
      </w:r>
    </w:p>
    <w:p w14:paraId="4654249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2BFB17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4、投标人不得因勘查现场使采购人承担有关的责任和蒙受损失。投标人应承担勘查现场的责任和风险。</w:t>
      </w:r>
    </w:p>
    <w:p w14:paraId="70510BF6">
      <w:pPr>
        <w:numPr>
          <w:ilvl w:val="0"/>
          <w:numId w:val="7"/>
        </w:numPr>
        <w:snapToGrid w:val="0"/>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投标文件的组成及装订</w:t>
      </w:r>
    </w:p>
    <w:p w14:paraId="17CF4A1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1、投标文件由：①资格审查文件、②商务技术标、③价格标共三部分组成。</w:t>
      </w:r>
    </w:p>
    <w:p w14:paraId="49EEF25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2B708F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3、投标文件的“资格审查文件”、“商务技术标”、“价格标”各自装订成册。特别提示：“资格审查文件”和“商务技术标”中不得出现价格。</w:t>
      </w:r>
    </w:p>
    <w:p w14:paraId="1A5DD96A">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五、投标文件的份数、签署</w:t>
      </w:r>
    </w:p>
    <w:p w14:paraId="44DC42F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1、投标人应准备</w:t>
      </w:r>
      <w:r>
        <w:rPr>
          <w:rFonts w:hint="eastAsia" w:ascii="宋体" w:hAnsi="宋体" w:cs="宋体"/>
          <w:color w:val="auto"/>
          <w:sz w:val="24"/>
          <w:highlight w:val="none"/>
          <w:u w:val="single"/>
        </w:rPr>
        <w:t xml:space="preserve"> 伍 </w:t>
      </w:r>
      <w:r>
        <w:rPr>
          <w:rFonts w:hint="eastAsia" w:ascii="宋体" w:hAnsi="宋体" w:cs="宋体"/>
          <w:color w:val="auto"/>
          <w:sz w:val="24"/>
          <w:highlight w:val="none"/>
        </w:rPr>
        <w:t>份完整的投标文件，其中正本</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肆 </w:t>
      </w:r>
      <w:r>
        <w:rPr>
          <w:rFonts w:hint="eastAsia" w:ascii="宋体" w:hAnsi="宋体" w:cs="宋体"/>
          <w:color w:val="auto"/>
          <w:sz w:val="24"/>
          <w:highlight w:val="none"/>
        </w:rPr>
        <w:t>份，并标明“正本”或“副本”字样，若有差异，概以“正本”为准。</w:t>
      </w:r>
    </w:p>
    <w:p w14:paraId="69EE33C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2、投标文件分三册密封。第一册为“资格审查文件”，第二册为 “商务技术标”，第三册为 “价格标”，投标文件的第一册、第二册、第三册应分别密封，并在封袋上标明“资格审查文件”、“商务技术标”、“价格标”。</w:t>
      </w:r>
    </w:p>
    <w:p w14:paraId="7A0AAE9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3、投标人可将投标文件正副本统一密封或分别密封，如正本和副本分别密封的，应在封袋上标明正、副本字样。</w:t>
      </w:r>
    </w:p>
    <w:p w14:paraId="1BCEFDE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4、投标文件正本须按招标文件要求由法定代表人或被授权人签字或盖章并加盖投标人印章。副本可复印，但须加盖投标人印章。</w:t>
      </w:r>
    </w:p>
    <w:p w14:paraId="07A2AE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5、开标程序顺利进行后，所有投标文件都将作为档案保存，不论成交与否，代理机构均不退回（未拆封的除外）。</w:t>
      </w:r>
    </w:p>
    <w:p w14:paraId="34FF1165">
      <w:pPr>
        <w:snapToGrid w:val="0"/>
        <w:spacing w:line="360" w:lineRule="auto"/>
        <w:ind w:firstLine="470" w:firstLineChars="196"/>
        <w:outlineLvl w:val="1"/>
        <w:rPr>
          <w:rFonts w:ascii="宋体" w:hAnsi="宋体" w:cs="宋体"/>
          <w:b/>
          <w:bCs/>
          <w:color w:val="auto"/>
          <w:sz w:val="24"/>
          <w:highlight w:val="none"/>
        </w:rPr>
      </w:pPr>
      <w:r>
        <w:rPr>
          <w:rFonts w:hint="eastAsia" w:ascii="宋体" w:hAnsi="宋体" w:cs="宋体"/>
          <w:b/>
          <w:bCs/>
          <w:color w:val="auto"/>
          <w:sz w:val="24"/>
          <w:highlight w:val="none"/>
        </w:rPr>
        <w:t>六、投标文件的密封及标记</w:t>
      </w:r>
    </w:p>
    <w:p w14:paraId="3ED3BCD1">
      <w:pPr>
        <w:snapToGrid w:val="0"/>
        <w:spacing w:line="360" w:lineRule="auto"/>
        <w:ind w:firstLine="480" w:firstLineChars="200"/>
        <w:rPr>
          <w:rFonts w:ascii="宋体" w:hAnsi="宋体" w:cs="宋体"/>
          <w:b/>
          <w:color w:val="auto"/>
          <w:sz w:val="24"/>
          <w:highlight w:val="none"/>
        </w:rPr>
      </w:pPr>
      <w:r>
        <w:rPr>
          <w:rFonts w:hint="eastAsia" w:ascii="宋体" w:hAnsi="宋体" w:cs="宋体"/>
          <w:b/>
          <w:color w:val="auto"/>
          <w:sz w:val="24"/>
          <w:highlight w:val="none"/>
        </w:rPr>
        <w:t>密封后，应在每一密封包的投标文件上明确标注投标项目名称、投标文件各自对应的名称、投标人名称、同时加盖投标人公章。</w:t>
      </w:r>
    </w:p>
    <w:p w14:paraId="7A2E4D39">
      <w:pPr>
        <w:snapToGrid w:val="0"/>
        <w:spacing w:line="360" w:lineRule="auto"/>
        <w:ind w:firstLine="470" w:firstLineChars="196"/>
        <w:outlineLvl w:val="1"/>
        <w:rPr>
          <w:rFonts w:ascii="宋体" w:hAnsi="宋体"/>
          <w:color w:val="auto"/>
          <w:sz w:val="24"/>
          <w:highlight w:val="none"/>
        </w:rPr>
      </w:pPr>
      <w:r>
        <w:rPr>
          <w:rFonts w:hint="eastAsia" w:ascii="宋体" w:hAnsi="宋体" w:cs="宋体"/>
          <w:b/>
          <w:bCs/>
          <w:color w:val="auto"/>
          <w:sz w:val="24"/>
          <w:highlight w:val="none"/>
        </w:rPr>
        <w:t>七、</w:t>
      </w:r>
      <w:r>
        <w:rPr>
          <w:rFonts w:hint="eastAsia" w:ascii="宋体" w:hAnsi="宋体"/>
          <w:b/>
          <w:color w:val="auto"/>
          <w:sz w:val="24"/>
          <w:highlight w:val="none"/>
        </w:rPr>
        <w:t>投标文件的有效期</w:t>
      </w:r>
    </w:p>
    <w:p w14:paraId="2A64D3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1、从投标文件接收截止之日算起，90个“日历天”内投标书应保持有效。有效期短于这个规定期限的，投标将被拒绝。</w:t>
      </w:r>
    </w:p>
    <w:p w14:paraId="010AC0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7FCA4A37">
      <w:pPr>
        <w:snapToGrid w:val="0"/>
        <w:spacing w:line="360" w:lineRule="auto"/>
        <w:ind w:firstLine="494" w:firstLineChars="206"/>
        <w:outlineLvl w:val="1"/>
        <w:rPr>
          <w:rFonts w:ascii="宋体" w:hAnsi="宋体" w:cs="宋体"/>
          <w:b/>
          <w:bCs/>
          <w:color w:val="auto"/>
          <w:sz w:val="24"/>
          <w:highlight w:val="none"/>
        </w:rPr>
      </w:pPr>
      <w:r>
        <w:rPr>
          <w:rFonts w:hint="eastAsia" w:ascii="宋体" w:hAnsi="宋体" w:cs="宋体"/>
          <w:b/>
          <w:bCs/>
          <w:color w:val="auto"/>
          <w:sz w:val="24"/>
          <w:highlight w:val="none"/>
        </w:rPr>
        <w:t>八、投标报价</w:t>
      </w:r>
    </w:p>
    <w:p w14:paraId="17612C1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1、本项目不接受任何有选择的报价。</w:t>
      </w:r>
    </w:p>
    <w:p w14:paraId="7F2DB3E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2、投标报价均以人民币为报价的币种。</w:t>
      </w:r>
    </w:p>
    <w:p w14:paraId="43A3E8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3、报价表必须加盖投标人公章且必须经法定代表人或被授权人签字或盖章。</w:t>
      </w:r>
    </w:p>
    <w:p w14:paraId="06AB97E0">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报价出现前后不一致的，按照下列规定修正：</w:t>
      </w:r>
    </w:p>
    <w:p w14:paraId="4398B60B">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（1）投标文件中开标一览表（</w:t>
      </w:r>
      <w:r>
        <w:rPr>
          <w:rFonts w:hint="eastAsia" w:ascii="宋体" w:hAnsi="宋体" w:cs="宋体"/>
          <w:color w:val="auto"/>
          <w:sz w:val="24"/>
          <w:highlight w:val="none"/>
        </w:rPr>
        <w:t>报价表</w:t>
      </w:r>
      <w:r>
        <w:rPr>
          <w:rFonts w:ascii="宋体" w:hAnsi="宋体" w:cs="宋体"/>
          <w:color w:val="auto"/>
          <w:sz w:val="24"/>
          <w:highlight w:val="none"/>
        </w:rPr>
        <w:t>）内容与投标文件中相应内容不一致的，以开标一览表（</w:t>
      </w:r>
      <w:r>
        <w:rPr>
          <w:rFonts w:hint="eastAsia" w:ascii="宋体" w:hAnsi="宋体" w:cs="宋体"/>
          <w:color w:val="auto"/>
          <w:sz w:val="24"/>
          <w:highlight w:val="none"/>
        </w:rPr>
        <w:t>报价表</w:t>
      </w:r>
      <w:r>
        <w:rPr>
          <w:rFonts w:ascii="宋体" w:hAnsi="宋体" w:cs="宋体"/>
          <w:color w:val="auto"/>
          <w:sz w:val="24"/>
          <w:highlight w:val="none"/>
        </w:rPr>
        <w:t>）为准；</w:t>
      </w:r>
    </w:p>
    <w:p w14:paraId="0C9313A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（2）大写金额和小写金额不一致的，以大写金额为准；</w:t>
      </w:r>
    </w:p>
    <w:p w14:paraId="56A73DCF">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（3）单价金额小数点或者百分比有明显错位的，以开标一览表的总价为准，并修改单价；</w:t>
      </w:r>
    </w:p>
    <w:p w14:paraId="5A9654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（4）总价金额与按单价汇总金额不一致的，以单价金额计算结果为准</w:t>
      </w:r>
      <w:r>
        <w:rPr>
          <w:rFonts w:hint="eastAsia" w:ascii="宋体" w:hAnsi="宋体" w:cs="宋体"/>
          <w:color w:val="auto"/>
          <w:sz w:val="24"/>
          <w:highlight w:val="none"/>
        </w:rPr>
        <w:t>。</w:t>
      </w:r>
    </w:p>
    <w:p w14:paraId="0C749C3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同时出现两种以上不一致的，按照前款规定的顺序修正。修正后的报价应当由投标人的法定代表人或其授权的代表签字确认后产生约束力，投标人不确认的，其投标无效。</w:t>
      </w:r>
    </w:p>
    <w:p w14:paraId="25C6159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4、投标报价应包含完成本项目所涉及的所有费用以及合同履行过程中可能发生的风险等全部费用。如遇政府规划等特殊原因，导致部分合同内容无法实施，该项目将按照投标最终单价按实按次进行结算。</w:t>
      </w:r>
    </w:p>
    <w:p w14:paraId="233B980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招标代理费为人民币3000元，投标人自行考虑该项费用及风险并将其综合包含在投标总价内，不得单列。</w:t>
      </w:r>
    </w:p>
    <w:p w14:paraId="4A54F8EC">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、采购人设定投标最高限价为人民</w:t>
      </w:r>
      <w:r>
        <w:rPr>
          <w:rFonts w:hint="eastAsia" w:ascii="宋体" w:hAnsi="宋体"/>
          <w:color w:val="auto"/>
          <w:sz w:val="24"/>
          <w:highlight w:val="none"/>
        </w:rPr>
        <w:t>币</w:t>
      </w:r>
      <w:r>
        <w:rPr>
          <w:rFonts w:hint="eastAsia" w:ascii="宋体" w:hAnsi="宋体"/>
          <w:color w:val="auto"/>
          <w:sz w:val="24"/>
          <w:highlight w:val="none"/>
          <w:lang w:eastAsia="zh-CN"/>
        </w:rPr>
        <w:t>14.78万元</w:t>
      </w:r>
      <w:r>
        <w:rPr>
          <w:rFonts w:hint="eastAsia" w:ascii="宋体" w:hAnsi="宋体"/>
          <w:color w:val="auto"/>
          <w:sz w:val="24"/>
          <w:highlight w:val="none"/>
        </w:rPr>
        <w:t>。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6859348A">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、投标人应无条件地服从采购人的总体协调安排，按照采购人的指令做好各项的沟通、协调及配合等工作，为此发生的一切相关费用，含在投标报价中，采购人不另支付。</w:t>
      </w:r>
    </w:p>
    <w:p w14:paraId="5667F42A">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、一次报定的投标报价为中标价，同时，中标人的中标价在合同实施期间不因市场变化因素而变动。</w:t>
      </w:r>
    </w:p>
    <w:p w14:paraId="4238A5EF">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3916FDAD">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九、投标费用</w:t>
      </w:r>
    </w:p>
    <w:p w14:paraId="576644BA">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投标人应承担其编制投标文件以及递交投标文件等参与本</w:t>
      </w:r>
      <w:r>
        <w:rPr>
          <w:rFonts w:hint="eastAsia" w:ascii="宋体" w:hAnsi="宋体"/>
          <w:color w:val="auto"/>
          <w:sz w:val="24"/>
          <w:highlight w:val="none"/>
        </w:rPr>
        <w:t>项目</w:t>
      </w:r>
      <w:r>
        <w:rPr>
          <w:rFonts w:ascii="宋体" w:hAnsi="宋体"/>
          <w:color w:val="auto"/>
          <w:sz w:val="24"/>
          <w:highlight w:val="none"/>
        </w:rPr>
        <w:t>投标所涉及的一切费用。无论投标结果如何，采购人对上述费用不负任何责任。</w:t>
      </w:r>
    </w:p>
    <w:p w14:paraId="788A2937">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rPr>
        <w:t>本项目中标人须支付代理服务费</w:t>
      </w:r>
      <w:r>
        <w:rPr>
          <w:rFonts w:hint="eastAsia" w:ascii="宋体" w:hAnsi="宋体"/>
          <w:color w:val="auto"/>
          <w:sz w:val="24"/>
          <w:highlight w:val="none"/>
        </w:rPr>
        <w:t>，代理服务费为3000元整</w:t>
      </w:r>
      <w:r>
        <w:rPr>
          <w:rFonts w:hint="eastAsia" w:ascii="宋体" w:hAnsi="宋体"/>
          <w:color w:val="auto"/>
          <w:sz w:val="24"/>
          <w:highlight w:val="none"/>
        </w:rPr>
        <w:t>，投标单位自行综合考虑并将该费用含在投标报价中，不得单列，由中标人在领取中标通知书前，向招标代理机构一次付清。</w:t>
      </w:r>
    </w:p>
    <w:p w14:paraId="5D01CA2C">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十、投标文件递交时间及地址</w:t>
      </w:r>
    </w:p>
    <w:p w14:paraId="7FB24F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投标人必须在规定的时间将投标文件送达指定地点，采购人拒绝接收在截止时间后递交的投标文件。</w:t>
      </w:r>
    </w:p>
    <w:p w14:paraId="56AD0EA2">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十一</w:t>
      </w:r>
      <w:r>
        <w:rPr>
          <w:rFonts w:ascii="宋体" w:hAnsi="宋体"/>
          <w:b/>
          <w:color w:val="auto"/>
          <w:sz w:val="24"/>
          <w:highlight w:val="none"/>
        </w:rPr>
        <w:t>、投标保证金</w:t>
      </w:r>
      <w:r>
        <w:rPr>
          <w:rFonts w:hint="eastAsia" w:ascii="宋体" w:hAnsi="宋体"/>
          <w:b/>
          <w:color w:val="auto"/>
          <w:sz w:val="24"/>
          <w:highlight w:val="none"/>
        </w:rPr>
        <w:t>：本项目不设投标保证金。</w:t>
      </w:r>
    </w:p>
    <w:p w14:paraId="536A6C74">
      <w:pPr>
        <w:snapToGrid w:val="0"/>
        <w:spacing w:line="360" w:lineRule="auto"/>
        <w:ind w:firstLine="480" w:firstLineChars="200"/>
        <w:outlineLvl w:val="1"/>
        <w:rPr>
          <w:rFonts w:ascii="宋体" w:hAnsi="宋体"/>
          <w:bCs/>
          <w:color w:val="auto"/>
          <w:sz w:val="24"/>
          <w:highlight w:val="none"/>
        </w:rPr>
      </w:pPr>
      <w:r>
        <w:rPr>
          <w:rFonts w:hint="eastAsia" w:ascii="宋体" w:hAnsi="宋体"/>
          <w:b/>
          <w:color w:val="auto"/>
          <w:sz w:val="24"/>
          <w:highlight w:val="none"/>
        </w:rPr>
        <w:t>十二</w:t>
      </w:r>
      <w:r>
        <w:rPr>
          <w:rFonts w:ascii="宋体" w:hAnsi="宋体"/>
          <w:b/>
          <w:color w:val="auto"/>
          <w:sz w:val="24"/>
          <w:highlight w:val="none"/>
        </w:rPr>
        <w:t>、履约保证金</w:t>
      </w:r>
      <w:r>
        <w:rPr>
          <w:rFonts w:hint="eastAsia" w:ascii="宋体" w:hAnsi="宋体"/>
          <w:b/>
          <w:color w:val="auto"/>
          <w:sz w:val="24"/>
          <w:highlight w:val="none"/>
        </w:rPr>
        <w:t>：本项目不设履约保证金。</w:t>
      </w:r>
    </w:p>
    <w:p w14:paraId="5BA8C92D">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十三、对采购人的纪律要求</w:t>
      </w:r>
    </w:p>
    <w:p w14:paraId="3BCFDE72">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采购人不得泄漏招标活动中应当保密的情况和资料，不得与投标人串通损害国家利益、社会公共利益或者他人合法权益。</w:t>
      </w:r>
    </w:p>
    <w:p w14:paraId="38CE1BB5">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十四、对投标人的纪律要求</w:t>
      </w:r>
    </w:p>
    <w:p w14:paraId="1BC48B3E">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74DC5569">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十五、对评标委员会成员的纪律要求</w:t>
      </w:r>
    </w:p>
    <w:p w14:paraId="25F82357">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评标委员会成员不得收受他人的财务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A682ED7">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十六、未尽事宜</w:t>
      </w:r>
    </w:p>
    <w:p w14:paraId="7B9BF439">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按《中华人民共和国政府采购法》及其他有关的法律法规</w:t>
      </w:r>
      <w:r>
        <w:rPr>
          <w:rFonts w:hint="eastAsia" w:ascii="宋体" w:hAnsi="宋体"/>
          <w:color w:val="auto"/>
          <w:sz w:val="24"/>
          <w:highlight w:val="none"/>
        </w:rPr>
        <w:t>规范性文件</w:t>
      </w:r>
      <w:r>
        <w:rPr>
          <w:rFonts w:ascii="宋体" w:hAnsi="宋体"/>
          <w:color w:val="auto"/>
          <w:sz w:val="24"/>
          <w:highlight w:val="none"/>
        </w:rPr>
        <w:t>执行。</w:t>
      </w:r>
    </w:p>
    <w:p w14:paraId="4DEDBA56">
      <w:pPr>
        <w:pStyle w:val="63"/>
        <w:rPr>
          <w:rStyle w:val="124"/>
          <w:rFonts w:hint="default"/>
          <w:bCs w:val="0"/>
          <w:color w:val="auto"/>
          <w:sz w:val="28"/>
          <w:szCs w:val="28"/>
          <w:highlight w:val="none"/>
        </w:rPr>
      </w:pPr>
      <w:r>
        <w:rPr>
          <w:rStyle w:val="124"/>
          <w:rFonts w:hint="default"/>
          <w:color w:val="auto"/>
          <w:sz w:val="28"/>
          <w:szCs w:val="28"/>
          <w:highlight w:val="none"/>
        </w:rPr>
        <w:br w:type="page"/>
      </w:r>
      <w:r>
        <w:rPr>
          <w:rStyle w:val="124"/>
          <w:rFonts w:hint="default"/>
          <w:color w:val="auto"/>
          <w:sz w:val="28"/>
          <w:szCs w:val="28"/>
          <w:highlight w:val="none"/>
        </w:rPr>
        <w:t>第三章  项目需求</w:t>
      </w:r>
    </w:p>
    <w:p w14:paraId="18168A0B">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一、项目概况</w:t>
      </w:r>
    </w:p>
    <w:p w14:paraId="1EC5E53C">
      <w:pPr>
        <w:adjustRightInd w:val="0"/>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通吕闸、通吕泵站为南通市重点水利工程，规模均为大（2）型。根据《水闸安全监测技术规范》（SL768-2018）、</w:t>
      </w:r>
      <w:r>
        <w:rPr>
          <w:rFonts w:hint="eastAsia" w:ascii="宋体" w:hAnsi="宋体" w:cs="宋体"/>
          <w:color w:val="auto"/>
          <w:sz w:val="24"/>
          <w:highlight w:val="none"/>
          <w:lang w:eastAsia="zh-CN"/>
        </w:rPr>
        <w:t>《水闸技术管理规程》</w:t>
      </w:r>
      <w:r>
        <w:rPr>
          <w:rFonts w:hint="eastAsia" w:ascii="宋体" w:hAnsi="宋体" w:cs="宋体"/>
          <w:color w:val="auto"/>
          <w:sz w:val="24"/>
          <w:highlight w:val="none"/>
        </w:rPr>
        <w:t>（SL/T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7</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24</w:t>
      </w:r>
      <w:r>
        <w:rPr>
          <w:rFonts w:hint="eastAsia" w:ascii="宋体" w:hAnsi="宋体" w:cs="宋体"/>
          <w:color w:val="auto"/>
          <w:sz w:val="24"/>
          <w:highlight w:val="none"/>
          <w:lang w:eastAsia="zh-CN"/>
        </w:rPr>
        <w:t>）、</w:t>
      </w:r>
      <w:r>
        <w:rPr>
          <w:rFonts w:hint="eastAsia" w:ascii="宋体" w:hAnsi="宋体" w:cs="宋体"/>
          <w:color w:val="auto"/>
          <w:sz w:val="24"/>
          <w:highlight w:val="none"/>
        </w:rPr>
        <w:t>江苏省《水利工程观测规程》（DB32/T 1713-2011）</w:t>
      </w:r>
      <w:r>
        <w:rPr>
          <w:rFonts w:hint="eastAsia" w:ascii="宋体" w:hAnsi="宋体" w:cs="宋体"/>
          <w:color w:val="auto"/>
          <w:sz w:val="24"/>
          <w:highlight w:val="none"/>
          <w:lang w:eastAsia="zh-CN"/>
        </w:rPr>
        <w:t>等</w:t>
      </w:r>
      <w:r>
        <w:rPr>
          <w:rFonts w:hint="eastAsia" w:ascii="宋体" w:hAnsi="宋体" w:cs="宋体"/>
          <w:color w:val="auto"/>
          <w:sz w:val="24"/>
          <w:highlight w:val="none"/>
        </w:rPr>
        <w:t>有关规范规程要求，为保障通吕闸、通吕泵站安全稳定运行，管理所拟开展</w:t>
      </w:r>
      <w:r>
        <w:rPr>
          <w:rFonts w:hint="eastAsia" w:ascii="宋体" w:hAnsi="宋体" w:cs="宋体"/>
          <w:color w:val="auto"/>
          <w:sz w:val="24"/>
          <w:highlight w:val="none"/>
          <w:lang w:eastAsia="zh-CN"/>
        </w:rPr>
        <w:t>2026</w:t>
      </w:r>
      <w:r>
        <w:rPr>
          <w:rFonts w:hint="eastAsia" w:ascii="宋体" w:hAnsi="宋体" w:cs="宋体"/>
          <w:color w:val="auto"/>
          <w:sz w:val="24"/>
          <w:highlight w:val="none"/>
        </w:rPr>
        <w:t>年度闸站工程安全监测</w:t>
      </w:r>
      <w:r>
        <w:rPr>
          <w:rFonts w:hint="eastAsia" w:ascii="宋体" w:hAnsi="宋体" w:cs="宋体"/>
          <w:color w:val="auto"/>
          <w:sz w:val="24"/>
          <w:highlight w:val="none"/>
          <w:lang w:eastAsia="zh-CN"/>
        </w:rPr>
        <w:t>。</w:t>
      </w:r>
    </w:p>
    <w:p w14:paraId="5F18EF87">
      <w:pPr>
        <w:ind w:firstLine="480" w:firstLineChars="200"/>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二、</w:t>
      </w:r>
      <w:r>
        <w:rPr>
          <w:rFonts w:hint="eastAsia" w:ascii="宋体" w:hAnsi="宋体" w:cs="宋体"/>
          <w:b/>
          <w:bCs/>
          <w:color w:val="auto"/>
          <w:sz w:val="24"/>
          <w:highlight w:val="none"/>
          <w:lang w:val="en-US" w:eastAsia="zh-CN"/>
        </w:rPr>
        <w:t>项目需求</w:t>
      </w:r>
    </w:p>
    <w:p w14:paraId="5CC89062">
      <w:pPr>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2026</w:t>
      </w:r>
      <w:r>
        <w:rPr>
          <w:rFonts w:hint="eastAsia" w:ascii="宋体" w:hAnsi="宋体" w:cs="宋体"/>
          <w:color w:val="auto"/>
          <w:sz w:val="24"/>
          <w:highlight w:val="none"/>
        </w:rPr>
        <w:t>年度闸站工程安全监测内容包括</w:t>
      </w:r>
      <w:r>
        <w:rPr>
          <w:rFonts w:hint="eastAsia" w:ascii="宋体" w:hAnsi="宋体" w:cs="宋体"/>
          <w:color w:val="auto"/>
          <w:sz w:val="24"/>
          <w:highlight w:val="none"/>
          <w:lang w:eastAsia="zh-CN"/>
        </w:rPr>
        <w:t>：</w:t>
      </w:r>
      <w:r>
        <w:rPr>
          <w:rFonts w:hint="eastAsia" w:ascii="宋体" w:hAnsi="宋体" w:cs="宋体"/>
          <w:color w:val="auto"/>
          <w:sz w:val="24"/>
          <w:highlight w:val="none"/>
        </w:rPr>
        <w:t>垂直位移</w:t>
      </w:r>
      <w:r>
        <w:rPr>
          <w:rFonts w:hint="eastAsia" w:ascii="宋体" w:hAnsi="宋体" w:cs="宋体"/>
          <w:color w:val="auto"/>
          <w:sz w:val="24"/>
          <w:highlight w:val="none"/>
          <w:lang w:eastAsia="zh-CN"/>
        </w:rPr>
        <w:t>（每季度一次）</w:t>
      </w:r>
      <w:r>
        <w:rPr>
          <w:rFonts w:hint="eastAsia" w:ascii="宋体" w:hAnsi="宋体" w:cs="宋体"/>
          <w:color w:val="auto"/>
          <w:sz w:val="24"/>
          <w:highlight w:val="none"/>
        </w:rPr>
        <w:t>、水平位移</w:t>
      </w:r>
      <w:r>
        <w:rPr>
          <w:rFonts w:hint="eastAsia" w:ascii="宋体" w:hAnsi="宋体" w:cs="宋体"/>
          <w:color w:val="auto"/>
          <w:sz w:val="24"/>
          <w:highlight w:val="none"/>
          <w:lang w:eastAsia="zh-CN"/>
        </w:rPr>
        <w:t>（每季度一次），</w:t>
      </w:r>
      <w:r>
        <w:rPr>
          <w:rFonts w:hint="eastAsia" w:ascii="宋体" w:hAnsi="宋体" w:cs="宋体"/>
          <w:color w:val="auto"/>
          <w:sz w:val="24"/>
          <w:szCs w:val="24"/>
          <w:highlight w:val="none"/>
          <w:lang w:eastAsia="zh-CN"/>
        </w:rPr>
        <w:t>每季度</w:t>
      </w:r>
      <w:r>
        <w:rPr>
          <w:rFonts w:hint="eastAsia" w:ascii="宋体" w:hAnsi="宋体" w:eastAsia="宋体" w:cs="宋体"/>
          <w:color w:val="auto"/>
          <w:sz w:val="24"/>
          <w:szCs w:val="24"/>
          <w:highlight w:val="none"/>
        </w:rPr>
        <w:t>开展</w:t>
      </w:r>
      <w:r>
        <w:rPr>
          <w:rFonts w:hint="eastAsia" w:ascii="宋体" w:hAnsi="宋体" w:cs="宋体"/>
          <w:color w:val="auto"/>
          <w:sz w:val="24"/>
          <w:szCs w:val="24"/>
          <w:highlight w:val="none"/>
          <w:lang w:eastAsia="zh-CN"/>
        </w:rPr>
        <w:t>一次</w:t>
      </w:r>
      <w:r>
        <w:rPr>
          <w:rFonts w:hint="eastAsia" w:ascii="宋体" w:hAnsi="宋体" w:eastAsia="宋体" w:cs="宋体"/>
          <w:color w:val="auto"/>
          <w:sz w:val="24"/>
          <w:szCs w:val="24"/>
          <w:highlight w:val="none"/>
        </w:rPr>
        <w:t>测压管观测（包含管口高程考证、进水灵敏度试验、淤积高程观测）和清淤，每季度开展一次伸缩缝观测及水尺水位比测等。观测结束后进行测量成果整编及分析。</w:t>
      </w:r>
    </w:p>
    <w:p w14:paraId="658D4C82">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2026</w:t>
      </w:r>
      <w:r>
        <w:rPr>
          <w:rFonts w:hint="eastAsia" w:ascii="宋体" w:hAnsi="宋体" w:eastAsia="宋体" w:cs="宋体"/>
          <w:color w:val="auto"/>
          <w:sz w:val="24"/>
          <w:szCs w:val="24"/>
          <w:highlight w:val="none"/>
        </w:rPr>
        <w:t>年度通吕运河水利枢纽安全监测</w:t>
      </w:r>
      <w:r>
        <w:rPr>
          <w:rFonts w:hint="eastAsia" w:ascii="宋体" w:hAnsi="宋体" w:cs="宋体"/>
          <w:color w:val="auto"/>
          <w:sz w:val="24"/>
          <w:szCs w:val="24"/>
          <w:highlight w:val="none"/>
          <w:lang w:val="en-US" w:eastAsia="zh-CN"/>
        </w:rPr>
        <w:t>清单</w:t>
      </w:r>
    </w:p>
    <w:tbl>
      <w:tblPr>
        <w:tblStyle w:val="65"/>
        <w:tblW w:w="9204" w:type="dxa"/>
        <w:tblInd w:w="0" w:type="dxa"/>
        <w:tblLayout w:type="fixed"/>
        <w:tblCellMar>
          <w:top w:w="0" w:type="dxa"/>
          <w:left w:w="108" w:type="dxa"/>
          <w:bottom w:w="0" w:type="dxa"/>
          <w:right w:w="108" w:type="dxa"/>
        </w:tblCellMar>
      </w:tblPr>
      <w:tblGrid>
        <w:gridCol w:w="729"/>
        <w:gridCol w:w="1085"/>
        <w:gridCol w:w="1701"/>
        <w:gridCol w:w="844"/>
        <w:gridCol w:w="855"/>
        <w:gridCol w:w="1530"/>
        <w:gridCol w:w="2460"/>
      </w:tblGrid>
      <w:tr w14:paraId="2BE1CB09">
        <w:tblPrEx>
          <w:tblCellMar>
            <w:top w:w="0" w:type="dxa"/>
            <w:left w:w="108" w:type="dxa"/>
            <w:bottom w:w="0" w:type="dxa"/>
            <w:right w:w="108" w:type="dxa"/>
          </w:tblCellMar>
        </w:tblPrEx>
        <w:trPr>
          <w:trHeight w:val="799" w:hRule="atLeast"/>
        </w:trPr>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646F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085" w:type="dxa"/>
            <w:tcBorders>
              <w:top w:val="single" w:color="auto" w:sz="4" w:space="0"/>
              <w:left w:val="nil"/>
              <w:bottom w:val="single" w:color="auto" w:sz="4" w:space="0"/>
              <w:right w:val="single" w:color="auto" w:sz="4" w:space="0"/>
            </w:tcBorders>
            <w:shd w:val="clear" w:color="auto" w:fill="auto"/>
            <w:noWrap/>
            <w:vAlign w:val="center"/>
          </w:tcPr>
          <w:p w14:paraId="6A7864F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B98CB4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观测内容</w:t>
            </w:r>
          </w:p>
        </w:tc>
        <w:tc>
          <w:tcPr>
            <w:tcW w:w="844" w:type="dxa"/>
            <w:tcBorders>
              <w:top w:val="single" w:color="auto" w:sz="4" w:space="0"/>
              <w:left w:val="nil"/>
              <w:bottom w:val="single" w:color="auto" w:sz="4" w:space="0"/>
              <w:right w:val="single" w:color="auto" w:sz="4" w:space="0"/>
            </w:tcBorders>
            <w:shd w:val="clear" w:color="auto" w:fill="auto"/>
            <w:noWrap/>
            <w:vAlign w:val="center"/>
          </w:tcPr>
          <w:p w14:paraId="2812301C">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EF048D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次数</w:t>
            </w:r>
          </w:p>
        </w:tc>
        <w:tc>
          <w:tcPr>
            <w:tcW w:w="1530" w:type="dxa"/>
            <w:tcBorders>
              <w:top w:val="single" w:color="auto" w:sz="4" w:space="0"/>
              <w:left w:val="nil"/>
              <w:bottom w:val="single" w:color="auto" w:sz="4" w:space="0"/>
              <w:right w:val="single" w:color="auto" w:sz="4" w:space="0"/>
            </w:tcBorders>
            <w:shd w:val="clear" w:color="auto" w:fill="auto"/>
            <w:noWrap/>
            <w:vAlign w:val="center"/>
          </w:tcPr>
          <w:p w14:paraId="51C5795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观测周期</w:t>
            </w:r>
          </w:p>
        </w:tc>
        <w:tc>
          <w:tcPr>
            <w:tcW w:w="2460" w:type="dxa"/>
            <w:tcBorders>
              <w:top w:val="single" w:color="auto" w:sz="4" w:space="0"/>
              <w:left w:val="nil"/>
              <w:bottom w:val="single" w:color="auto" w:sz="4" w:space="0"/>
              <w:right w:val="single" w:color="auto" w:sz="4" w:space="0"/>
            </w:tcBorders>
            <w:shd w:val="clear" w:color="auto" w:fill="auto"/>
            <w:noWrap/>
            <w:vAlign w:val="center"/>
          </w:tcPr>
          <w:p w14:paraId="7361CF8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4921067C">
        <w:tblPrEx>
          <w:tblCellMar>
            <w:top w:w="0" w:type="dxa"/>
            <w:left w:w="108" w:type="dxa"/>
            <w:bottom w:w="0" w:type="dxa"/>
            <w:right w:w="108" w:type="dxa"/>
          </w:tblCellMar>
        </w:tblPrEx>
        <w:trPr>
          <w:trHeight w:val="680" w:hRule="atLeast"/>
        </w:trPr>
        <w:tc>
          <w:tcPr>
            <w:tcW w:w="729" w:type="dxa"/>
            <w:vMerge w:val="restart"/>
            <w:tcBorders>
              <w:top w:val="nil"/>
              <w:left w:val="single" w:color="auto" w:sz="4" w:space="0"/>
              <w:bottom w:val="single" w:color="000000" w:sz="4" w:space="0"/>
              <w:right w:val="single" w:color="auto" w:sz="4" w:space="0"/>
            </w:tcBorders>
            <w:shd w:val="clear" w:color="auto" w:fill="auto"/>
            <w:noWrap/>
            <w:vAlign w:val="center"/>
          </w:tcPr>
          <w:p w14:paraId="2F99C4E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85" w:type="dxa"/>
            <w:vMerge w:val="restart"/>
            <w:tcBorders>
              <w:top w:val="nil"/>
              <w:left w:val="single" w:color="auto" w:sz="4" w:space="0"/>
              <w:bottom w:val="single" w:color="auto" w:sz="4" w:space="0"/>
              <w:right w:val="single" w:color="auto" w:sz="4" w:space="0"/>
            </w:tcBorders>
            <w:shd w:val="clear" w:color="auto" w:fill="auto"/>
            <w:noWrap/>
            <w:vAlign w:val="center"/>
          </w:tcPr>
          <w:p w14:paraId="2AE20FC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沉降观测</w:t>
            </w:r>
          </w:p>
        </w:tc>
        <w:tc>
          <w:tcPr>
            <w:tcW w:w="1701" w:type="dxa"/>
            <w:tcBorders>
              <w:top w:val="nil"/>
              <w:left w:val="nil"/>
              <w:bottom w:val="single" w:color="auto" w:sz="4" w:space="0"/>
              <w:right w:val="single" w:color="auto" w:sz="4" w:space="0"/>
            </w:tcBorders>
            <w:shd w:val="clear" w:color="auto" w:fill="auto"/>
            <w:noWrap/>
            <w:vAlign w:val="center"/>
          </w:tcPr>
          <w:p w14:paraId="781FCD7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工作基点考证</w:t>
            </w:r>
          </w:p>
        </w:tc>
        <w:tc>
          <w:tcPr>
            <w:tcW w:w="844" w:type="dxa"/>
            <w:tcBorders>
              <w:top w:val="nil"/>
              <w:left w:val="nil"/>
              <w:bottom w:val="single" w:color="auto" w:sz="4" w:space="0"/>
              <w:right w:val="single" w:color="auto" w:sz="4" w:space="0"/>
            </w:tcBorders>
            <w:shd w:val="clear" w:color="auto" w:fill="auto"/>
            <w:noWrap/>
            <w:vAlign w:val="center"/>
          </w:tcPr>
          <w:p w14:paraId="370BE92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55" w:type="dxa"/>
            <w:tcBorders>
              <w:top w:val="nil"/>
              <w:left w:val="nil"/>
              <w:bottom w:val="single" w:color="auto" w:sz="4" w:space="0"/>
              <w:right w:val="single" w:color="auto" w:sz="4" w:space="0"/>
            </w:tcBorders>
            <w:shd w:val="clear" w:color="auto" w:fill="auto"/>
            <w:noWrap/>
            <w:vAlign w:val="center"/>
          </w:tcPr>
          <w:p w14:paraId="4C59FFD6">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1530" w:type="dxa"/>
            <w:tcBorders>
              <w:top w:val="nil"/>
              <w:left w:val="nil"/>
              <w:bottom w:val="single" w:color="auto" w:sz="4" w:space="0"/>
              <w:right w:val="single" w:color="auto" w:sz="4" w:space="0"/>
            </w:tcBorders>
            <w:shd w:val="clear" w:color="auto" w:fill="auto"/>
            <w:noWrap/>
            <w:vAlign w:val="center"/>
          </w:tcPr>
          <w:p w14:paraId="10E01CC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restart"/>
            <w:tcBorders>
              <w:top w:val="nil"/>
              <w:left w:val="single" w:color="auto" w:sz="4" w:space="0"/>
              <w:bottom w:val="single" w:color="000000" w:sz="4" w:space="0"/>
              <w:right w:val="single" w:color="auto" w:sz="4" w:space="0"/>
            </w:tcBorders>
            <w:shd w:val="clear" w:color="auto" w:fill="auto"/>
            <w:vAlign w:val="center"/>
          </w:tcPr>
          <w:p w14:paraId="4C91DD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含资料分析、出具相关报告</w:t>
            </w:r>
          </w:p>
        </w:tc>
      </w:tr>
      <w:tr w14:paraId="7A58BD5F">
        <w:tblPrEx>
          <w:tblCellMar>
            <w:top w:w="0" w:type="dxa"/>
            <w:left w:w="108" w:type="dxa"/>
            <w:bottom w:w="0" w:type="dxa"/>
            <w:right w:w="108" w:type="dxa"/>
          </w:tblCellMar>
        </w:tblPrEx>
        <w:trPr>
          <w:trHeight w:val="680" w:hRule="atLeast"/>
        </w:trPr>
        <w:tc>
          <w:tcPr>
            <w:tcW w:w="729" w:type="dxa"/>
            <w:vMerge w:val="continue"/>
            <w:tcBorders>
              <w:top w:val="nil"/>
              <w:left w:val="single" w:color="auto" w:sz="4" w:space="0"/>
              <w:bottom w:val="single" w:color="000000" w:sz="4" w:space="0"/>
              <w:right w:val="single" w:color="auto" w:sz="4" w:space="0"/>
            </w:tcBorders>
            <w:vAlign w:val="center"/>
          </w:tcPr>
          <w:p w14:paraId="14D6BB8F">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auto" w:sz="4" w:space="0"/>
              <w:right w:val="single" w:color="auto" w:sz="4" w:space="0"/>
            </w:tcBorders>
            <w:vAlign w:val="center"/>
          </w:tcPr>
          <w:p w14:paraId="64BDC610">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noWrap/>
            <w:vAlign w:val="center"/>
          </w:tcPr>
          <w:p w14:paraId="0015342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沉降点监测</w:t>
            </w:r>
          </w:p>
        </w:tc>
        <w:tc>
          <w:tcPr>
            <w:tcW w:w="844" w:type="dxa"/>
            <w:tcBorders>
              <w:top w:val="nil"/>
              <w:left w:val="nil"/>
              <w:bottom w:val="single" w:color="auto" w:sz="4" w:space="0"/>
              <w:right w:val="single" w:color="auto" w:sz="4" w:space="0"/>
            </w:tcBorders>
            <w:shd w:val="clear" w:color="auto" w:fill="auto"/>
            <w:noWrap/>
            <w:vAlign w:val="center"/>
          </w:tcPr>
          <w:p w14:paraId="2FBB14D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90</w:t>
            </w:r>
          </w:p>
        </w:tc>
        <w:tc>
          <w:tcPr>
            <w:tcW w:w="855" w:type="dxa"/>
            <w:tcBorders>
              <w:top w:val="nil"/>
              <w:left w:val="nil"/>
              <w:bottom w:val="single" w:color="auto" w:sz="4" w:space="0"/>
              <w:right w:val="single" w:color="auto" w:sz="4" w:space="0"/>
            </w:tcBorders>
            <w:shd w:val="clear" w:color="auto" w:fill="auto"/>
            <w:noWrap/>
            <w:vAlign w:val="center"/>
          </w:tcPr>
          <w:p w14:paraId="0517A4BF">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1530" w:type="dxa"/>
            <w:tcBorders>
              <w:top w:val="nil"/>
              <w:left w:val="nil"/>
              <w:bottom w:val="single" w:color="auto" w:sz="4" w:space="0"/>
              <w:right w:val="single" w:color="auto" w:sz="4" w:space="0"/>
            </w:tcBorders>
            <w:shd w:val="clear" w:color="auto" w:fill="auto"/>
            <w:noWrap/>
            <w:vAlign w:val="center"/>
          </w:tcPr>
          <w:p w14:paraId="5F5FCEC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continue"/>
            <w:tcBorders>
              <w:top w:val="nil"/>
              <w:left w:val="single" w:color="auto" w:sz="4" w:space="0"/>
              <w:bottom w:val="single" w:color="000000" w:sz="4" w:space="0"/>
              <w:right w:val="single" w:color="auto" w:sz="4" w:space="0"/>
            </w:tcBorders>
            <w:vAlign w:val="center"/>
          </w:tcPr>
          <w:p w14:paraId="3F9A2A07">
            <w:pPr>
              <w:widowControl/>
              <w:jc w:val="left"/>
              <w:rPr>
                <w:rFonts w:hint="eastAsia" w:ascii="宋体" w:hAnsi="宋体" w:eastAsia="宋体" w:cs="宋体"/>
                <w:color w:val="auto"/>
                <w:kern w:val="0"/>
                <w:sz w:val="24"/>
                <w:szCs w:val="24"/>
                <w:highlight w:val="none"/>
              </w:rPr>
            </w:pPr>
          </w:p>
        </w:tc>
      </w:tr>
      <w:tr w14:paraId="1319502D">
        <w:tblPrEx>
          <w:tblCellMar>
            <w:top w:w="0" w:type="dxa"/>
            <w:left w:w="108" w:type="dxa"/>
            <w:bottom w:w="0" w:type="dxa"/>
            <w:right w:w="108" w:type="dxa"/>
          </w:tblCellMar>
        </w:tblPrEx>
        <w:trPr>
          <w:trHeight w:val="680" w:hRule="atLeast"/>
        </w:trPr>
        <w:tc>
          <w:tcPr>
            <w:tcW w:w="729" w:type="dxa"/>
            <w:vMerge w:val="continue"/>
            <w:tcBorders>
              <w:top w:val="nil"/>
              <w:left w:val="single" w:color="auto" w:sz="4" w:space="0"/>
              <w:bottom w:val="single" w:color="000000" w:sz="4" w:space="0"/>
              <w:right w:val="single" w:color="auto" w:sz="4" w:space="0"/>
            </w:tcBorders>
            <w:vAlign w:val="center"/>
          </w:tcPr>
          <w:p w14:paraId="687368A6">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auto" w:sz="4" w:space="0"/>
              <w:right w:val="single" w:color="auto" w:sz="4" w:space="0"/>
            </w:tcBorders>
            <w:vAlign w:val="center"/>
          </w:tcPr>
          <w:p w14:paraId="54EE3D53">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noWrap/>
            <w:vAlign w:val="center"/>
          </w:tcPr>
          <w:p w14:paraId="61AA581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水准线路</w:t>
            </w:r>
          </w:p>
        </w:tc>
        <w:tc>
          <w:tcPr>
            <w:tcW w:w="844" w:type="dxa"/>
            <w:tcBorders>
              <w:top w:val="nil"/>
              <w:left w:val="nil"/>
              <w:bottom w:val="single" w:color="auto" w:sz="4" w:space="0"/>
              <w:right w:val="single" w:color="auto" w:sz="4" w:space="0"/>
            </w:tcBorders>
            <w:shd w:val="clear" w:color="auto" w:fill="auto"/>
            <w:noWrap/>
            <w:vAlign w:val="center"/>
          </w:tcPr>
          <w:p w14:paraId="1AF3130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55" w:type="dxa"/>
            <w:tcBorders>
              <w:top w:val="nil"/>
              <w:left w:val="nil"/>
              <w:bottom w:val="single" w:color="auto" w:sz="4" w:space="0"/>
              <w:right w:val="single" w:color="auto" w:sz="4" w:space="0"/>
            </w:tcBorders>
            <w:shd w:val="clear" w:color="auto" w:fill="auto"/>
            <w:noWrap/>
            <w:vAlign w:val="center"/>
          </w:tcPr>
          <w:p w14:paraId="1EB261AB">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1530" w:type="dxa"/>
            <w:tcBorders>
              <w:top w:val="nil"/>
              <w:left w:val="nil"/>
              <w:bottom w:val="single" w:color="auto" w:sz="4" w:space="0"/>
              <w:right w:val="single" w:color="auto" w:sz="4" w:space="0"/>
            </w:tcBorders>
            <w:shd w:val="clear" w:color="auto" w:fill="auto"/>
            <w:noWrap/>
            <w:vAlign w:val="center"/>
          </w:tcPr>
          <w:p w14:paraId="0A7B0FC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continue"/>
            <w:tcBorders>
              <w:top w:val="nil"/>
              <w:left w:val="single" w:color="auto" w:sz="4" w:space="0"/>
              <w:bottom w:val="single" w:color="000000" w:sz="4" w:space="0"/>
              <w:right w:val="single" w:color="auto" w:sz="4" w:space="0"/>
            </w:tcBorders>
            <w:vAlign w:val="center"/>
          </w:tcPr>
          <w:p w14:paraId="25F9CE6E">
            <w:pPr>
              <w:widowControl/>
              <w:jc w:val="left"/>
              <w:rPr>
                <w:rFonts w:hint="eastAsia" w:ascii="宋体" w:hAnsi="宋体" w:eastAsia="宋体" w:cs="宋体"/>
                <w:color w:val="auto"/>
                <w:kern w:val="0"/>
                <w:sz w:val="24"/>
                <w:szCs w:val="24"/>
                <w:highlight w:val="none"/>
              </w:rPr>
            </w:pPr>
          </w:p>
        </w:tc>
      </w:tr>
      <w:tr w14:paraId="1FB1A5CE">
        <w:tblPrEx>
          <w:tblCellMar>
            <w:top w:w="0" w:type="dxa"/>
            <w:left w:w="108" w:type="dxa"/>
            <w:bottom w:w="0" w:type="dxa"/>
            <w:right w:w="108" w:type="dxa"/>
          </w:tblCellMar>
        </w:tblPrEx>
        <w:trPr>
          <w:trHeight w:val="680" w:hRule="atLeast"/>
        </w:trPr>
        <w:tc>
          <w:tcPr>
            <w:tcW w:w="729" w:type="dxa"/>
            <w:vMerge w:val="restart"/>
            <w:tcBorders>
              <w:top w:val="nil"/>
              <w:left w:val="single" w:color="auto" w:sz="4" w:space="0"/>
              <w:bottom w:val="single" w:color="000000" w:sz="4" w:space="0"/>
              <w:right w:val="single" w:color="auto" w:sz="4" w:space="0"/>
            </w:tcBorders>
            <w:shd w:val="clear" w:color="auto" w:fill="auto"/>
            <w:noWrap/>
            <w:vAlign w:val="center"/>
          </w:tcPr>
          <w:p w14:paraId="2F3AF10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5" w:type="dxa"/>
            <w:vMerge w:val="restart"/>
            <w:tcBorders>
              <w:top w:val="nil"/>
              <w:left w:val="single" w:color="auto" w:sz="4" w:space="0"/>
              <w:bottom w:val="single" w:color="000000" w:sz="4" w:space="0"/>
              <w:right w:val="single" w:color="auto" w:sz="4" w:space="0"/>
            </w:tcBorders>
            <w:shd w:val="clear" w:color="auto" w:fill="auto"/>
            <w:noWrap/>
            <w:vAlign w:val="center"/>
          </w:tcPr>
          <w:p w14:paraId="35F62E8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测压管观测</w:t>
            </w:r>
          </w:p>
        </w:tc>
        <w:tc>
          <w:tcPr>
            <w:tcW w:w="1701" w:type="dxa"/>
            <w:tcBorders>
              <w:top w:val="nil"/>
              <w:left w:val="nil"/>
              <w:bottom w:val="single" w:color="auto" w:sz="4" w:space="0"/>
              <w:right w:val="single" w:color="auto" w:sz="4" w:space="0"/>
            </w:tcBorders>
            <w:shd w:val="clear" w:color="auto" w:fill="auto"/>
            <w:noWrap/>
            <w:vAlign w:val="center"/>
          </w:tcPr>
          <w:p w14:paraId="1A02C67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管口高程考证</w:t>
            </w:r>
          </w:p>
        </w:tc>
        <w:tc>
          <w:tcPr>
            <w:tcW w:w="844" w:type="dxa"/>
            <w:tcBorders>
              <w:top w:val="nil"/>
              <w:left w:val="nil"/>
              <w:bottom w:val="single" w:color="auto" w:sz="4" w:space="0"/>
              <w:right w:val="single" w:color="auto" w:sz="4" w:space="0"/>
            </w:tcBorders>
            <w:shd w:val="clear" w:color="auto" w:fill="auto"/>
            <w:noWrap/>
            <w:vAlign w:val="center"/>
          </w:tcPr>
          <w:p w14:paraId="44A08F7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55" w:type="dxa"/>
            <w:tcBorders>
              <w:top w:val="nil"/>
              <w:left w:val="nil"/>
              <w:bottom w:val="single" w:color="auto" w:sz="4" w:space="0"/>
              <w:right w:val="single" w:color="auto" w:sz="4" w:space="0"/>
            </w:tcBorders>
            <w:shd w:val="clear" w:color="auto" w:fill="auto"/>
            <w:noWrap/>
            <w:vAlign w:val="center"/>
          </w:tcPr>
          <w:p w14:paraId="6BDC894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30" w:type="dxa"/>
            <w:tcBorders>
              <w:top w:val="nil"/>
              <w:left w:val="nil"/>
              <w:bottom w:val="single" w:color="auto" w:sz="4" w:space="0"/>
              <w:right w:val="single" w:color="auto" w:sz="4" w:space="0"/>
            </w:tcBorders>
            <w:shd w:val="clear" w:color="auto" w:fill="auto"/>
            <w:noWrap/>
            <w:vAlign w:val="center"/>
          </w:tcPr>
          <w:p w14:paraId="1876B8B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每年1次</w:t>
            </w:r>
          </w:p>
        </w:tc>
        <w:tc>
          <w:tcPr>
            <w:tcW w:w="2460" w:type="dxa"/>
            <w:vMerge w:val="restart"/>
            <w:tcBorders>
              <w:top w:val="nil"/>
              <w:left w:val="single" w:color="auto" w:sz="4" w:space="0"/>
              <w:bottom w:val="single" w:color="000000" w:sz="4" w:space="0"/>
              <w:right w:val="single" w:color="auto" w:sz="4" w:space="0"/>
            </w:tcBorders>
            <w:shd w:val="clear" w:color="auto" w:fill="auto"/>
            <w:vAlign w:val="center"/>
          </w:tcPr>
          <w:p w14:paraId="75A2B2F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含资料分析、出具相关报告</w:t>
            </w:r>
          </w:p>
        </w:tc>
      </w:tr>
      <w:tr w14:paraId="2F2876A3">
        <w:tblPrEx>
          <w:tblCellMar>
            <w:top w:w="0" w:type="dxa"/>
            <w:left w:w="108" w:type="dxa"/>
            <w:bottom w:w="0" w:type="dxa"/>
            <w:right w:w="108" w:type="dxa"/>
          </w:tblCellMar>
        </w:tblPrEx>
        <w:trPr>
          <w:trHeight w:val="680" w:hRule="atLeast"/>
        </w:trPr>
        <w:tc>
          <w:tcPr>
            <w:tcW w:w="729" w:type="dxa"/>
            <w:vMerge w:val="continue"/>
            <w:tcBorders>
              <w:top w:val="nil"/>
              <w:left w:val="single" w:color="auto" w:sz="4" w:space="0"/>
              <w:bottom w:val="single" w:color="000000" w:sz="4" w:space="0"/>
              <w:right w:val="single" w:color="auto" w:sz="4" w:space="0"/>
            </w:tcBorders>
            <w:vAlign w:val="center"/>
          </w:tcPr>
          <w:p w14:paraId="064B7746">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000000" w:sz="4" w:space="0"/>
              <w:right w:val="single" w:color="auto" w:sz="4" w:space="0"/>
            </w:tcBorders>
            <w:vAlign w:val="center"/>
          </w:tcPr>
          <w:p w14:paraId="61C376D8">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vAlign w:val="center"/>
          </w:tcPr>
          <w:p w14:paraId="2AE0C94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测压管进水</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灵敏度试验</w:t>
            </w:r>
          </w:p>
        </w:tc>
        <w:tc>
          <w:tcPr>
            <w:tcW w:w="844" w:type="dxa"/>
            <w:tcBorders>
              <w:top w:val="nil"/>
              <w:left w:val="nil"/>
              <w:bottom w:val="single" w:color="auto" w:sz="4" w:space="0"/>
              <w:right w:val="single" w:color="auto" w:sz="4" w:space="0"/>
            </w:tcBorders>
            <w:shd w:val="clear" w:color="auto" w:fill="auto"/>
            <w:noWrap/>
            <w:vAlign w:val="center"/>
          </w:tcPr>
          <w:p w14:paraId="7E34124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55" w:type="dxa"/>
            <w:tcBorders>
              <w:top w:val="nil"/>
              <w:left w:val="nil"/>
              <w:bottom w:val="single" w:color="auto" w:sz="4" w:space="0"/>
              <w:right w:val="single" w:color="auto" w:sz="4" w:space="0"/>
            </w:tcBorders>
            <w:shd w:val="clear" w:color="auto" w:fill="auto"/>
            <w:noWrap/>
            <w:vAlign w:val="center"/>
          </w:tcPr>
          <w:p w14:paraId="5CD5D4A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30" w:type="dxa"/>
            <w:tcBorders>
              <w:top w:val="nil"/>
              <w:left w:val="nil"/>
              <w:bottom w:val="single" w:color="auto" w:sz="4" w:space="0"/>
              <w:right w:val="single" w:color="auto" w:sz="4" w:space="0"/>
            </w:tcBorders>
            <w:shd w:val="clear" w:color="auto" w:fill="auto"/>
            <w:noWrap/>
            <w:vAlign w:val="center"/>
          </w:tcPr>
          <w:p w14:paraId="5FA85A3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每年1次</w:t>
            </w:r>
          </w:p>
        </w:tc>
        <w:tc>
          <w:tcPr>
            <w:tcW w:w="2460" w:type="dxa"/>
            <w:vMerge w:val="continue"/>
            <w:tcBorders>
              <w:top w:val="nil"/>
              <w:left w:val="single" w:color="auto" w:sz="4" w:space="0"/>
              <w:bottom w:val="single" w:color="000000" w:sz="4" w:space="0"/>
              <w:right w:val="single" w:color="auto" w:sz="4" w:space="0"/>
            </w:tcBorders>
            <w:vAlign w:val="center"/>
          </w:tcPr>
          <w:p w14:paraId="3C215FFF">
            <w:pPr>
              <w:widowControl/>
              <w:jc w:val="left"/>
              <w:rPr>
                <w:rFonts w:hint="eastAsia" w:ascii="宋体" w:hAnsi="宋体" w:eastAsia="宋体" w:cs="宋体"/>
                <w:color w:val="auto"/>
                <w:kern w:val="0"/>
                <w:sz w:val="24"/>
                <w:szCs w:val="24"/>
                <w:highlight w:val="none"/>
              </w:rPr>
            </w:pPr>
          </w:p>
        </w:tc>
      </w:tr>
      <w:tr w14:paraId="59F27C21">
        <w:tblPrEx>
          <w:tblCellMar>
            <w:top w:w="0" w:type="dxa"/>
            <w:left w:w="108" w:type="dxa"/>
            <w:bottom w:w="0" w:type="dxa"/>
            <w:right w:w="108" w:type="dxa"/>
          </w:tblCellMar>
        </w:tblPrEx>
        <w:trPr>
          <w:trHeight w:val="680" w:hRule="atLeast"/>
        </w:trPr>
        <w:tc>
          <w:tcPr>
            <w:tcW w:w="729" w:type="dxa"/>
            <w:vMerge w:val="continue"/>
            <w:tcBorders>
              <w:top w:val="nil"/>
              <w:left w:val="single" w:color="auto" w:sz="4" w:space="0"/>
              <w:bottom w:val="single" w:color="000000" w:sz="4" w:space="0"/>
              <w:right w:val="single" w:color="auto" w:sz="4" w:space="0"/>
            </w:tcBorders>
            <w:vAlign w:val="center"/>
          </w:tcPr>
          <w:p w14:paraId="79900F65">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000000" w:sz="4" w:space="0"/>
              <w:right w:val="single" w:color="auto" w:sz="4" w:space="0"/>
            </w:tcBorders>
            <w:vAlign w:val="center"/>
          </w:tcPr>
          <w:p w14:paraId="67D087EA">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vAlign w:val="center"/>
          </w:tcPr>
          <w:p w14:paraId="6537452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测压管内淤积</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高程观测</w:t>
            </w:r>
          </w:p>
        </w:tc>
        <w:tc>
          <w:tcPr>
            <w:tcW w:w="844" w:type="dxa"/>
            <w:tcBorders>
              <w:top w:val="nil"/>
              <w:left w:val="nil"/>
              <w:bottom w:val="single" w:color="auto" w:sz="4" w:space="0"/>
              <w:right w:val="single" w:color="auto" w:sz="4" w:space="0"/>
            </w:tcBorders>
            <w:shd w:val="clear" w:color="auto" w:fill="auto"/>
            <w:noWrap/>
            <w:vAlign w:val="center"/>
          </w:tcPr>
          <w:p w14:paraId="785FBAF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55" w:type="dxa"/>
            <w:tcBorders>
              <w:top w:val="nil"/>
              <w:left w:val="nil"/>
              <w:bottom w:val="single" w:color="auto" w:sz="4" w:space="0"/>
              <w:right w:val="single" w:color="auto" w:sz="4" w:space="0"/>
            </w:tcBorders>
            <w:shd w:val="clear" w:color="auto" w:fill="auto"/>
            <w:noWrap/>
            <w:vAlign w:val="center"/>
          </w:tcPr>
          <w:p w14:paraId="3B1F48D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30" w:type="dxa"/>
            <w:tcBorders>
              <w:top w:val="nil"/>
              <w:left w:val="nil"/>
              <w:bottom w:val="single" w:color="auto" w:sz="4" w:space="0"/>
              <w:right w:val="single" w:color="auto" w:sz="4" w:space="0"/>
            </w:tcBorders>
            <w:shd w:val="clear" w:color="auto" w:fill="auto"/>
            <w:noWrap/>
            <w:vAlign w:val="center"/>
          </w:tcPr>
          <w:p w14:paraId="13F057E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每年1次</w:t>
            </w:r>
          </w:p>
        </w:tc>
        <w:tc>
          <w:tcPr>
            <w:tcW w:w="2460" w:type="dxa"/>
            <w:vMerge w:val="continue"/>
            <w:tcBorders>
              <w:top w:val="nil"/>
              <w:left w:val="single" w:color="auto" w:sz="4" w:space="0"/>
              <w:bottom w:val="single" w:color="000000" w:sz="4" w:space="0"/>
              <w:right w:val="single" w:color="auto" w:sz="4" w:space="0"/>
            </w:tcBorders>
            <w:vAlign w:val="center"/>
          </w:tcPr>
          <w:p w14:paraId="0B330E56">
            <w:pPr>
              <w:widowControl/>
              <w:jc w:val="left"/>
              <w:rPr>
                <w:rFonts w:hint="eastAsia" w:ascii="宋体" w:hAnsi="宋体" w:eastAsia="宋体" w:cs="宋体"/>
                <w:color w:val="auto"/>
                <w:kern w:val="0"/>
                <w:sz w:val="24"/>
                <w:szCs w:val="24"/>
                <w:highlight w:val="none"/>
              </w:rPr>
            </w:pPr>
          </w:p>
        </w:tc>
      </w:tr>
      <w:tr w14:paraId="26ECDE50">
        <w:tblPrEx>
          <w:tblCellMar>
            <w:top w:w="0" w:type="dxa"/>
            <w:left w:w="108" w:type="dxa"/>
            <w:bottom w:w="0" w:type="dxa"/>
            <w:right w:w="108" w:type="dxa"/>
          </w:tblCellMar>
        </w:tblPrEx>
        <w:trPr>
          <w:trHeight w:val="680" w:hRule="atLeast"/>
        </w:trPr>
        <w:tc>
          <w:tcPr>
            <w:tcW w:w="729" w:type="dxa"/>
            <w:vMerge w:val="continue"/>
            <w:tcBorders>
              <w:top w:val="nil"/>
              <w:left w:val="single" w:color="auto" w:sz="4" w:space="0"/>
              <w:bottom w:val="single" w:color="000000" w:sz="4" w:space="0"/>
              <w:right w:val="single" w:color="auto" w:sz="4" w:space="0"/>
            </w:tcBorders>
            <w:vAlign w:val="center"/>
          </w:tcPr>
          <w:p w14:paraId="71EF90CE">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000000" w:sz="4" w:space="0"/>
              <w:right w:val="single" w:color="auto" w:sz="4" w:space="0"/>
            </w:tcBorders>
            <w:vAlign w:val="center"/>
          </w:tcPr>
          <w:p w14:paraId="256ADDBD">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vAlign w:val="center"/>
          </w:tcPr>
          <w:p w14:paraId="3AF25D3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管内水位</w:t>
            </w:r>
          </w:p>
          <w:p w14:paraId="0FB589E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人工比测</w:t>
            </w:r>
          </w:p>
        </w:tc>
        <w:tc>
          <w:tcPr>
            <w:tcW w:w="844" w:type="dxa"/>
            <w:tcBorders>
              <w:top w:val="nil"/>
              <w:left w:val="nil"/>
              <w:bottom w:val="single" w:color="auto" w:sz="4" w:space="0"/>
              <w:right w:val="single" w:color="auto" w:sz="4" w:space="0"/>
            </w:tcBorders>
            <w:shd w:val="clear" w:color="auto" w:fill="auto"/>
            <w:noWrap/>
            <w:vAlign w:val="center"/>
          </w:tcPr>
          <w:p w14:paraId="0BB5D54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55" w:type="dxa"/>
            <w:tcBorders>
              <w:top w:val="nil"/>
              <w:left w:val="nil"/>
              <w:bottom w:val="single" w:color="auto" w:sz="4" w:space="0"/>
              <w:right w:val="single" w:color="auto" w:sz="4" w:space="0"/>
            </w:tcBorders>
            <w:shd w:val="clear" w:color="auto" w:fill="auto"/>
            <w:noWrap/>
            <w:vAlign w:val="center"/>
          </w:tcPr>
          <w:p w14:paraId="172C102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30" w:type="dxa"/>
            <w:tcBorders>
              <w:top w:val="nil"/>
              <w:left w:val="nil"/>
              <w:bottom w:val="single" w:color="auto" w:sz="4" w:space="0"/>
              <w:right w:val="single" w:color="auto" w:sz="4" w:space="0"/>
            </w:tcBorders>
            <w:shd w:val="clear" w:color="auto" w:fill="auto"/>
            <w:noWrap/>
            <w:vAlign w:val="center"/>
          </w:tcPr>
          <w:p w14:paraId="28CC7F4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continue"/>
            <w:tcBorders>
              <w:top w:val="nil"/>
              <w:left w:val="single" w:color="auto" w:sz="4" w:space="0"/>
              <w:bottom w:val="single" w:color="000000" w:sz="4" w:space="0"/>
              <w:right w:val="single" w:color="auto" w:sz="4" w:space="0"/>
            </w:tcBorders>
            <w:vAlign w:val="center"/>
          </w:tcPr>
          <w:p w14:paraId="6AA99DBD">
            <w:pPr>
              <w:widowControl/>
              <w:jc w:val="left"/>
              <w:rPr>
                <w:rFonts w:hint="eastAsia" w:ascii="宋体" w:hAnsi="宋体" w:eastAsia="宋体" w:cs="宋体"/>
                <w:color w:val="auto"/>
                <w:kern w:val="0"/>
                <w:sz w:val="24"/>
                <w:szCs w:val="24"/>
                <w:highlight w:val="none"/>
              </w:rPr>
            </w:pPr>
          </w:p>
        </w:tc>
      </w:tr>
      <w:tr w14:paraId="70048EF5">
        <w:tblPrEx>
          <w:tblCellMar>
            <w:top w:w="0" w:type="dxa"/>
            <w:left w:w="108" w:type="dxa"/>
            <w:bottom w:w="0" w:type="dxa"/>
            <w:right w:w="108" w:type="dxa"/>
          </w:tblCellMar>
        </w:tblPrEx>
        <w:trPr>
          <w:trHeight w:val="1020" w:hRule="atLeast"/>
        </w:trPr>
        <w:tc>
          <w:tcPr>
            <w:tcW w:w="729" w:type="dxa"/>
            <w:vMerge w:val="continue"/>
            <w:tcBorders>
              <w:top w:val="nil"/>
              <w:left w:val="single" w:color="auto" w:sz="4" w:space="0"/>
              <w:bottom w:val="single" w:color="000000" w:sz="4" w:space="0"/>
              <w:right w:val="single" w:color="auto" w:sz="4" w:space="0"/>
            </w:tcBorders>
            <w:vAlign w:val="center"/>
          </w:tcPr>
          <w:p w14:paraId="4E945592">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000000" w:sz="4" w:space="0"/>
              <w:right w:val="single" w:color="auto" w:sz="4" w:space="0"/>
            </w:tcBorders>
            <w:vAlign w:val="center"/>
          </w:tcPr>
          <w:p w14:paraId="07182F7F">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vAlign w:val="center"/>
          </w:tcPr>
          <w:p w14:paraId="6B516E9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测压管数据分析</w:t>
            </w:r>
          </w:p>
        </w:tc>
        <w:tc>
          <w:tcPr>
            <w:tcW w:w="844" w:type="dxa"/>
            <w:tcBorders>
              <w:top w:val="nil"/>
              <w:left w:val="nil"/>
              <w:bottom w:val="single" w:color="auto" w:sz="4" w:space="0"/>
              <w:right w:val="single" w:color="auto" w:sz="4" w:space="0"/>
            </w:tcBorders>
            <w:shd w:val="clear" w:color="auto" w:fill="auto"/>
            <w:noWrap/>
            <w:vAlign w:val="center"/>
          </w:tcPr>
          <w:p w14:paraId="42A43AF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55" w:type="dxa"/>
            <w:tcBorders>
              <w:top w:val="nil"/>
              <w:left w:val="nil"/>
              <w:bottom w:val="single" w:color="auto" w:sz="4" w:space="0"/>
              <w:right w:val="single" w:color="auto" w:sz="4" w:space="0"/>
            </w:tcBorders>
            <w:shd w:val="clear" w:color="auto" w:fill="auto"/>
            <w:noWrap/>
            <w:vAlign w:val="center"/>
          </w:tcPr>
          <w:p w14:paraId="54A4765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30" w:type="dxa"/>
            <w:tcBorders>
              <w:top w:val="nil"/>
              <w:left w:val="nil"/>
              <w:bottom w:val="single" w:color="auto" w:sz="4" w:space="0"/>
              <w:right w:val="single" w:color="auto" w:sz="4" w:space="0"/>
            </w:tcBorders>
            <w:shd w:val="clear" w:color="auto" w:fill="auto"/>
            <w:noWrap/>
            <w:vAlign w:val="center"/>
          </w:tcPr>
          <w:p w14:paraId="797EA0D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每年1次</w:t>
            </w:r>
          </w:p>
        </w:tc>
        <w:tc>
          <w:tcPr>
            <w:tcW w:w="2460" w:type="dxa"/>
            <w:tcBorders>
              <w:top w:val="nil"/>
              <w:left w:val="nil"/>
              <w:bottom w:val="single" w:color="auto" w:sz="4" w:space="0"/>
              <w:right w:val="single" w:color="auto" w:sz="4" w:space="0"/>
            </w:tcBorders>
            <w:shd w:val="clear" w:color="auto" w:fill="auto"/>
            <w:vAlign w:val="center"/>
          </w:tcPr>
          <w:p w14:paraId="30FFAD5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每根测压管每月4天数据分析</w:t>
            </w:r>
          </w:p>
        </w:tc>
      </w:tr>
      <w:tr w14:paraId="02BC7651">
        <w:tblPrEx>
          <w:tblCellMar>
            <w:top w:w="0" w:type="dxa"/>
            <w:left w:w="108" w:type="dxa"/>
            <w:bottom w:w="0" w:type="dxa"/>
            <w:right w:w="108" w:type="dxa"/>
          </w:tblCellMar>
        </w:tblPrEx>
        <w:trPr>
          <w:trHeight w:val="1425" w:hRule="atLeast"/>
        </w:trPr>
        <w:tc>
          <w:tcPr>
            <w:tcW w:w="729" w:type="dxa"/>
            <w:tcBorders>
              <w:top w:val="nil"/>
              <w:left w:val="single" w:color="auto" w:sz="4" w:space="0"/>
              <w:bottom w:val="single" w:color="auto" w:sz="4" w:space="0"/>
              <w:right w:val="single" w:color="auto" w:sz="4" w:space="0"/>
            </w:tcBorders>
            <w:shd w:val="clear" w:color="auto" w:fill="auto"/>
            <w:noWrap/>
            <w:vAlign w:val="center"/>
          </w:tcPr>
          <w:p w14:paraId="06E581A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085" w:type="dxa"/>
            <w:tcBorders>
              <w:top w:val="nil"/>
              <w:left w:val="nil"/>
              <w:bottom w:val="single" w:color="auto" w:sz="4" w:space="0"/>
              <w:right w:val="single" w:color="auto" w:sz="4" w:space="0"/>
            </w:tcBorders>
            <w:shd w:val="clear" w:color="auto" w:fill="auto"/>
            <w:noWrap/>
            <w:vAlign w:val="center"/>
          </w:tcPr>
          <w:p w14:paraId="5CB9155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测压管清淤</w:t>
            </w:r>
          </w:p>
        </w:tc>
        <w:tc>
          <w:tcPr>
            <w:tcW w:w="1701" w:type="dxa"/>
            <w:tcBorders>
              <w:top w:val="nil"/>
              <w:left w:val="nil"/>
              <w:bottom w:val="single" w:color="auto" w:sz="4" w:space="0"/>
              <w:right w:val="single" w:color="auto" w:sz="4" w:space="0"/>
            </w:tcBorders>
            <w:shd w:val="clear" w:color="auto" w:fill="auto"/>
            <w:vAlign w:val="center"/>
          </w:tcPr>
          <w:p w14:paraId="77619F8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测压管管内</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淤积清理</w:t>
            </w:r>
          </w:p>
        </w:tc>
        <w:tc>
          <w:tcPr>
            <w:tcW w:w="844" w:type="dxa"/>
            <w:tcBorders>
              <w:top w:val="nil"/>
              <w:left w:val="nil"/>
              <w:bottom w:val="single" w:color="auto" w:sz="4" w:space="0"/>
              <w:right w:val="single" w:color="auto" w:sz="4" w:space="0"/>
            </w:tcBorders>
            <w:shd w:val="clear" w:color="auto" w:fill="auto"/>
            <w:noWrap/>
            <w:vAlign w:val="center"/>
          </w:tcPr>
          <w:p w14:paraId="1C8FF01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55" w:type="dxa"/>
            <w:tcBorders>
              <w:top w:val="nil"/>
              <w:left w:val="nil"/>
              <w:bottom w:val="single" w:color="auto" w:sz="4" w:space="0"/>
              <w:right w:val="single" w:color="auto" w:sz="4" w:space="0"/>
            </w:tcBorders>
            <w:shd w:val="clear" w:color="auto" w:fill="auto"/>
            <w:noWrap/>
            <w:vAlign w:val="center"/>
          </w:tcPr>
          <w:p w14:paraId="1D57428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30" w:type="dxa"/>
            <w:tcBorders>
              <w:top w:val="nil"/>
              <w:left w:val="nil"/>
              <w:bottom w:val="single" w:color="auto" w:sz="4" w:space="0"/>
              <w:right w:val="single" w:color="auto" w:sz="4" w:space="0"/>
            </w:tcBorders>
            <w:shd w:val="clear" w:color="auto" w:fill="auto"/>
            <w:noWrap/>
            <w:vAlign w:val="center"/>
          </w:tcPr>
          <w:p w14:paraId="5A9EB2C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每年1次</w:t>
            </w:r>
          </w:p>
        </w:tc>
        <w:tc>
          <w:tcPr>
            <w:tcW w:w="2460" w:type="dxa"/>
            <w:tcBorders>
              <w:top w:val="nil"/>
              <w:left w:val="nil"/>
              <w:bottom w:val="single" w:color="auto" w:sz="4" w:space="0"/>
              <w:right w:val="single" w:color="auto" w:sz="4" w:space="0"/>
            </w:tcBorders>
            <w:shd w:val="clear" w:color="auto" w:fill="auto"/>
            <w:vAlign w:val="center"/>
          </w:tcPr>
          <w:p w14:paraId="6AA2253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对指定的测压管进行管内清淤，提交清淤前后的相关数据及记录资料</w:t>
            </w:r>
          </w:p>
        </w:tc>
      </w:tr>
      <w:tr w14:paraId="1A178EAC">
        <w:tblPrEx>
          <w:tblCellMar>
            <w:top w:w="0" w:type="dxa"/>
            <w:left w:w="108" w:type="dxa"/>
            <w:bottom w:w="0" w:type="dxa"/>
            <w:right w:w="108" w:type="dxa"/>
          </w:tblCellMar>
        </w:tblPrEx>
        <w:trPr>
          <w:trHeight w:val="799" w:hRule="atLeast"/>
        </w:trPr>
        <w:tc>
          <w:tcPr>
            <w:tcW w:w="729" w:type="dxa"/>
            <w:vMerge w:val="restart"/>
            <w:tcBorders>
              <w:top w:val="nil"/>
              <w:left w:val="single" w:color="auto" w:sz="4" w:space="0"/>
              <w:bottom w:val="single" w:color="000000" w:sz="4" w:space="0"/>
              <w:right w:val="single" w:color="auto" w:sz="4" w:space="0"/>
            </w:tcBorders>
            <w:shd w:val="clear" w:color="auto" w:fill="auto"/>
            <w:noWrap/>
            <w:vAlign w:val="center"/>
          </w:tcPr>
          <w:p w14:paraId="4B05AF9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085" w:type="dxa"/>
            <w:vMerge w:val="restart"/>
            <w:tcBorders>
              <w:top w:val="nil"/>
              <w:left w:val="single" w:color="auto" w:sz="4" w:space="0"/>
              <w:bottom w:val="single" w:color="000000" w:sz="4" w:space="0"/>
              <w:right w:val="single" w:color="auto" w:sz="4" w:space="0"/>
            </w:tcBorders>
            <w:shd w:val="clear" w:color="auto" w:fill="auto"/>
            <w:noWrap/>
            <w:vAlign w:val="center"/>
          </w:tcPr>
          <w:p w14:paraId="652E199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水平位移观测</w:t>
            </w:r>
          </w:p>
        </w:tc>
        <w:tc>
          <w:tcPr>
            <w:tcW w:w="1701" w:type="dxa"/>
            <w:tcBorders>
              <w:top w:val="nil"/>
              <w:left w:val="nil"/>
              <w:bottom w:val="single" w:color="auto" w:sz="4" w:space="0"/>
              <w:right w:val="single" w:color="auto" w:sz="4" w:space="0"/>
            </w:tcBorders>
            <w:shd w:val="clear" w:color="auto" w:fill="auto"/>
            <w:vAlign w:val="center"/>
          </w:tcPr>
          <w:p w14:paraId="2D95508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工作基点考证</w:t>
            </w:r>
          </w:p>
        </w:tc>
        <w:tc>
          <w:tcPr>
            <w:tcW w:w="844" w:type="dxa"/>
            <w:tcBorders>
              <w:top w:val="nil"/>
              <w:left w:val="nil"/>
              <w:bottom w:val="single" w:color="auto" w:sz="4" w:space="0"/>
              <w:right w:val="single" w:color="auto" w:sz="4" w:space="0"/>
            </w:tcBorders>
            <w:shd w:val="clear" w:color="auto" w:fill="auto"/>
            <w:noWrap/>
            <w:vAlign w:val="center"/>
          </w:tcPr>
          <w:p w14:paraId="12891E7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55" w:type="dxa"/>
            <w:tcBorders>
              <w:top w:val="nil"/>
              <w:left w:val="nil"/>
              <w:bottom w:val="single" w:color="auto" w:sz="4" w:space="0"/>
              <w:right w:val="single" w:color="auto" w:sz="4" w:space="0"/>
            </w:tcBorders>
            <w:shd w:val="clear" w:color="auto" w:fill="auto"/>
            <w:noWrap/>
            <w:vAlign w:val="center"/>
          </w:tcPr>
          <w:p w14:paraId="4DD53553">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1530" w:type="dxa"/>
            <w:tcBorders>
              <w:top w:val="nil"/>
              <w:left w:val="nil"/>
              <w:bottom w:val="single" w:color="auto" w:sz="4" w:space="0"/>
              <w:right w:val="single" w:color="auto" w:sz="4" w:space="0"/>
            </w:tcBorders>
            <w:shd w:val="clear" w:color="auto" w:fill="auto"/>
            <w:noWrap/>
            <w:vAlign w:val="center"/>
          </w:tcPr>
          <w:p w14:paraId="20390FA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restart"/>
            <w:tcBorders>
              <w:top w:val="nil"/>
              <w:left w:val="single" w:color="auto" w:sz="4" w:space="0"/>
              <w:bottom w:val="single" w:color="000000" w:sz="4" w:space="0"/>
              <w:right w:val="single" w:color="auto" w:sz="4" w:space="0"/>
            </w:tcBorders>
            <w:shd w:val="clear" w:color="auto" w:fill="auto"/>
            <w:vAlign w:val="center"/>
          </w:tcPr>
          <w:p w14:paraId="41A2574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含资料分析、出具相关报告</w:t>
            </w:r>
          </w:p>
        </w:tc>
      </w:tr>
      <w:tr w14:paraId="1DAF335E">
        <w:tblPrEx>
          <w:tblCellMar>
            <w:top w:w="0" w:type="dxa"/>
            <w:left w:w="108" w:type="dxa"/>
            <w:bottom w:w="0" w:type="dxa"/>
            <w:right w:w="108" w:type="dxa"/>
          </w:tblCellMar>
        </w:tblPrEx>
        <w:trPr>
          <w:trHeight w:val="799" w:hRule="atLeast"/>
        </w:trPr>
        <w:tc>
          <w:tcPr>
            <w:tcW w:w="729" w:type="dxa"/>
            <w:vMerge w:val="continue"/>
            <w:tcBorders>
              <w:top w:val="nil"/>
              <w:left w:val="single" w:color="auto" w:sz="4" w:space="0"/>
              <w:bottom w:val="single" w:color="000000" w:sz="4" w:space="0"/>
              <w:right w:val="single" w:color="auto" w:sz="4" w:space="0"/>
            </w:tcBorders>
            <w:vAlign w:val="center"/>
          </w:tcPr>
          <w:p w14:paraId="0A6F38B4">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000000" w:sz="4" w:space="0"/>
              <w:right w:val="single" w:color="auto" w:sz="4" w:space="0"/>
            </w:tcBorders>
            <w:vAlign w:val="center"/>
          </w:tcPr>
          <w:p w14:paraId="2A4B5644">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vAlign w:val="center"/>
          </w:tcPr>
          <w:p w14:paraId="30F82C4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水平位移监测</w:t>
            </w:r>
          </w:p>
        </w:tc>
        <w:tc>
          <w:tcPr>
            <w:tcW w:w="844" w:type="dxa"/>
            <w:tcBorders>
              <w:top w:val="nil"/>
              <w:left w:val="nil"/>
              <w:bottom w:val="single" w:color="auto" w:sz="4" w:space="0"/>
              <w:right w:val="single" w:color="auto" w:sz="4" w:space="0"/>
            </w:tcBorders>
            <w:shd w:val="clear" w:color="auto" w:fill="auto"/>
            <w:noWrap/>
            <w:vAlign w:val="center"/>
          </w:tcPr>
          <w:p w14:paraId="22D73FE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855" w:type="dxa"/>
            <w:tcBorders>
              <w:top w:val="nil"/>
              <w:left w:val="nil"/>
              <w:bottom w:val="single" w:color="auto" w:sz="4" w:space="0"/>
              <w:right w:val="single" w:color="auto" w:sz="4" w:space="0"/>
            </w:tcBorders>
            <w:shd w:val="clear" w:color="auto" w:fill="auto"/>
            <w:noWrap/>
            <w:vAlign w:val="center"/>
          </w:tcPr>
          <w:p w14:paraId="33838B0E">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1530" w:type="dxa"/>
            <w:tcBorders>
              <w:top w:val="nil"/>
              <w:left w:val="nil"/>
              <w:bottom w:val="single" w:color="auto" w:sz="4" w:space="0"/>
              <w:right w:val="single" w:color="auto" w:sz="4" w:space="0"/>
            </w:tcBorders>
            <w:shd w:val="clear" w:color="auto" w:fill="auto"/>
            <w:noWrap/>
            <w:vAlign w:val="center"/>
          </w:tcPr>
          <w:p w14:paraId="3CEE6D5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continue"/>
            <w:tcBorders>
              <w:top w:val="nil"/>
              <w:left w:val="single" w:color="auto" w:sz="4" w:space="0"/>
              <w:bottom w:val="single" w:color="000000" w:sz="4" w:space="0"/>
              <w:right w:val="single" w:color="auto" w:sz="4" w:space="0"/>
            </w:tcBorders>
            <w:vAlign w:val="center"/>
          </w:tcPr>
          <w:p w14:paraId="21B7103D">
            <w:pPr>
              <w:widowControl/>
              <w:jc w:val="left"/>
              <w:rPr>
                <w:rFonts w:hint="eastAsia" w:ascii="宋体" w:hAnsi="宋体" w:eastAsia="宋体" w:cs="宋体"/>
                <w:color w:val="auto"/>
                <w:kern w:val="0"/>
                <w:sz w:val="24"/>
                <w:szCs w:val="24"/>
                <w:highlight w:val="none"/>
              </w:rPr>
            </w:pPr>
          </w:p>
        </w:tc>
      </w:tr>
      <w:tr w14:paraId="53425436">
        <w:tblPrEx>
          <w:tblCellMar>
            <w:top w:w="0" w:type="dxa"/>
            <w:left w:w="108" w:type="dxa"/>
            <w:bottom w:w="0" w:type="dxa"/>
            <w:right w:w="108" w:type="dxa"/>
          </w:tblCellMar>
        </w:tblPrEx>
        <w:trPr>
          <w:trHeight w:val="799" w:hRule="atLeast"/>
        </w:trPr>
        <w:tc>
          <w:tcPr>
            <w:tcW w:w="729" w:type="dxa"/>
            <w:tcBorders>
              <w:top w:val="nil"/>
              <w:left w:val="single" w:color="auto" w:sz="4" w:space="0"/>
              <w:bottom w:val="single" w:color="auto" w:sz="4" w:space="0"/>
              <w:right w:val="single" w:color="auto" w:sz="4" w:space="0"/>
            </w:tcBorders>
            <w:shd w:val="clear" w:color="auto" w:fill="auto"/>
            <w:noWrap/>
            <w:vAlign w:val="center"/>
          </w:tcPr>
          <w:p w14:paraId="226D970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085" w:type="dxa"/>
            <w:tcBorders>
              <w:top w:val="nil"/>
              <w:left w:val="nil"/>
              <w:bottom w:val="single" w:color="auto" w:sz="4" w:space="0"/>
              <w:right w:val="single" w:color="auto" w:sz="4" w:space="0"/>
            </w:tcBorders>
            <w:shd w:val="clear" w:color="auto" w:fill="auto"/>
            <w:noWrap/>
            <w:vAlign w:val="center"/>
          </w:tcPr>
          <w:p w14:paraId="7EB7607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伸缩缝</w:t>
            </w:r>
          </w:p>
        </w:tc>
        <w:tc>
          <w:tcPr>
            <w:tcW w:w="1701" w:type="dxa"/>
            <w:tcBorders>
              <w:top w:val="nil"/>
              <w:left w:val="nil"/>
              <w:bottom w:val="single" w:color="auto" w:sz="4" w:space="0"/>
              <w:right w:val="single" w:color="auto" w:sz="4" w:space="0"/>
            </w:tcBorders>
            <w:shd w:val="clear" w:color="auto" w:fill="auto"/>
            <w:vAlign w:val="center"/>
          </w:tcPr>
          <w:p w14:paraId="375D15EB">
            <w:pPr>
              <w:widowControl/>
              <w:jc w:val="center"/>
              <w:rPr>
                <w:rFonts w:hint="eastAsia" w:ascii="宋体" w:hAnsi="宋体" w:eastAsia="宋体" w:cs="宋体"/>
                <w:color w:val="auto"/>
                <w:kern w:val="0"/>
                <w:sz w:val="24"/>
                <w:szCs w:val="24"/>
                <w:highlight w:val="none"/>
              </w:rPr>
            </w:pPr>
          </w:p>
        </w:tc>
        <w:tc>
          <w:tcPr>
            <w:tcW w:w="844" w:type="dxa"/>
            <w:tcBorders>
              <w:top w:val="nil"/>
              <w:left w:val="nil"/>
              <w:bottom w:val="single" w:color="auto" w:sz="4" w:space="0"/>
              <w:right w:val="single" w:color="auto" w:sz="4" w:space="0"/>
            </w:tcBorders>
            <w:shd w:val="clear" w:color="auto" w:fill="auto"/>
            <w:noWrap/>
            <w:vAlign w:val="center"/>
          </w:tcPr>
          <w:p w14:paraId="34C6BEE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55" w:type="dxa"/>
            <w:tcBorders>
              <w:top w:val="nil"/>
              <w:left w:val="nil"/>
              <w:bottom w:val="single" w:color="auto" w:sz="4" w:space="0"/>
              <w:right w:val="single" w:color="auto" w:sz="4" w:space="0"/>
            </w:tcBorders>
            <w:shd w:val="clear" w:color="auto" w:fill="auto"/>
            <w:noWrap/>
            <w:vAlign w:val="center"/>
          </w:tcPr>
          <w:p w14:paraId="38F8457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30" w:type="dxa"/>
            <w:tcBorders>
              <w:top w:val="nil"/>
              <w:left w:val="nil"/>
              <w:bottom w:val="single" w:color="auto" w:sz="4" w:space="0"/>
              <w:right w:val="single" w:color="auto" w:sz="4" w:space="0"/>
            </w:tcBorders>
            <w:shd w:val="clear" w:color="auto" w:fill="auto"/>
            <w:noWrap/>
            <w:vAlign w:val="center"/>
          </w:tcPr>
          <w:p w14:paraId="288293B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每季度一次</w:t>
            </w:r>
          </w:p>
        </w:tc>
        <w:tc>
          <w:tcPr>
            <w:tcW w:w="2460" w:type="dxa"/>
            <w:tcBorders>
              <w:top w:val="nil"/>
              <w:left w:val="nil"/>
              <w:bottom w:val="single" w:color="auto" w:sz="4" w:space="0"/>
              <w:right w:val="single" w:color="auto" w:sz="4" w:space="0"/>
            </w:tcBorders>
            <w:shd w:val="clear" w:color="auto" w:fill="auto"/>
            <w:vAlign w:val="center"/>
          </w:tcPr>
          <w:p w14:paraId="4DF364D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含资料分析、出具相关报告</w:t>
            </w:r>
          </w:p>
        </w:tc>
      </w:tr>
      <w:tr w14:paraId="08B31A29">
        <w:tblPrEx>
          <w:tblCellMar>
            <w:top w:w="0" w:type="dxa"/>
            <w:left w:w="108" w:type="dxa"/>
            <w:bottom w:w="0" w:type="dxa"/>
            <w:right w:w="108" w:type="dxa"/>
          </w:tblCellMar>
        </w:tblPrEx>
        <w:trPr>
          <w:trHeight w:val="799" w:hRule="atLeast"/>
        </w:trPr>
        <w:tc>
          <w:tcPr>
            <w:tcW w:w="729" w:type="dxa"/>
            <w:tcBorders>
              <w:top w:val="nil"/>
              <w:left w:val="single" w:color="auto" w:sz="4" w:space="0"/>
              <w:bottom w:val="single" w:color="auto" w:sz="4" w:space="0"/>
              <w:right w:val="single" w:color="auto" w:sz="4" w:space="0"/>
            </w:tcBorders>
            <w:shd w:val="clear" w:color="auto" w:fill="auto"/>
            <w:noWrap/>
            <w:vAlign w:val="center"/>
          </w:tcPr>
          <w:p w14:paraId="122F750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085" w:type="dxa"/>
            <w:tcBorders>
              <w:top w:val="nil"/>
              <w:left w:val="nil"/>
              <w:bottom w:val="single" w:color="auto" w:sz="4" w:space="0"/>
              <w:right w:val="single" w:color="auto" w:sz="4" w:space="0"/>
            </w:tcBorders>
            <w:shd w:val="clear" w:color="auto" w:fill="auto"/>
            <w:noWrap/>
            <w:vAlign w:val="center"/>
          </w:tcPr>
          <w:p w14:paraId="2E18384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水尺水位比测</w:t>
            </w:r>
          </w:p>
        </w:tc>
        <w:tc>
          <w:tcPr>
            <w:tcW w:w="1701" w:type="dxa"/>
            <w:tcBorders>
              <w:top w:val="nil"/>
              <w:left w:val="nil"/>
              <w:bottom w:val="single" w:color="auto" w:sz="4" w:space="0"/>
              <w:right w:val="single" w:color="auto" w:sz="4" w:space="0"/>
            </w:tcBorders>
            <w:shd w:val="clear" w:color="auto" w:fill="auto"/>
            <w:vAlign w:val="center"/>
          </w:tcPr>
          <w:p w14:paraId="47C5DC02">
            <w:pPr>
              <w:widowControl/>
              <w:jc w:val="center"/>
              <w:rPr>
                <w:rFonts w:hint="eastAsia" w:ascii="宋体" w:hAnsi="宋体" w:eastAsia="宋体" w:cs="宋体"/>
                <w:color w:val="auto"/>
                <w:kern w:val="0"/>
                <w:sz w:val="24"/>
                <w:szCs w:val="24"/>
                <w:highlight w:val="none"/>
              </w:rPr>
            </w:pPr>
          </w:p>
        </w:tc>
        <w:tc>
          <w:tcPr>
            <w:tcW w:w="844" w:type="dxa"/>
            <w:tcBorders>
              <w:top w:val="nil"/>
              <w:left w:val="nil"/>
              <w:bottom w:val="single" w:color="auto" w:sz="4" w:space="0"/>
              <w:right w:val="single" w:color="auto" w:sz="4" w:space="0"/>
            </w:tcBorders>
            <w:shd w:val="clear" w:color="auto" w:fill="auto"/>
            <w:noWrap/>
            <w:vAlign w:val="center"/>
          </w:tcPr>
          <w:p w14:paraId="286F8AFB">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855" w:type="dxa"/>
            <w:tcBorders>
              <w:top w:val="nil"/>
              <w:left w:val="nil"/>
              <w:bottom w:val="single" w:color="auto" w:sz="4" w:space="0"/>
              <w:right w:val="single" w:color="auto" w:sz="4" w:space="0"/>
            </w:tcBorders>
            <w:shd w:val="clear" w:color="auto" w:fill="auto"/>
            <w:noWrap/>
            <w:vAlign w:val="center"/>
          </w:tcPr>
          <w:p w14:paraId="7669DB1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30" w:type="dxa"/>
            <w:tcBorders>
              <w:top w:val="nil"/>
              <w:left w:val="nil"/>
              <w:bottom w:val="single" w:color="auto" w:sz="4" w:space="0"/>
              <w:right w:val="single" w:color="auto" w:sz="4" w:space="0"/>
            </w:tcBorders>
            <w:shd w:val="clear" w:color="auto" w:fill="auto"/>
            <w:noWrap/>
            <w:vAlign w:val="center"/>
          </w:tcPr>
          <w:p w14:paraId="36FC051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每季度一次</w:t>
            </w:r>
          </w:p>
        </w:tc>
        <w:tc>
          <w:tcPr>
            <w:tcW w:w="2460" w:type="dxa"/>
            <w:tcBorders>
              <w:top w:val="nil"/>
              <w:left w:val="nil"/>
              <w:bottom w:val="single" w:color="auto" w:sz="4" w:space="0"/>
              <w:right w:val="single" w:color="auto" w:sz="4" w:space="0"/>
            </w:tcBorders>
            <w:shd w:val="clear" w:color="auto" w:fill="auto"/>
            <w:vAlign w:val="center"/>
          </w:tcPr>
          <w:p w14:paraId="7861DDF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含现场校准、配合调试</w:t>
            </w:r>
          </w:p>
        </w:tc>
      </w:tr>
    </w:tbl>
    <w:p w14:paraId="505AB14F">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、质量要求</w:t>
      </w:r>
    </w:p>
    <w:p w14:paraId="1BCE37E4">
      <w:pPr>
        <w:snapToGrid w:val="0"/>
        <w:spacing w:line="480" w:lineRule="exact"/>
        <w:ind w:firstLine="480" w:firstLineChars="200"/>
        <w:outlineLvl w:val="1"/>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达到二等测量要求，符合《工程测量规范》GB 50026-2007，《建筑变形测量规范》JGJ8-2016，《国家一二等水准测量规范》GB/T 24314-2009，《水利工程观测规程》DB32/T 1732-2011要求。</w:t>
      </w:r>
    </w:p>
    <w:p w14:paraId="69950CFD">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、资料成果</w:t>
      </w:r>
    </w:p>
    <w:p w14:paraId="48BBEDD3">
      <w:pPr>
        <w:adjustRightInd w:val="0"/>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（一）原始资料</w:t>
      </w:r>
    </w:p>
    <w:p w14:paraId="06B4467C">
      <w:pPr>
        <w:adjustRightInd w:val="0"/>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提供垂直位移、水平位移、扬压力观测（含清淤）、伸缩缝观测及水尺比测等现场的观测记录、原始资料</w:t>
      </w:r>
      <w:r>
        <w:rPr>
          <w:rFonts w:hint="eastAsia" w:ascii="宋体" w:hAnsi="宋体" w:cs="宋体"/>
          <w:b/>
          <w:color w:val="auto"/>
          <w:sz w:val="24"/>
          <w:highlight w:val="none"/>
          <w:lang w:eastAsia="zh-CN"/>
        </w:rPr>
        <w:t>、仪器检定证书等</w:t>
      </w:r>
      <w:r>
        <w:rPr>
          <w:rFonts w:hint="eastAsia" w:ascii="宋体" w:hAnsi="宋体" w:cs="宋体"/>
          <w:b/>
          <w:color w:val="auto"/>
          <w:sz w:val="24"/>
          <w:highlight w:val="none"/>
        </w:rPr>
        <w:t>。</w:t>
      </w:r>
    </w:p>
    <w:p w14:paraId="0172AE49">
      <w:pPr>
        <w:adjustRightInd w:val="0"/>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（二）绘制图表（包括但不限于）</w:t>
      </w:r>
    </w:p>
    <w:p w14:paraId="269D9FC0">
      <w:pP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3.1</w:t>
      </w:r>
      <w:r>
        <w:rPr>
          <w:rFonts w:hint="eastAsia" w:ascii="宋体" w:hAnsi="宋体" w:cs="宋体"/>
          <w:color w:val="auto"/>
          <w:sz w:val="24"/>
          <w:highlight w:val="none"/>
        </w:rPr>
        <w:t>垂直位移观测</w:t>
      </w:r>
    </w:p>
    <w:p w14:paraId="25AF1970">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垂直位移观测标点及观测线路示意图</w:t>
      </w:r>
    </w:p>
    <w:p w14:paraId="3E53DF12">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垂直位移工作基点考证表 </w:t>
      </w:r>
    </w:p>
    <w:p w14:paraId="5B2B1706">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垂直位移工作基点高程考证表 </w:t>
      </w:r>
    </w:p>
    <w:p w14:paraId="46D658EA">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垂直位移观测标点考证表 </w:t>
      </w:r>
    </w:p>
    <w:p w14:paraId="4A40D6BE">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水准观测记录表</w:t>
      </w:r>
    </w:p>
    <w:p w14:paraId="511EC08A">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观测点高程计算表</w:t>
      </w:r>
    </w:p>
    <w:p w14:paraId="027D4140">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垂直位移观测成果表 </w:t>
      </w:r>
    </w:p>
    <w:p w14:paraId="1D4B4BC9">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I角检验记录表</w:t>
      </w:r>
    </w:p>
    <w:p w14:paraId="35FD0F1E">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垂直位移观测汇总表</w:t>
      </w:r>
    </w:p>
    <w:p w14:paraId="3B5C5D0F">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沉降变化曲线图</w:t>
      </w:r>
    </w:p>
    <w:p w14:paraId="48FA8B3D">
      <w:pP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w:t>
      </w:r>
      <w:r>
        <w:rPr>
          <w:rFonts w:hint="eastAsia" w:ascii="宋体" w:hAnsi="宋体" w:cs="宋体"/>
          <w:color w:val="auto"/>
          <w:sz w:val="24"/>
          <w:highlight w:val="none"/>
        </w:rPr>
        <w:t>水平位移观测</w:t>
      </w:r>
    </w:p>
    <w:p w14:paraId="43A36F2F">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水平位移观测标点及观测线路示意图</w:t>
      </w:r>
    </w:p>
    <w:p w14:paraId="1AB726C4">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水平位移工作基点考证表</w:t>
      </w:r>
    </w:p>
    <w:p w14:paraId="0A6FAF12">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水平位移观测记录表</w:t>
      </w:r>
    </w:p>
    <w:p w14:paraId="042511AA">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观测点位移计算表</w:t>
      </w:r>
    </w:p>
    <w:p w14:paraId="0822D495">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水平位移观测成果表 </w:t>
      </w:r>
    </w:p>
    <w:p w14:paraId="32FD95BE">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水平位移观测汇总表</w:t>
      </w:r>
    </w:p>
    <w:p w14:paraId="1C3559AA">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水平位移变化曲线图</w:t>
      </w:r>
    </w:p>
    <w:p w14:paraId="3A291454">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3.3</w:t>
      </w:r>
      <w:r>
        <w:rPr>
          <w:rFonts w:hint="eastAsia" w:ascii="宋体" w:hAnsi="宋体" w:cs="宋体"/>
          <w:color w:val="auto"/>
          <w:sz w:val="24"/>
          <w:highlight w:val="none"/>
        </w:rPr>
        <w:t>扬压力观测</w:t>
      </w:r>
    </w:p>
    <w:p w14:paraId="0BD8C66B">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测压管位置示意图</w:t>
      </w:r>
    </w:p>
    <w:p w14:paraId="347AA506">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测压管考证表</w:t>
      </w:r>
    </w:p>
    <w:p w14:paraId="5C214790">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测压管管口高程考证表</w:t>
      </w:r>
    </w:p>
    <w:p w14:paraId="0E8BB200">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测压管注水试验成果表</w:t>
      </w:r>
    </w:p>
    <w:p w14:paraId="531A34A1">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测压管淤积深度统计表</w:t>
      </w:r>
    </w:p>
    <w:p w14:paraId="516CC02B">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测压管水位统计表</w:t>
      </w:r>
    </w:p>
    <w:p w14:paraId="1DB21864">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测压管水位过程线</w:t>
      </w:r>
    </w:p>
    <w:p w14:paraId="5FC2EEAA">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观测成果分析</w:t>
      </w:r>
    </w:p>
    <w:p w14:paraId="793286FE">
      <w:pPr>
        <w:adjustRightInd w:val="0"/>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3.4伸缩缝观测</w:t>
      </w:r>
    </w:p>
    <w:p w14:paraId="5CB1BB3B">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伸缩缝位置示意图</w:t>
      </w:r>
    </w:p>
    <w:p w14:paraId="213FC23E">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伸缩缝缝宽记录表统计表</w:t>
      </w:r>
    </w:p>
    <w:p w14:paraId="1CF5055E">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伸缩缝变化过程线</w:t>
      </w:r>
    </w:p>
    <w:p w14:paraId="08497F21">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观测成果分析</w:t>
      </w:r>
    </w:p>
    <w:p w14:paraId="5F0DB86C">
      <w:pPr>
        <w:adjustRightInd w:val="0"/>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（三）成果分析报告</w:t>
      </w:r>
    </w:p>
    <w:p w14:paraId="20C76213">
      <w:pPr>
        <w:adjustRightInd w:val="0"/>
        <w:snapToGrid w:val="0"/>
        <w:spacing w:line="48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按照</w:t>
      </w:r>
      <w:r>
        <w:rPr>
          <w:rFonts w:hint="eastAsia" w:ascii="宋体" w:hAnsi="宋体" w:cs="宋体"/>
          <w:b w:val="0"/>
          <w:bCs w:val="0"/>
          <w:color w:val="auto"/>
          <w:sz w:val="24"/>
          <w:highlight w:val="none"/>
        </w:rPr>
        <w:t>《工程测量规范》GB 50026-2007，《建筑变形测量规范》JGJ8-2016，《国家一二等水准测量规范》GB/T 24314-2009，《水利工程观测规程》DB32/T 1732-2011</w:t>
      </w:r>
      <w:r>
        <w:rPr>
          <w:rFonts w:hint="eastAsia" w:ascii="宋体" w:hAnsi="宋体" w:cs="宋体"/>
          <w:color w:val="auto"/>
          <w:sz w:val="24"/>
          <w:highlight w:val="none"/>
        </w:rPr>
        <w:t>等要求，对观测结果进行整编分析，并根据分析对工程运行状态进行评价，对工程控制运用和维修加固等提出初步意见。报告内容还需包括概况、技术依据、观测手段、测网及观测点的布设、坐标系统、作业方法简述、仪器配备、观测时的水情气象和工程运用状况、观测时发生的问题和处理办法、经验教训，观测手段的改进和革新，观测精度的自我评价、成果初步分析、技术结论等。</w:t>
      </w:r>
    </w:p>
    <w:p w14:paraId="7CB111F1">
      <w:pPr>
        <w:adjustRightInd w:val="0"/>
        <w:snapToGrid w:val="0"/>
        <w:spacing w:line="480" w:lineRule="exact"/>
        <w:ind w:firstLine="480" w:firstLineChars="200"/>
        <w:jc w:val="left"/>
        <w:rPr>
          <w:color w:val="auto"/>
          <w:sz w:val="24"/>
          <w:szCs w:val="21"/>
          <w:highlight w:val="none"/>
        </w:rPr>
      </w:pPr>
      <w:r>
        <w:rPr>
          <w:rFonts w:hint="eastAsia" w:ascii="宋体" w:hAnsi="宋体" w:cs="宋体"/>
          <w:color w:val="auto"/>
          <w:kern w:val="0"/>
          <w:sz w:val="24"/>
          <w:highlight w:val="none"/>
        </w:rPr>
        <w:t>垂直位移和水平位移观测成果分析应根据每次垂直位移和水平位移观测成果，结合其他观测资料、水文地质资料及工程维修改造情况，分析垂直位移和水平位移的变化规律及趋势，并与上次观测成果及初始值进行比较分析其是否正常。重点分析近期位移量的最大、最小值及累计、间隔位移量和相对不均匀位移量的极值与异常部位，根据分析对工程的运行状态进行评价，对工程控制运用和维修加固等提出初步意见。测压管水位和伸缩缝变化应进行有效分析，并提出对工程安全运行的意见。</w:t>
      </w:r>
    </w:p>
    <w:p w14:paraId="17EB91F6">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五、服务期限和服务地点</w:t>
      </w:r>
    </w:p>
    <w:p w14:paraId="546010D2">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1、服务期限：</w:t>
      </w:r>
      <w:r>
        <w:rPr>
          <w:rFonts w:hint="eastAsia" w:ascii="宋体" w:hAnsi="宋体" w:cs="宋体"/>
          <w:color w:val="auto"/>
          <w:sz w:val="24"/>
          <w:highlight w:val="none"/>
        </w:rPr>
        <w:t>自合同签订之日起至</w:t>
      </w:r>
      <w:r>
        <w:rPr>
          <w:rFonts w:hint="eastAsia" w:ascii="宋体" w:hAnsi="宋体" w:cs="宋体"/>
          <w:color w:val="auto"/>
          <w:sz w:val="24"/>
          <w:highlight w:val="none"/>
          <w:lang w:eastAsia="zh-CN"/>
        </w:rPr>
        <w:t>2026</w:t>
      </w:r>
      <w:r>
        <w:rPr>
          <w:rFonts w:hint="eastAsia" w:ascii="宋体" w:hAnsi="宋体" w:cs="宋体"/>
          <w:color w:val="auto"/>
          <w:sz w:val="24"/>
          <w:highlight w:val="none"/>
        </w:rPr>
        <w:t>年12月31日止。</w:t>
      </w:r>
    </w:p>
    <w:p w14:paraId="792551F3">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2、服务地点：采购人指定地点。</w:t>
      </w:r>
    </w:p>
    <w:p w14:paraId="0994EFF6">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六、履约保证金</w:t>
      </w:r>
    </w:p>
    <w:p w14:paraId="39326653">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免收。</w:t>
      </w:r>
    </w:p>
    <w:p w14:paraId="50683EC6">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七、付款方式</w:t>
      </w:r>
    </w:p>
    <w:p w14:paraId="2003F79B">
      <w:pPr>
        <w:ind w:firstLine="480" w:firstLineChars="200"/>
        <w:rPr>
          <w:rStyle w:val="124"/>
          <w:rFonts w:hint="default"/>
          <w:bCs/>
          <w:color w:val="auto"/>
          <w:sz w:val="28"/>
          <w:szCs w:val="28"/>
          <w:highlight w:val="none"/>
        </w:rPr>
      </w:pPr>
      <w:r>
        <w:rPr>
          <w:rFonts w:hint="eastAsia" w:ascii="宋体" w:hAnsi="宋体" w:cs="宋体"/>
          <w:color w:val="auto"/>
          <w:kern w:val="0"/>
          <w:sz w:val="24"/>
          <w:highlight w:val="none"/>
          <w:lang w:eastAsia="zh-CN"/>
        </w:rPr>
        <w:t>2026</w:t>
      </w:r>
      <w:r>
        <w:rPr>
          <w:rFonts w:hint="default" w:ascii="宋体" w:hAnsi="宋体" w:cs="宋体"/>
          <w:color w:val="auto"/>
          <w:kern w:val="0"/>
          <w:sz w:val="24"/>
          <w:highlight w:val="none"/>
        </w:rPr>
        <w:t>年5月底完成相应</w:t>
      </w:r>
      <w:r>
        <w:rPr>
          <w:rFonts w:hint="eastAsia" w:ascii="宋体" w:hAnsi="宋体" w:cs="宋体"/>
          <w:color w:val="auto"/>
          <w:kern w:val="0"/>
          <w:sz w:val="24"/>
          <w:highlight w:val="none"/>
          <w:lang w:val="en-US" w:eastAsia="zh-CN"/>
        </w:rPr>
        <w:t>监测</w:t>
      </w:r>
      <w:r>
        <w:rPr>
          <w:rFonts w:hint="default" w:ascii="宋体" w:hAnsi="宋体" w:cs="宋体"/>
          <w:color w:val="auto"/>
          <w:kern w:val="0"/>
          <w:sz w:val="24"/>
          <w:highlight w:val="none"/>
        </w:rPr>
        <w:t>任务，提交相应监测成果资料并经采购人审查符合要求后付合同价的50%。本项目服务期限结束、涉及的所有服务内容完成、所有资料汇总整编并通过采购人组织的</w:t>
      </w:r>
      <w:r>
        <w:rPr>
          <w:rFonts w:hint="eastAsia" w:ascii="宋体" w:hAnsi="宋体" w:cs="宋体"/>
          <w:color w:val="auto"/>
          <w:kern w:val="0"/>
          <w:sz w:val="24"/>
          <w:highlight w:val="none"/>
          <w:lang w:val="en-US" w:eastAsia="zh-CN"/>
        </w:rPr>
        <w:t>审查</w:t>
      </w:r>
      <w:r>
        <w:rPr>
          <w:rFonts w:hint="default" w:ascii="宋体" w:hAnsi="宋体" w:cs="宋体"/>
          <w:color w:val="auto"/>
          <w:kern w:val="0"/>
          <w:sz w:val="24"/>
          <w:highlight w:val="none"/>
        </w:rPr>
        <w:t>后（11月底前完成），付清余款。</w:t>
      </w:r>
      <w:r>
        <w:rPr>
          <w:rStyle w:val="124"/>
          <w:rFonts w:hint="default"/>
          <w:bCs/>
          <w:color w:val="auto"/>
          <w:sz w:val="28"/>
          <w:szCs w:val="28"/>
          <w:highlight w:val="none"/>
        </w:rPr>
        <w:br w:type="page"/>
      </w:r>
    </w:p>
    <w:p w14:paraId="0067F551">
      <w:pPr>
        <w:pStyle w:val="63"/>
        <w:rPr>
          <w:rStyle w:val="124"/>
          <w:rFonts w:hint="default"/>
          <w:color w:val="auto"/>
          <w:sz w:val="28"/>
          <w:szCs w:val="28"/>
          <w:highlight w:val="none"/>
        </w:rPr>
      </w:pPr>
      <w:r>
        <w:rPr>
          <w:rStyle w:val="124"/>
          <w:rFonts w:hint="default"/>
          <w:color w:val="auto"/>
          <w:sz w:val="28"/>
          <w:szCs w:val="28"/>
          <w:highlight w:val="none"/>
        </w:rPr>
        <w:t>第四章  评审方法和程序</w:t>
      </w:r>
    </w:p>
    <w:p w14:paraId="030E8884">
      <w:pPr>
        <w:snapToGrid w:val="0"/>
        <w:spacing w:line="360" w:lineRule="auto"/>
        <w:ind w:firstLine="480" w:firstLineChars="200"/>
        <w:outlineLvl w:val="1"/>
        <w:rPr>
          <w:rFonts w:ascii="宋体" w:hAnsi="宋体"/>
          <w:b/>
          <w:color w:val="auto"/>
          <w:sz w:val="24"/>
          <w:highlight w:val="none"/>
        </w:rPr>
      </w:pPr>
      <w:bookmarkStart w:id="14" w:name="OLE_LINK61"/>
      <w:bookmarkStart w:id="15" w:name="OLE_LINK65"/>
      <w:r>
        <w:rPr>
          <w:rFonts w:ascii="宋体" w:hAnsi="宋体"/>
          <w:b/>
          <w:color w:val="auto"/>
          <w:sz w:val="24"/>
          <w:highlight w:val="none"/>
        </w:rPr>
        <w:t>一、采购人委托代理机构组织开标</w:t>
      </w:r>
    </w:p>
    <w:p w14:paraId="0A2F5826">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1、成立评标委员会，由有关专家依法组成。</w:t>
      </w:r>
    </w:p>
    <w:p w14:paraId="7B441197">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2、投标人的法定代表人或被授权人须持身份证准时参加投标会。</w:t>
      </w:r>
    </w:p>
    <w:p w14:paraId="3E8FBB19">
      <w:pPr>
        <w:spacing w:line="360" w:lineRule="auto"/>
        <w:ind w:firstLine="480" w:firstLineChars="200"/>
        <w:rPr>
          <w:rFonts w:ascii="宋体" w:hAnsi="宋体" w:cs="宋体"/>
          <w:b/>
          <w:color w:val="auto"/>
          <w:sz w:val="24"/>
          <w:highlight w:val="none"/>
        </w:rPr>
      </w:pPr>
      <w:r>
        <w:rPr>
          <w:rFonts w:hint="eastAsia" w:ascii="宋体" w:hAnsi="宋体" w:cs="宋体"/>
          <w:b/>
          <w:color w:val="auto"/>
          <w:sz w:val="24"/>
          <w:highlight w:val="none"/>
        </w:rPr>
        <w:t>投标人递交投标文件时，投标人的法定代表人（或其授权代理人）必须携带本人身份证原件、法定代表人身份证明（或授权委托书）原件准时参加开标会议。否则，其投标文件不予受理。</w:t>
      </w:r>
    </w:p>
    <w:p w14:paraId="718172A0">
      <w:pPr>
        <w:autoSpaceDE w:val="0"/>
        <w:autoSpaceDN w:val="0"/>
        <w:adjustRightInd w:val="0"/>
        <w:spacing w:line="360" w:lineRule="auto"/>
        <w:ind w:firstLine="480" w:firstLineChars="200"/>
        <w:rPr>
          <w:rFonts w:ascii="宋体" w:hAnsi="宋体" w:cs="宋体"/>
          <w:b/>
          <w:bCs/>
          <w:color w:val="auto"/>
          <w:sz w:val="24"/>
          <w:highlight w:val="none"/>
        </w:rPr>
      </w:pPr>
      <w:r>
        <w:rPr>
          <w:rFonts w:hint="eastAsia" w:ascii="宋体" w:hAnsi="宋体" w:cs="宋体"/>
          <w:b/>
          <w:color w:val="auto"/>
          <w:sz w:val="24"/>
          <w:highlight w:val="none"/>
        </w:rPr>
        <w:t>注：法定代表人身份证明（或授权委托书）</w:t>
      </w:r>
      <w:r>
        <w:rPr>
          <w:rFonts w:hint="eastAsia" w:ascii="宋体" w:hAnsi="宋体" w:cs="宋体"/>
          <w:b/>
          <w:bCs/>
          <w:color w:val="auto"/>
          <w:sz w:val="24"/>
          <w:highlight w:val="none"/>
        </w:rPr>
        <w:t>不仅需要装订在投标文件中，还需要一份</w:t>
      </w:r>
      <w:r>
        <w:rPr>
          <w:rFonts w:hint="eastAsia" w:ascii="宋体" w:hAnsi="宋体" w:cs="宋体"/>
          <w:b/>
          <w:color w:val="auto"/>
          <w:sz w:val="24"/>
          <w:highlight w:val="none"/>
        </w:rPr>
        <w:t>原件</w:t>
      </w:r>
      <w:r>
        <w:rPr>
          <w:rFonts w:hint="eastAsia" w:ascii="宋体" w:hAnsi="宋体" w:cs="宋体"/>
          <w:b/>
          <w:bCs/>
          <w:color w:val="auto"/>
          <w:sz w:val="24"/>
          <w:highlight w:val="none"/>
        </w:rPr>
        <w:t>由法定代表人（或其授权代理人）在投标时随身携带，供递交投标文件时核验。</w:t>
      </w:r>
    </w:p>
    <w:p w14:paraId="5F0D45B3">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二、开标</w:t>
      </w:r>
    </w:p>
    <w:p w14:paraId="7072CA7F">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、采购代理机构主持开标并记录，及时处理投标人代表提出的询问或者回避申请。</w:t>
      </w:r>
    </w:p>
    <w:p w14:paraId="2C7D5BF9">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 投标人不足</w:t>
      </w:r>
      <w:r>
        <w:rPr>
          <w:rFonts w:ascii="宋体" w:hAnsi="宋体"/>
          <w:color w:val="auto"/>
          <w:sz w:val="24"/>
          <w:highlight w:val="none"/>
        </w:rPr>
        <w:t>3</w:t>
      </w:r>
      <w:r>
        <w:rPr>
          <w:rFonts w:hint="eastAsia" w:ascii="宋体" w:hAnsi="宋体"/>
          <w:color w:val="auto"/>
          <w:sz w:val="24"/>
          <w:highlight w:val="none"/>
        </w:rPr>
        <w:t>家的不得开标，相应处理方式见本招标文件第四章第十一条的规定。</w:t>
      </w:r>
    </w:p>
    <w:p w14:paraId="5601716C">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三、资格审查</w:t>
      </w:r>
    </w:p>
    <w:p w14:paraId="198DC7E6">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、开标后，采购人及其委托的采购代理机构依据中华人民共和国财政部令第87号《政府采购货物和服务招标投标管理办法》文件第四十四条的规定，根据招标文件载明的资格审查要求，对投标人的资格进行审查。</w:t>
      </w:r>
    </w:p>
    <w:p w14:paraId="52E04823">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2、资格审查合格的投标人进入评标。</w:t>
      </w:r>
    </w:p>
    <w:p w14:paraId="60223A0C">
      <w:pPr>
        <w:adjustRightInd w:val="0"/>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3、合格投标人不足3家的，不得评标，相应处理方式见本招标文件第四部分第十一条的规定。</w:t>
      </w:r>
    </w:p>
    <w:p w14:paraId="3C64EBDD">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四、评标</w:t>
      </w:r>
    </w:p>
    <w:p w14:paraId="017E78CA">
      <w:pPr>
        <w:adjustRightInd w:val="0"/>
        <w:snapToGrid w:val="0"/>
        <w:spacing w:line="360" w:lineRule="auto"/>
        <w:ind w:firstLine="484" w:firstLineChars="202"/>
        <w:rPr>
          <w:rFonts w:ascii="宋体" w:hAnsi="宋体"/>
          <w:b/>
          <w:color w:val="auto"/>
          <w:sz w:val="24"/>
          <w:highlight w:val="none"/>
        </w:rPr>
      </w:pPr>
      <w:r>
        <w:rPr>
          <w:rFonts w:hint="eastAsia" w:ascii="宋体" w:hAnsi="宋体"/>
          <w:color w:val="auto"/>
          <w:sz w:val="24"/>
          <w:highlight w:val="none"/>
        </w:rPr>
        <w:t>1、评标时间：</w:t>
      </w:r>
      <w:r>
        <w:rPr>
          <w:rFonts w:hint="eastAsia" w:ascii="宋体" w:hAnsi="宋体"/>
          <w:b/>
          <w:color w:val="auto"/>
          <w:sz w:val="24"/>
          <w:highlight w:val="none"/>
        </w:rPr>
        <w:t>开标后。</w:t>
      </w:r>
    </w:p>
    <w:p w14:paraId="502FF2A3">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2、采购代理机构负责组织评标工作，并履行下列职责：</w:t>
      </w:r>
    </w:p>
    <w:p w14:paraId="29168DC5">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（1）核对评审专家身份，对评审专家在政府采购活动中的职责履行情况予以记录，并及时将有关违法违规行为向财政部门报告。</w:t>
      </w:r>
    </w:p>
    <w:p w14:paraId="1A33E993">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（2）宣布评标纪律。</w:t>
      </w:r>
    </w:p>
    <w:p w14:paraId="2C57395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（3）公布投标人名单，告知评审专家应当回避的情形。</w:t>
      </w:r>
    </w:p>
    <w:p w14:paraId="06B4C917">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（4）组织评标委员会推选评标组长，采购人代表不得担任组长。</w:t>
      </w:r>
    </w:p>
    <w:p w14:paraId="22C870A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（5）在评标期间采取必要的通讯管理措施，保证评标活动不受外界干扰；除采购人代表、评标现场组织人员外，采购人的其他工作人员以及与评标工作无关的人员不得进入评标现场。</w:t>
      </w:r>
    </w:p>
    <w:p w14:paraId="14D48D1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（6）根据评标委员会的要求介绍政府采购相关政策法规、招标文件。</w:t>
      </w:r>
    </w:p>
    <w:p w14:paraId="26E3C4D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04FCE71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（8）核对评标结果，有下列规定情形的，要求评标委员会复核或者书面说明理由，评标委员会拒绝的，则予以书面记录并向本级财政部门报告：</w:t>
      </w:r>
    </w:p>
    <w:p w14:paraId="3E204CA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① 分值汇总计算错误的；</w:t>
      </w:r>
    </w:p>
    <w:p w14:paraId="0E18300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② 分项评分超出评分标准范围的；</w:t>
      </w:r>
    </w:p>
    <w:p w14:paraId="3E6908C9">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③ 评标委员会成员对客观评审因素评分不一致的；</w:t>
      </w:r>
    </w:p>
    <w:p w14:paraId="350DE58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④ 经评标委员会认定评分畸高、畸低的。</w:t>
      </w:r>
    </w:p>
    <w:p w14:paraId="360B656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（9）评审工作完成后，按照规定向评审专家支付劳务报酬和异地评审差旅费，不得向评审专家以外的其他人员支付评审劳务报酬；</w:t>
      </w:r>
    </w:p>
    <w:p w14:paraId="213A1D1A">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（10）处理与评标有关的其他事项。</w:t>
      </w:r>
    </w:p>
    <w:p w14:paraId="41688A9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3、评标委员会负责具体评标事务：</w:t>
      </w:r>
    </w:p>
    <w:p w14:paraId="50A880A7">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29816C8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72CA6E3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F69ED02">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4、评标委员会成员独立履行以下职责与义务：</w:t>
      </w:r>
    </w:p>
    <w:p w14:paraId="447B8012">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（1）遵纪守法，客观、公正、廉洁地履行职责；</w:t>
      </w:r>
    </w:p>
    <w:p w14:paraId="56C5BBA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（2）审查合格投标人的投标文件是否实质性响应招标文件要求，并做出评价；</w:t>
      </w:r>
    </w:p>
    <w:p w14:paraId="25B2F9F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（3）按照招标文件规定的评标办法和评标标准进行评标，对评审意见承担个人责任；</w:t>
      </w:r>
    </w:p>
    <w:p w14:paraId="2A419BA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（4）可以要求投标人对投标文件有关事项作出解释或澄清；</w:t>
      </w:r>
    </w:p>
    <w:p w14:paraId="3DEC91C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（5）对评标过程和结果，以及投标人的商业秘密保密；</w:t>
      </w:r>
    </w:p>
    <w:p w14:paraId="4B76C856">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（6）配合相关部门的投诉处理工作；</w:t>
      </w:r>
    </w:p>
    <w:p w14:paraId="04CB0EA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（7）配合采购人或采购代理机构答复投标人提出的质疑。</w:t>
      </w:r>
    </w:p>
    <w:p w14:paraId="64988411">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5、除采购人代表、评标现场组织人员外，采购人的其他工作人员以及与评标工作无关的人员不得进入评标现场；有关人员对评标情况以及在评标过程中获悉的国家秘密、商业秘密负有保密责任。</w:t>
      </w:r>
    </w:p>
    <w:p w14:paraId="7675A906">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6、开标后直到公告项目成交结果发出中标通知书并授予中标人合同为止，凡属于评审、澄清、评价和比较投标的所有资料及有关授予合同等的相关信息，都不应向投标人或与评标无关的其他人泄露。</w:t>
      </w:r>
    </w:p>
    <w:p w14:paraId="1DB048E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7、评审期间，合格投标人的投标文件仍有可能被评标委员会根据规定判为无效投标。</w:t>
      </w:r>
    </w:p>
    <w:p w14:paraId="49F426A5">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8、在投标文件的评审、澄清、评价和比较以及授予合同的过程中，投标人对采购人和评标委员会成员有施加影响的任何行为，都将取消其可能的中标资格。</w:t>
      </w:r>
    </w:p>
    <w:p w14:paraId="4A61DDD4">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五、评审原则</w:t>
      </w:r>
    </w:p>
    <w:p w14:paraId="7F593A6F">
      <w:pPr>
        <w:snapToGrid w:val="0"/>
        <w:spacing w:line="360" w:lineRule="auto"/>
        <w:ind w:firstLine="484" w:firstLineChars="202"/>
        <w:rPr>
          <w:rFonts w:ascii="宋体" w:hAnsi="宋体" w:cs="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rPr>
        <w:t>本项目采用</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综合评分法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，即指投标文件满足本项目招标文件全部实质性要求，且按照评审因素的量化指标，经评审后总得分最高的投标人推荐为中标人的评标方法。</w:t>
      </w:r>
    </w:p>
    <w:p w14:paraId="71093E9F">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6F183A11">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3、评标委员会严格按照招标文件规定的要求、条件、评分标准，对投标人所提供的完整计划标的物的科学性、可行性、产品质量、服务质量的保证及承诺等实质性响应内容进行比较评价。</w:t>
      </w:r>
    </w:p>
    <w:p w14:paraId="249B9AA3">
      <w:pPr>
        <w:snapToGrid w:val="0"/>
        <w:spacing w:line="360" w:lineRule="auto"/>
        <w:ind w:firstLine="484" w:firstLineChars="202"/>
        <w:rPr>
          <w:rFonts w:ascii="宋体" w:hAnsi="宋体"/>
          <w:color w:val="auto"/>
          <w:sz w:val="24"/>
          <w:highlight w:val="none"/>
        </w:rPr>
      </w:pPr>
      <w:r>
        <w:rPr>
          <w:rFonts w:hint="eastAsia" w:ascii="宋体" w:hAnsi="宋体" w:cs="宋体"/>
          <w:color w:val="auto"/>
          <w:sz w:val="24"/>
          <w:highlight w:val="none"/>
        </w:rPr>
        <w:t>4、对投标文件的评审判定，只依据投标文件内容本身，不依靠开标后任何外来证明文件。</w:t>
      </w:r>
    </w:p>
    <w:p w14:paraId="26EBE886">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六、评审方法</w:t>
      </w:r>
    </w:p>
    <w:p w14:paraId="28D21C5D">
      <w:pPr>
        <w:snapToGrid w:val="0"/>
        <w:spacing w:line="360" w:lineRule="auto"/>
        <w:ind w:firstLine="484" w:firstLineChars="202"/>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评标程序：</w:t>
      </w:r>
    </w:p>
    <w:p w14:paraId="6EFB0A1A">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资格符合性评审——商务技术标评审——价格标评审——确定中标候选人。</w:t>
      </w:r>
    </w:p>
    <w:p w14:paraId="24F35DBC">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本次资格审查采用资格后审，各投标人资格审查通过后方能进入商务技术标的开标。先开商务技术标，商务技术标打分结束后再开价格标。</w:t>
      </w:r>
    </w:p>
    <w:p w14:paraId="452CBE92">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2、评标委员会将仅对按本招标文件载明的方法与规定，为实质上响应招标文件要求的投标文件评审并进行评价和比较。</w:t>
      </w:r>
    </w:p>
    <w:p w14:paraId="0A02677F">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3、本次项目的商务技术标和价格标评审总分值为100分。两部分评审因素比重如下：</w:t>
      </w:r>
    </w:p>
    <w:p w14:paraId="4EF0110F">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商务技术标分值占总分值的比重为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7</w:t>
      </w:r>
      <w:r>
        <w:rPr>
          <w:rFonts w:ascii="宋体" w:hAnsi="宋体" w:cs="宋体"/>
          <w:b/>
          <w:bCs/>
          <w:color w:val="auto"/>
          <w:sz w:val="24"/>
          <w:highlight w:val="none"/>
          <w:u w:val="single"/>
        </w:rPr>
        <w:t>0</w:t>
      </w:r>
      <w:r>
        <w:rPr>
          <w:rFonts w:hint="eastAsia" w:ascii="宋体" w:hAnsi="宋体" w:cs="宋体"/>
          <w:b/>
          <w:bCs/>
          <w:color w:val="auto"/>
          <w:sz w:val="24"/>
          <w:highlight w:val="none"/>
          <w:u w:val="single"/>
        </w:rPr>
        <w:t xml:space="preserve">%（权重）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（计算结果均四舍五入保留两位小数）；</w:t>
      </w:r>
    </w:p>
    <w:p w14:paraId="26671E10">
      <w:pPr>
        <w:snapToGrid w:val="0"/>
        <w:spacing w:line="360" w:lineRule="auto"/>
        <w:ind w:firstLine="484" w:firstLineChars="202"/>
        <w:rPr>
          <w:rFonts w:ascii="宋体" w:hAnsi="宋体"/>
          <w:color w:val="auto"/>
          <w:sz w:val="24"/>
          <w:highlight w:val="none"/>
        </w:rPr>
      </w:pPr>
      <w:r>
        <w:rPr>
          <w:rFonts w:hint="eastAsia" w:ascii="宋体" w:hAnsi="宋体" w:cs="宋体"/>
          <w:color w:val="auto"/>
          <w:sz w:val="24"/>
          <w:highlight w:val="none"/>
        </w:rPr>
        <w:t>价格标分值占总分值的比重为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3</w:t>
      </w:r>
      <w:r>
        <w:rPr>
          <w:rFonts w:ascii="宋体" w:hAnsi="宋体" w:cs="宋体"/>
          <w:b/>
          <w:bCs/>
          <w:color w:val="auto"/>
          <w:sz w:val="24"/>
          <w:highlight w:val="none"/>
          <w:u w:val="single"/>
        </w:rPr>
        <w:t>0</w:t>
      </w:r>
      <w:r>
        <w:rPr>
          <w:rFonts w:hint="eastAsia" w:ascii="宋体" w:hAnsi="宋体" w:cs="宋体"/>
          <w:b/>
          <w:bCs/>
          <w:color w:val="auto"/>
          <w:sz w:val="24"/>
          <w:highlight w:val="none"/>
          <w:u w:val="single"/>
        </w:rPr>
        <w:t>%（权重）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（计算结果均四舍五入保留两位小数）。</w:t>
      </w:r>
    </w:p>
    <w:p w14:paraId="01D72B63">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4、评标委员会严格按照招标文件的要求、条件、评分标准，对投标人所提供货物或服务的先进性、可靠性、售后服务承诺、质量保证承诺等实质性响应内容进行比较。</w:t>
      </w:r>
    </w:p>
    <w:p w14:paraId="770B4C65">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5、评标委员会构成共5人；评标委员会各成员独立对每个进入打分程序的有效投标人的投标文件的技术部分以打分的形式进行评审和评价。</w:t>
      </w:r>
    </w:p>
    <w:p w14:paraId="254FCF52">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6、商务技术标得分按算术平均值计算（计算结果均四舍五入保留两位小数）。</w:t>
      </w:r>
    </w:p>
    <w:p w14:paraId="4BC846E9">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7、开启投标人的商务报价标，现场唱标后由投标人代表签名确认。</w:t>
      </w:r>
    </w:p>
    <w:p w14:paraId="466AC1E3">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8、投标人的价格标评审得分直接计算取得，并与其商务技术标得分相加为该投标人的综合得分（计算结果均四舍五入保留两位小数）。</w:t>
      </w:r>
    </w:p>
    <w:p w14:paraId="6BF2FCAC">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9、评审后的综合得分相同的，按投标报价由低到高顺序排列；综合得分且投标报价相同的，则采取现场抽签的方式确定（投标人的抽签顺序分别为各投标人递交投标文件签到顺序号）。</w:t>
      </w:r>
    </w:p>
    <w:p w14:paraId="1D06F9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10、评标结果按投标文件满足招标文件全部实质性要求，且按照评审因素的量化指标评审综合得分从高到低的顺序依次推荐3名中标候选人，出具评审报告并将结果通知所有投标人。</w:t>
      </w:r>
    </w:p>
    <w:p w14:paraId="66F1B6F2">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七、关于投标价格评审</w:t>
      </w:r>
    </w:p>
    <w:p w14:paraId="1512C3C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1、针对投标价格实质响应的评审</w:t>
      </w:r>
    </w:p>
    <w:p w14:paraId="012542DD">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30C0EE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2、针对投标价格合理性的评审</w:t>
      </w:r>
    </w:p>
    <w:p w14:paraId="21B8493A">
      <w:pPr>
        <w:snapToGrid w:val="0"/>
        <w:spacing w:line="360" w:lineRule="auto"/>
        <w:ind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评审中出现下列情形之一的，评审委员会应当启动异常低价投标（响应）审查程序：</w:t>
      </w:r>
    </w:p>
    <w:p w14:paraId="4EF31812">
      <w:pPr>
        <w:snapToGrid w:val="0"/>
        <w:spacing w:line="360" w:lineRule="auto"/>
        <w:ind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.1投标（响应）报价低于采购项目预算 50%的，即投标（响应）报价&lt;采购项目预算×50%；</w:t>
      </w:r>
    </w:p>
    <w:p w14:paraId="2295D05E">
      <w:pPr>
        <w:snapToGrid w:val="0"/>
        <w:spacing w:line="360" w:lineRule="auto"/>
        <w:ind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.2投标（响应）报价低于采购项目最高限价 45%的，即投标（响应）报价&lt;采购项目最高限价×45%；</w:t>
      </w:r>
    </w:p>
    <w:p w14:paraId="74EC1412">
      <w:pPr>
        <w:snapToGrid w:val="0"/>
        <w:spacing w:line="360" w:lineRule="auto"/>
        <w:ind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评审委员会认定的供应商报价过低、有可能影响产品、服务质量或者不能诚信履约的其他情形。</w:t>
      </w:r>
    </w:p>
    <w:p w14:paraId="0911A22F">
      <w:pPr>
        <w:snapToGrid w:val="0"/>
        <w:spacing w:line="360" w:lineRule="auto"/>
        <w:ind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启动异常低价投标（响应）审查后，评审委员会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w:t>
      </w:r>
    </w:p>
    <w:p w14:paraId="67987C1A">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八、评审评分项</w:t>
      </w:r>
    </w:p>
    <w:p w14:paraId="36E3098F">
      <w:pPr>
        <w:spacing w:line="360" w:lineRule="auto"/>
        <w:ind w:firstLine="480" w:firstLineChars="200"/>
        <w:rPr>
          <w:rFonts w:ascii="宋体" w:hAnsi="宋体"/>
          <w:b/>
          <w:bCs/>
          <w:color w:val="auto"/>
          <w:sz w:val="24"/>
          <w:highlight w:val="none"/>
        </w:rPr>
      </w:pPr>
      <w:r>
        <w:rPr>
          <w:rFonts w:hint="eastAsia" w:ascii="宋体" w:hAnsi="宋体"/>
          <w:b/>
          <w:bCs/>
          <w:color w:val="auto"/>
          <w:sz w:val="24"/>
          <w:highlight w:val="none"/>
        </w:rPr>
        <w:t>（一）商务技术标</w:t>
      </w:r>
      <w:r>
        <w:rPr>
          <w:rFonts w:ascii="宋体" w:hAnsi="宋体"/>
          <w:b/>
          <w:bCs/>
          <w:color w:val="auto"/>
          <w:sz w:val="24"/>
          <w:highlight w:val="none"/>
        </w:rPr>
        <w:t xml:space="preserve">  （</w:t>
      </w:r>
      <w:r>
        <w:rPr>
          <w:rFonts w:hint="eastAsia" w:ascii="宋体" w:hAnsi="宋体"/>
          <w:b/>
          <w:bCs/>
          <w:color w:val="auto"/>
          <w:sz w:val="24"/>
          <w:highlight w:val="none"/>
        </w:rPr>
        <w:t>7</w:t>
      </w:r>
      <w:r>
        <w:rPr>
          <w:rFonts w:ascii="宋体" w:hAnsi="宋体"/>
          <w:b/>
          <w:bCs/>
          <w:color w:val="auto"/>
          <w:sz w:val="24"/>
          <w:highlight w:val="none"/>
        </w:rPr>
        <w:t>0分）</w:t>
      </w:r>
    </w:p>
    <w:bookmarkEnd w:id="14"/>
    <w:bookmarkEnd w:id="15"/>
    <w:tbl>
      <w:tblPr>
        <w:tblStyle w:val="65"/>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89"/>
        <w:gridCol w:w="836"/>
        <w:gridCol w:w="5886"/>
      </w:tblGrid>
      <w:tr w14:paraId="4E45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2C09B2F6">
            <w:pPr>
              <w:snapToGrid w:val="0"/>
              <w:spacing w:line="360" w:lineRule="auto"/>
              <w:contextualSpacing/>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序号</w:t>
            </w:r>
          </w:p>
        </w:tc>
        <w:tc>
          <w:tcPr>
            <w:tcW w:w="1789" w:type="dxa"/>
            <w:vAlign w:val="center"/>
          </w:tcPr>
          <w:p w14:paraId="723FA87A">
            <w:pPr>
              <w:snapToGrid w:val="0"/>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评分点名称</w:t>
            </w:r>
          </w:p>
        </w:tc>
        <w:tc>
          <w:tcPr>
            <w:tcW w:w="836" w:type="dxa"/>
            <w:vAlign w:val="center"/>
          </w:tcPr>
          <w:p w14:paraId="4B0D027D">
            <w:pPr>
              <w:snapToGrid w:val="0"/>
              <w:spacing w:line="360" w:lineRule="auto"/>
              <w:contextualSpacing/>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分值</w:t>
            </w:r>
          </w:p>
        </w:tc>
        <w:tc>
          <w:tcPr>
            <w:tcW w:w="5886" w:type="dxa"/>
            <w:vAlign w:val="center"/>
          </w:tcPr>
          <w:p w14:paraId="64237550">
            <w:pPr>
              <w:snapToGrid w:val="0"/>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评审标准</w:t>
            </w:r>
          </w:p>
        </w:tc>
      </w:tr>
      <w:tr w14:paraId="746E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3960DECD">
            <w:pPr>
              <w:widowControl/>
              <w:spacing w:line="360" w:lineRule="auto"/>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1</w:t>
            </w:r>
          </w:p>
        </w:tc>
        <w:tc>
          <w:tcPr>
            <w:tcW w:w="1789" w:type="dxa"/>
            <w:vAlign w:val="center"/>
          </w:tcPr>
          <w:p w14:paraId="2360F06F">
            <w:pPr>
              <w:widowControl/>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投标人业绩</w:t>
            </w:r>
          </w:p>
        </w:tc>
        <w:tc>
          <w:tcPr>
            <w:tcW w:w="836" w:type="dxa"/>
            <w:vAlign w:val="center"/>
          </w:tcPr>
          <w:p w14:paraId="4FBD731C">
            <w:pPr>
              <w:widowControl/>
              <w:spacing w:line="360" w:lineRule="auto"/>
              <w:jc w:val="center"/>
              <w:rPr>
                <w:rFonts w:ascii="宋体" w:hAnsi="宋体" w:cs="宋体"/>
                <w:b/>
                <w:bCs/>
                <w:color w:val="auto"/>
                <w:kern w:val="0"/>
                <w:sz w:val="24"/>
                <w:highlight w:val="none"/>
              </w:rPr>
            </w:pPr>
            <w:r>
              <w:rPr>
                <w:rFonts w:hint="eastAsia" w:ascii="宋体" w:hAnsi="宋体" w:cs="宋体"/>
                <w:color w:val="auto"/>
                <w:sz w:val="24"/>
                <w:highlight w:val="none"/>
              </w:rPr>
              <w:t>15</w:t>
            </w:r>
            <w:r>
              <w:rPr>
                <w:rFonts w:hint="eastAsia" w:ascii="宋体" w:hAnsi="宋体" w:cs="宋体"/>
                <w:b/>
                <w:bCs/>
                <w:color w:val="auto"/>
                <w:kern w:val="0"/>
                <w:sz w:val="24"/>
                <w:highlight w:val="none"/>
              </w:rPr>
              <w:t>分</w:t>
            </w:r>
          </w:p>
        </w:tc>
        <w:tc>
          <w:tcPr>
            <w:tcW w:w="5886" w:type="dxa"/>
            <w:vAlign w:val="center"/>
          </w:tcPr>
          <w:p w14:paraId="060DA511">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供应商近5年来（20</w:t>
            </w:r>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年1月1日以后，以合同签订日期为准），具有本项目同类水闸或泵站工程沉降位移监测业绩，有一个得3分，本项最多得15分（同时提供合同、中标通知书和验收证明材料原件复印件并加盖公章，三者缺一不可，提供不全或未提供不得分）。</w:t>
            </w:r>
          </w:p>
        </w:tc>
      </w:tr>
      <w:tr w14:paraId="42F1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EFC62F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w:t>
            </w:r>
          </w:p>
        </w:tc>
        <w:tc>
          <w:tcPr>
            <w:tcW w:w="1789" w:type="dxa"/>
            <w:vAlign w:val="center"/>
          </w:tcPr>
          <w:p w14:paraId="0B9A5E83">
            <w:pPr>
              <w:widowControl/>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项目组成员</w:t>
            </w:r>
          </w:p>
        </w:tc>
        <w:tc>
          <w:tcPr>
            <w:tcW w:w="836" w:type="dxa"/>
            <w:vAlign w:val="center"/>
          </w:tcPr>
          <w:p w14:paraId="7258A2A5">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分</w:t>
            </w:r>
          </w:p>
        </w:tc>
        <w:tc>
          <w:tcPr>
            <w:tcW w:w="5886" w:type="dxa"/>
            <w:vAlign w:val="center"/>
          </w:tcPr>
          <w:p w14:paraId="7855961D">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1、拟投入的项目技术负责人（项目负责人、技术人员除外）具备水利工程专业高级工程师及以上职称的得2分，具备注册测绘师的得1分，本项最多得3分；</w:t>
            </w:r>
          </w:p>
          <w:p w14:paraId="5BD9263A">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2、拟投入技术人员（不含项目负责人、项目技术负责人）具有水利工程专业中级及以上职称有1个得2分，本项最高得10分。</w:t>
            </w:r>
          </w:p>
          <w:p w14:paraId="13E04791">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注明：以上1-2条款项目负责人、技术负责人、技术人员不可重复计算，需提供</w:t>
            </w:r>
            <w:r>
              <w:rPr>
                <w:rFonts w:hint="eastAsia" w:ascii="宋体" w:hAnsi="宋体" w:cs="宋体"/>
                <w:color w:val="auto"/>
                <w:kern w:val="0"/>
                <w:sz w:val="24"/>
                <w:highlight w:val="none"/>
                <w:lang w:val="en-US" w:eastAsia="zh-CN"/>
              </w:rPr>
              <w:t>拟派人员一览表，</w:t>
            </w:r>
            <w:r>
              <w:rPr>
                <w:rFonts w:hint="eastAsia" w:ascii="宋体" w:hAnsi="宋体" w:cs="宋体"/>
                <w:color w:val="auto"/>
                <w:kern w:val="0"/>
                <w:sz w:val="24"/>
                <w:highlight w:val="none"/>
              </w:rPr>
              <w:t>人员证书复印件及投标企业所在地社保机构出具的企业为其缴纳的最近6个月中任意一个月的社保缴费证明并加盖公章，可提供原件复印件件或官网打印具有二维码或验证码的官网打印件或截图。</w:t>
            </w:r>
          </w:p>
        </w:tc>
      </w:tr>
      <w:tr w14:paraId="17F2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16" w:type="dxa"/>
            <w:vAlign w:val="center"/>
          </w:tcPr>
          <w:p w14:paraId="6E5C0D06">
            <w:pPr>
              <w:widowControl/>
              <w:spacing w:line="360" w:lineRule="auto"/>
              <w:jc w:val="center"/>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3</w:t>
            </w:r>
          </w:p>
        </w:tc>
        <w:tc>
          <w:tcPr>
            <w:tcW w:w="1789" w:type="dxa"/>
            <w:vAlign w:val="center"/>
          </w:tcPr>
          <w:p w14:paraId="57C449EE">
            <w:pPr>
              <w:widowControl/>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lang w:val="en-US" w:eastAsia="zh-CN"/>
              </w:rPr>
              <w:t>拟投入</w:t>
            </w:r>
            <w:r>
              <w:rPr>
                <w:rFonts w:hint="eastAsia" w:ascii="宋体" w:hAnsi="宋体" w:cs="宋体"/>
                <w:b/>
                <w:color w:val="auto"/>
                <w:sz w:val="24"/>
                <w:highlight w:val="none"/>
              </w:rPr>
              <w:t>设备</w:t>
            </w:r>
          </w:p>
        </w:tc>
        <w:tc>
          <w:tcPr>
            <w:tcW w:w="836" w:type="dxa"/>
            <w:vAlign w:val="center"/>
          </w:tcPr>
          <w:p w14:paraId="5E69828D">
            <w:pPr>
              <w:widowControl/>
              <w:spacing w:line="360" w:lineRule="auto"/>
              <w:jc w:val="center"/>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2分</w:t>
            </w:r>
          </w:p>
        </w:tc>
        <w:tc>
          <w:tcPr>
            <w:tcW w:w="5886" w:type="dxa"/>
            <w:vAlign w:val="center"/>
          </w:tcPr>
          <w:p w14:paraId="4E713A09">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rPr>
              <w:t>针对测量观测的实际工作，提供详细的观测、测量所需的各类设备清单。提供设备器材全面、有针对性的</w:t>
            </w:r>
            <w:r>
              <w:rPr>
                <w:rFonts w:hint="eastAsia" w:ascii="宋体" w:hAnsi="宋体" w:cs="宋体"/>
                <w:color w:val="auto"/>
                <w:kern w:val="0"/>
                <w:sz w:val="24"/>
                <w:highlight w:val="none"/>
                <w:lang w:val="en-US" w:eastAsia="zh-CN"/>
              </w:rPr>
              <w:t>得2</w:t>
            </w:r>
            <w:r>
              <w:rPr>
                <w:rFonts w:hint="eastAsia" w:ascii="宋体" w:hAnsi="宋体" w:cs="宋体"/>
                <w:color w:val="auto"/>
                <w:kern w:val="0"/>
                <w:sz w:val="24"/>
                <w:highlight w:val="none"/>
              </w:rPr>
              <w:t>分；提供设备器材较全面、有针对性的</w:t>
            </w:r>
            <w:r>
              <w:rPr>
                <w:rFonts w:hint="eastAsia" w:ascii="宋体" w:hAnsi="宋体" w:cs="宋体"/>
                <w:color w:val="auto"/>
                <w:kern w:val="0"/>
                <w:sz w:val="24"/>
                <w:highlight w:val="none"/>
                <w:lang w:val="en-US" w:eastAsia="zh-CN"/>
              </w:rPr>
              <w:t>得1</w:t>
            </w:r>
            <w:r>
              <w:rPr>
                <w:rFonts w:hint="eastAsia" w:ascii="宋体" w:hAnsi="宋体" w:cs="宋体"/>
                <w:color w:val="auto"/>
                <w:kern w:val="0"/>
                <w:sz w:val="24"/>
                <w:highlight w:val="none"/>
              </w:rPr>
              <w:t>分；</w:t>
            </w:r>
            <w:r>
              <w:rPr>
                <w:rFonts w:hint="eastAsia" w:ascii="宋体" w:hAnsi="宋体" w:cs="宋体"/>
                <w:color w:val="auto"/>
                <w:kern w:val="0"/>
                <w:sz w:val="24"/>
                <w:highlight w:val="none"/>
                <w:lang w:val="en-US" w:eastAsia="zh-CN"/>
              </w:rPr>
              <w:t>未提供不得分</w:t>
            </w:r>
            <w:r>
              <w:rPr>
                <w:rFonts w:hint="eastAsia" w:ascii="宋体" w:hAnsi="宋体" w:cs="宋体"/>
                <w:color w:val="auto"/>
                <w:kern w:val="0"/>
                <w:sz w:val="24"/>
                <w:highlight w:val="none"/>
              </w:rPr>
              <w:t>。</w:t>
            </w:r>
          </w:p>
        </w:tc>
      </w:tr>
      <w:tr w14:paraId="1AB6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6" w:type="dxa"/>
            <w:vAlign w:val="center"/>
          </w:tcPr>
          <w:p w14:paraId="2AB8A32D">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4</w:t>
            </w:r>
          </w:p>
        </w:tc>
        <w:tc>
          <w:tcPr>
            <w:tcW w:w="1789" w:type="dxa"/>
            <w:vAlign w:val="center"/>
          </w:tcPr>
          <w:p w14:paraId="4150B182">
            <w:pPr>
              <w:tabs>
                <w:tab w:val="left" w:pos="2850"/>
                <w:tab w:val="center" w:pos="4153"/>
              </w:tabs>
              <w:adjustRightInd w:val="0"/>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投标人对本项目的理解及总体规划思路</w:t>
            </w:r>
          </w:p>
        </w:tc>
        <w:tc>
          <w:tcPr>
            <w:tcW w:w="836" w:type="dxa"/>
            <w:vAlign w:val="center"/>
          </w:tcPr>
          <w:p w14:paraId="22102AD0">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8分</w:t>
            </w:r>
          </w:p>
        </w:tc>
        <w:tc>
          <w:tcPr>
            <w:tcW w:w="5886" w:type="dxa"/>
            <w:vAlign w:val="center"/>
          </w:tcPr>
          <w:p w14:paraId="32D7803D">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rPr>
              <w:t>了解项目总体情况；对本工程具体情况是否熟悉，对本项目理解是否透彻等进行评审。</w:t>
            </w:r>
          </w:p>
          <w:p w14:paraId="256CAC80">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6分＜</w:t>
            </w:r>
            <w:r>
              <w:rPr>
                <w:rFonts w:hint="eastAsia" w:ascii="宋体" w:hAnsi="宋体" w:cs="宋体"/>
                <w:color w:val="auto"/>
                <w:kern w:val="0"/>
                <w:sz w:val="24"/>
                <w:highlight w:val="none"/>
              </w:rPr>
              <w:t>监测工作内容熟悉、理解透彻</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分；</w:t>
            </w:r>
          </w:p>
          <w:p w14:paraId="1F78B2E0">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4分＜</w:t>
            </w:r>
            <w:r>
              <w:rPr>
                <w:rFonts w:hint="eastAsia" w:ascii="宋体" w:hAnsi="宋体" w:cs="宋体"/>
                <w:color w:val="auto"/>
                <w:kern w:val="0"/>
                <w:sz w:val="24"/>
                <w:highlight w:val="none"/>
              </w:rPr>
              <w:t>监测工作内容较熟悉、理解较透彻</w:t>
            </w:r>
            <w:r>
              <w:rPr>
                <w:rFonts w:hint="eastAsia" w:ascii="宋体" w:hAnsi="宋体" w:cs="宋体"/>
                <w:color w:val="auto"/>
                <w:kern w:val="0"/>
                <w:sz w:val="24"/>
                <w:highlight w:val="none"/>
                <w:lang w:val="en-US" w:eastAsia="zh-CN"/>
              </w:rPr>
              <w:t>≤6分</w:t>
            </w:r>
            <w:r>
              <w:rPr>
                <w:rFonts w:hint="eastAsia" w:ascii="宋体" w:hAnsi="宋体" w:cs="宋体"/>
                <w:color w:val="auto"/>
                <w:kern w:val="0"/>
                <w:sz w:val="24"/>
                <w:highlight w:val="none"/>
              </w:rPr>
              <w:t>；</w:t>
            </w:r>
          </w:p>
          <w:p w14:paraId="25E8FD18">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1分＜</w:t>
            </w:r>
            <w:r>
              <w:rPr>
                <w:rFonts w:hint="eastAsia" w:ascii="宋体" w:hAnsi="宋体" w:cs="宋体"/>
                <w:color w:val="auto"/>
                <w:kern w:val="0"/>
                <w:sz w:val="24"/>
                <w:highlight w:val="none"/>
              </w:rPr>
              <w:t>不熟悉、内容粗略</w:t>
            </w:r>
            <w:r>
              <w:rPr>
                <w:rFonts w:hint="eastAsia" w:ascii="宋体" w:hAnsi="宋体" w:cs="宋体"/>
                <w:color w:val="auto"/>
                <w:kern w:val="0"/>
                <w:sz w:val="24"/>
                <w:highlight w:val="none"/>
                <w:lang w:val="en-US" w:eastAsia="zh-CN"/>
              </w:rPr>
              <w:t>≤4分</w:t>
            </w:r>
            <w:r>
              <w:rPr>
                <w:rFonts w:hint="eastAsia" w:ascii="宋体" w:hAnsi="宋体" w:cs="宋体"/>
                <w:color w:val="auto"/>
                <w:kern w:val="0"/>
                <w:sz w:val="24"/>
                <w:highlight w:val="none"/>
              </w:rPr>
              <w:t>，</w:t>
            </w:r>
          </w:p>
          <w:p w14:paraId="261F0E06">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其他情况或没有内容不得分。</w:t>
            </w:r>
          </w:p>
        </w:tc>
      </w:tr>
      <w:tr w14:paraId="595E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16" w:type="dxa"/>
            <w:vAlign w:val="center"/>
          </w:tcPr>
          <w:p w14:paraId="671760F3">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5</w:t>
            </w:r>
          </w:p>
        </w:tc>
        <w:tc>
          <w:tcPr>
            <w:tcW w:w="1789" w:type="dxa"/>
            <w:vAlign w:val="center"/>
          </w:tcPr>
          <w:p w14:paraId="173D66D5">
            <w:pPr>
              <w:tabs>
                <w:tab w:val="left" w:pos="2850"/>
                <w:tab w:val="center" w:pos="4153"/>
              </w:tabs>
              <w:adjustRightInd w:val="0"/>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技术方案</w:t>
            </w:r>
          </w:p>
        </w:tc>
        <w:tc>
          <w:tcPr>
            <w:tcW w:w="836" w:type="dxa"/>
            <w:vAlign w:val="center"/>
          </w:tcPr>
          <w:p w14:paraId="56CE17B2">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10分</w:t>
            </w:r>
          </w:p>
        </w:tc>
        <w:tc>
          <w:tcPr>
            <w:tcW w:w="5886" w:type="dxa"/>
            <w:vAlign w:val="center"/>
          </w:tcPr>
          <w:p w14:paraId="2C741B5E">
            <w:pPr>
              <w:keepNext/>
              <w:keepLines/>
              <w:adjustRightInd w:val="0"/>
              <w:snapToGrid w:val="0"/>
              <w:spacing w:line="360" w:lineRule="auto"/>
              <w:jc w:val="left"/>
              <w:outlineLvl w:val="1"/>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监测分析技术方案：针对内容是否全面、思路是否</w:t>
            </w:r>
            <w:r>
              <w:rPr>
                <w:rFonts w:hint="eastAsia" w:ascii="宋体" w:hAnsi="宋体" w:cs="宋体"/>
                <w:color w:val="auto"/>
                <w:kern w:val="0"/>
                <w:sz w:val="24"/>
                <w:highlight w:val="none"/>
                <w:lang w:val="en-US" w:eastAsia="zh-CN"/>
              </w:rPr>
              <w:t>清晰</w:t>
            </w:r>
            <w:r>
              <w:rPr>
                <w:rFonts w:hint="eastAsia" w:ascii="宋体" w:hAnsi="宋体" w:cs="宋体"/>
                <w:color w:val="auto"/>
                <w:kern w:val="0"/>
                <w:sz w:val="24"/>
                <w:highlight w:val="none"/>
              </w:rPr>
              <w:t>、技术路线是否正确等情况</w:t>
            </w:r>
            <w:r>
              <w:rPr>
                <w:rFonts w:hint="eastAsia" w:ascii="宋体" w:hAnsi="宋体" w:cs="宋体"/>
                <w:color w:val="auto"/>
                <w:kern w:val="0"/>
                <w:sz w:val="24"/>
                <w:highlight w:val="none"/>
                <w:lang w:val="en-US" w:eastAsia="zh-CN"/>
              </w:rPr>
              <w:t>进行评审。</w:t>
            </w:r>
          </w:p>
          <w:p w14:paraId="4C024C77">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rPr>
              <w:t>项目理解是否透彻等进行评审。</w:t>
            </w:r>
          </w:p>
          <w:p w14:paraId="08B76E6A">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7分＜</w:t>
            </w:r>
            <w:r>
              <w:rPr>
                <w:rFonts w:hint="eastAsia" w:ascii="宋体" w:hAnsi="宋体" w:cs="宋体"/>
                <w:color w:val="auto"/>
                <w:kern w:val="0"/>
                <w:sz w:val="24"/>
                <w:highlight w:val="none"/>
              </w:rPr>
              <w:t>思路切合工程实际、可行，测量技术手段先进、仪器设备检校方案</w:t>
            </w:r>
            <w:r>
              <w:rPr>
                <w:rFonts w:hint="eastAsia" w:ascii="宋体" w:hAnsi="宋体" w:cs="宋体"/>
                <w:color w:val="auto"/>
                <w:kern w:val="0"/>
                <w:sz w:val="24"/>
                <w:highlight w:val="none"/>
                <w:lang w:val="en-US" w:eastAsia="zh-CN"/>
              </w:rPr>
              <w:t>全面</w:t>
            </w:r>
            <w:r>
              <w:rPr>
                <w:rFonts w:hint="eastAsia" w:ascii="宋体" w:hAnsi="宋体" w:cs="宋体"/>
                <w:color w:val="auto"/>
                <w:kern w:val="0"/>
                <w:sz w:val="24"/>
                <w:highlight w:val="none"/>
              </w:rPr>
              <w:t>科学合理</w:t>
            </w:r>
            <w:r>
              <w:rPr>
                <w:rFonts w:hint="eastAsia" w:ascii="宋体" w:hAnsi="宋体" w:cs="宋体"/>
                <w:color w:val="auto"/>
                <w:kern w:val="0"/>
                <w:sz w:val="24"/>
                <w:highlight w:val="none"/>
                <w:lang w:val="en-US" w:eastAsia="zh-CN"/>
              </w:rPr>
              <w:t>有针对想</w:t>
            </w:r>
            <w:r>
              <w:rPr>
                <w:rFonts w:hint="eastAsia" w:ascii="宋体" w:hAnsi="宋体" w:cs="宋体"/>
                <w:color w:val="auto"/>
                <w:kern w:val="0"/>
                <w:sz w:val="24"/>
                <w:highlight w:val="none"/>
              </w:rPr>
              <w:t>的</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分；</w:t>
            </w:r>
          </w:p>
          <w:p w14:paraId="0C5F4A19">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4分＜</w:t>
            </w:r>
            <w:r>
              <w:rPr>
                <w:rFonts w:hint="eastAsia" w:ascii="宋体" w:hAnsi="宋体" w:cs="宋体"/>
                <w:color w:val="auto"/>
                <w:kern w:val="0"/>
                <w:sz w:val="24"/>
                <w:highlight w:val="none"/>
              </w:rPr>
              <w:t>思路较切合工程实际、可行，测量技术手段较先进、仪器设备检校方案较科学合理的</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分；</w:t>
            </w:r>
          </w:p>
          <w:p w14:paraId="581BDDEF">
            <w:pPr>
              <w:keepNext/>
              <w:keepLines/>
              <w:adjustRightInd w:val="0"/>
              <w:snapToGrid w:val="0"/>
              <w:spacing w:line="360" w:lineRule="auto"/>
              <w:jc w:val="left"/>
              <w:outlineLvl w:val="1"/>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1分＜</w:t>
            </w:r>
            <w:r>
              <w:rPr>
                <w:rFonts w:hint="eastAsia" w:ascii="宋体" w:hAnsi="宋体" w:cs="宋体"/>
                <w:color w:val="auto"/>
                <w:kern w:val="0"/>
                <w:sz w:val="24"/>
                <w:highlight w:val="none"/>
              </w:rPr>
              <w:t>有思路分析，但不</w:t>
            </w:r>
            <w:r>
              <w:rPr>
                <w:rFonts w:hint="eastAsia" w:ascii="宋体" w:hAnsi="宋体" w:cs="宋体"/>
                <w:color w:val="auto"/>
                <w:kern w:val="0"/>
                <w:sz w:val="24"/>
                <w:highlight w:val="none"/>
                <w:lang w:val="en-US" w:eastAsia="zh-CN"/>
              </w:rPr>
              <w:t>够</w:t>
            </w:r>
            <w:r>
              <w:rPr>
                <w:rFonts w:hint="eastAsia" w:ascii="宋体" w:hAnsi="宋体" w:cs="宋体"/>
                <w:color w:val="auto"/>
                <w:kern w:val="0"/>
                <w:sz w:val="24"/>
                <w:highlight w:val="none"/>
              </w:rPr>
              <w:t>科学、不</w:t>
            </w:r>
            <w:r>
              <w:rPr>
                <w:rFonts w:hint="eastAsia" w:ascii="宋体" w:hAnsi="宋体" w:cs="宋体"/>
                <w:color w:val="auto"/>
                <w:kern w:val="0"/>
                <w:sz w:val="24"/>
                <w:highlight w:val="none"/>
                <w:lang w:val="en-US" w:eastAsia="zh-CN"/>
              </w:rPr>
              <w:t>够</w:t>
            </w:r>
            <w:r>
              <w:rPr>
                <w:rFonts w:hint="eastAsia" w:ascii="宋体" w:hAnsi="宋体" w:cs="宋体"/>
                <w:color w:val="auto"/>
                <w:kern w:val="0"/>
                <w:sz w:val="24"/>
                <w:highlight w:val="none"/>
              </w:rPr>
              <w:t>合理的</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r>
              <w:rPr>
                <w:rFonts w:hint="eastAsia" w:ascii="宋体" w:hAnsi="宋体" w:cs="宋体"/>
                <w:color w:val="auto"/>
                <w:kern w:val="0"/>
                <w:sz w:val="24"/>
                <w:highlight w:val="none"/>
                <w:lang w:eastAsia="zh-CN"/>
              </w:rPr>
              <w:t>；</w:t>
            </w:r>
          </w:p>
          <w:p w14:paraId="7606810B">
            <w:pPr>
              <w:keepNext/>
              <w:keepLines/>
              <w:adjustRightInd w:val="0"/>
              <w:snapToGrid w:val="0"/>
              <w:spacing w:line="360" w:lineRule="auto"/>
              <w:jc w:val="left"/>
              <w:outlineLvl w:val="1"/>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不提供不得分。</w:t>
            </w:r>
          </w:p>
        </w:tc>
      </w:tr>
      <w:tr w14:paraId="6DF7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6" w:type="dxa"/>
            <w:vAlign w:val="center"/>
          </w:tcPr>
          <w:p w14:paraId="62BFFAFB">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6</w:t>
            </w:r>
          </w:p>
        </w:tc>
        <w:tc>
          <w:tcPr>
            <w:tcW w:w="1789" w:type="dxa"/>
            <w:vAlign w:val="center"/>
          </w:tcPr>
          <w:p w14:paraId="6228B634">
            <w:pPr>
              <w:tabs>
                <w:tab w:val="left" w:pos="2850"/>
                <w:tab w:val="center" w:pos="4153"/>
              </w:tabs>
              <w:adjustRightInd w:val="0"/>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基础资料</w:t>
            </w:r>
          </w:p>
        </w:tc>
        <w:tc>
          <w:tcPr>
            <w:tcW w:w="836" w:type="dxa"/>
            <w:vAlign w:val="center"/>
          </w:tcPr>
          <w:p w14:paraId="338D2442">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3分</w:t>
            </w:r>
          </w:p>
        </w:tc>
        <w:tc>
          <w:tcPr>
            <w:tcW w:w="5886" w:type="dxa"/>
            <w:vAlign w:val="center"/>
          </w:tcPr>
          <w:p w14:paraId="3CB713E6">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基础资料收集方案内容完整，收集保障措施切实可行。内业成果处理正确、处理软件成熟、成果可靠有保障。所有涉及内容合理可靠的得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分；内容较全面、合理的得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分；内容一般全面、合理的得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分；内容不全面、不合理的不得分。</w:t>
            </w:r>
          </w:p>
        </w:tc>
      </w:tr>
      <w:tr w14:paraId="4734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6" w:type="dxa"/>
            <w:vAlign w:val="center"/>
          </w:tcPr>
          <w:p w14:paraId="3CAC4E34">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7</w:t>
            </w:r>
          </w:p>
        </w:tc>
        <w:tc>
          <w:tcPr>
            <w:tcW w:w="1789" w:type="dxa"/>
            <w:vAlign w:val="center"/>
          </w:tcPr>
          <w:p w14:paraId="721D497A">
            <w:pPr>
              <w:tabs>
                <w:tab w:val="left" w:pos="2850"/>
                <w:tab w:val="center" w:pos="4153"/>
              </w:tabs>
              <w:adjustRightIn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进度安排</w:t>
            </w:r>
          </w:p>
        </w:tc>
        <w:tc>
          <w:tcPr>
            <w:tcW w:w="836" w:type="dxa"/>
            <w:vAlign w:val="center"/>
          </w:tcPr>
          <w:p w14:paraId="632E6DFC">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3分</w:t>
            </w:r>
          </w:p>
        </w:tc>
        <w:tc>
          <w:tcPr>
            <w:tcW w:w="5886" w:type="dxa"/>
            <w:vAlign w:val="center"/>
          </w:tcPr>
          <w:p w14:paraId="127D1F0D">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进度计划需满足招标文件要求，进度保证措施是否合理等进行评审。针对采购需求中进度安排、思路清晰明了、合理齐全，便于执行的得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分；方案满足采购需求，对进度方案建议基本完整、且可执行的得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分；方案粗略、虽然存在缺陷，但通过后期优化，能够满足采购需求的得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分，其他情况或没有内容不得分。</w:t>
            </w:r>
          </w:p>
        </w:tc>
      </w:tr>
      <w:tr w14:paraId="123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vAlign w:val="center"/>
          </w:tcPr>
          <w:p w14:paraId="2A1EB888">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8</w:t>
            </w:r>
          </w:p>
        </w:tc>
        <w:tc>
          <w:tcPr>
            <w:tcW w:w="1789" w:type="dxa"/>
            <w:vAlign w:val="center"/>
          </w:tcPr>
          <w:p w14:paraId="67E4A79B">
            <w:pPr>
              <w:tabs>
                <w:tab w:val="left" w:pos="2850"/>
                <w:tab w:val="center" w:pos="4153"/>
              </w:tabs>
              <w:adjustRightIn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质量与安全保障</w:t>
            </w:r>
          </w:p>
        </w:tc>
        <w:tc>
          <w:tcPr>
            <w:tcW w:w="836" w:type="dxa"/>
            <w:vAlign w:val="center"/>
          </w:tcPr>
          <w:p w14:paraId="67795D6E">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3分</w:t>
            </w:r>
          </w:p>
        </w:tc>
        <w:tc>
          <w:tcPr>
            <w:tcW w:w="5886" w:type="dxa"/>
            <w:vAlign w:val="center"/>
          </w:tcPr>
          <w:p w14:paraId="54288095">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监测分析质量保障制度是否健全、是否措施可行、安全保障措施是否完整、是否切实可行等进行评审。内容合理完善得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分；内容合理但不完善</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分；内容粗略得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分，其他情况或没有内容不得分。</w:t>
            </w:r>
          </w:p>
        </w:tc>
      </w:tr>
      <w:tr w14:paraId="76BD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6" w:type="dxa"/>
            <w:vAlign w:val="center"/>
          </w:tcPr>
          <w:p w14:paraId="39F47EF9">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9</w:t>
            </w:r>
          </w:p>
        </w:tc>
        <w:tc>
          <w:tcPr>
            <w:tcW w:w="1789" w:type="dxa"/>
            <w:vAlign w:val="center"/>
          </w:tcPr>
          <w:p w14:paraId="5F24CC46">
            <w:pPr>
              <w:tabs>
                <w:tab w:val="left" w:pos="2850"/>
                <w:tab w:val="center" w:pos="4153"/>
              </w:tabs>
              <w:adjustRightIn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后续服务</w:t>
            </w:r>
          </w:p>
        </w:tc>
        <w:tc>
          <w:tcPr>
            <w:tcW w:w="836" w:type="dxa"/>
            <w:vAlign w:val="center"/>
          </w:tcPr>
          <w:p w14:paraId="3D5B0F47">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3分</w:t>
            </w:r>
          </w:p>
        </w:tc>
        <w:tc>
          <w:tcPr>
            <w:tcW w:w="5886" w:type="dxa"/>
            <w:vAlign w:val="center"/>
          </w:tcPr>
          <w:p w14:paraId="4086EDD2">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后续服务具体措施是否得当、是否清晰等进行评审。内容合理完善得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分；内容合理但不完善</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分；内容粗略得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分，其他情况或没有内容不得分。</w:t>
            </w:r>
          </w:p>
        </w:tc>
      </w:tr>
      <w:tr w14:paraId="669B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16" w:type="dxa"/>
            <w:vAlign w:val="center"/>
          </w:tcPr>
          <w:p w14:paraId="4DB704D9">
            <w:pPr>
              <w:widowControl/>
              <w:spacing w:line="360" w:lineRule="auto"/>
              <w:jc w:val="center"/>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10</w:t>
            </w:r>
          </w:p>
        </w:tc>
        <w:tc>
          <w:tcPr>
            <w:tcW w:w="1789" w:type="dxa"/>
            <w:vAlign w:val="center"/>
          </w:tcPr>
          <w:p w14:paraId="4D7643CB">
            <w:pPr>
              <w:tabs>
                <w:tab w:val="left" w:pos="2850"/>
                <w:tab w:val="center" w:pos="4153"/>
              </w:tabs>
              <w:adjustRightIn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重点、难点分析</w:t>
            </w:r>
          </w:p>
        </w:tc>
        <w:tc>
          <w:tcPr>
            <w:tcW w:w="836" w:type="dxa"/>
            <w:vAlign w:val="center"/>
          </w:tcPr>
          <w:p w14:paraId="532B1506">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分</w:t>
            </w:r>
          </w:p>
        </w:tc>
        <w:tc>
          <w:tcPr>
            <w:tcW w:w="5886" w:type="dxa"/>
            <w:vAlign w:val="center"/>
          </w:tcPr>
          <w:p w14:paraId="25430A3C">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评委委员会</w:t>
            </w:r>
            <w:r>
              <w:rPr>
                <w:rFonts w:hint="eastAsia" w:ascii="宋体" w:hAnsi="宋体" w:cs="宋体"/>
                <w:color w:val="auto"/>
                <w:kern w:val="0"/>
                <w:sz w:val="24"/>
                <w:highlight w:val="none"/>
              </w:rPr>
              <w:t>根据招标文件要求及各投标人投标文件的相关内容对监测项目重点和难点分析是否全面、准确、清晰；根据项目内容，对监测过程中的重点事项和难点事项进行事前预估并提出详实的分析和对策方案：</w:t>
            </w:r>
          </w:p>
          <w:p w14:paraId="48B218E6">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7分＜</w:t>
            </w:r>
            <w:r>
              <w:rPr>
                <w:rFonts w:hint="eastAsia" w:ascii="宋体" w:hAnsi="宋体" w:cs="宋体"/>
                <w:color w:val="auto"/>
                <w:kern w:val="0"/>
                <w:sz w:val="24"/>
                <w:highlight w:val="none"/>
              </w:rPr>
              <w:t>方案全面、准确、清晰</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分；</w:t>
            </w:r>
          </w:p>
          <w:p w14:paraId="77376D0C">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4分＜</w:t>
            </w:r>
            <w:r>
              <w:rPr>
                <w:rFonts w:hint="eastAsia" w:ascii="宋体" w:hAnsi="宋体" w:cs="宋体"/>
                <w:color w:val="auto"/>
                <w:kern w:val="0"/>
                <w:sz w:val="24"/>
                <w:highlight w:val="none"/>
              </w:rPr>
              <w:t>方案较全面、准确、清晰</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分；</w:t>
            </w:r>
          </w:p>
          <w:p w14:paraId="31FFBFA2">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1分＜</w:t>
            </w:r>
            <w:r>
              <w:rPr>
                <w:rFonts w:hint="eastAsia" w:ascii="宋体" w:hAnsi="宋体" w:cs="宋体"/>
                <w:color w:val="auto"/>
                <w:kern w:val="0"/>
                <w:sz w:val="24"/>
                <w:highlight w:val="none"/>
              </w:rPr>
              <w:t>有方案，但不</w:t>
            </w:r>
            <w:r>
              <w:rPr>
                <w:rFonts w:hint="eastAsia" w:ascii="宋体" w:hAnsi="宋体" w:cs="宋体"/>
                <w:color w:val="auto"/>
                <w:kern w:val="0"/>
                <w:sz w:val="24"/>
                <w:highlight w:val="none"/>
                <w:lang w:val="en-US" w:eastAsia="zh-CN"/>
              </w:rPr>
              <w:t>够</w:t>
            </w:r>
            <w:r>
              <w:rPr>
                <w:rFonts w:hint="eastAsia" w:ascii="宋体" w:hAnsi="宋体" w:cs="宋体"/>
                <w:color w:val="auto"/>
                <w:kern w:val="0"/>
                <w:sz w:val="24"/>
                <w:highlight w:val="none"/>
              </w:rPr>
              <w:t>完整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p>
          <w:p w14:paraId="5A573A8B">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其他情况或没有内容不得分。</w:t>
            </w:r>
          </w:p>
        </w:tc>
      </w:tr>
    </w:tbl>
    <w:p w14:paraId="2D7245A1">
      <w:pPr>
        <w:snapToGrid w:val="0"/>
        <w:spacing w:line="360" w:lineRule="auto"/>
        <w:ind w:firstLine="480" w:firstLineChars="200"/>
        <w:rPr>
          <w:rFonts w:ascii="宋体" w:hAnsi="宋体"/>
          <w:b/>
          <w:color w:val="auto"/>
          <w:sz w:val="24"/>
          <w:highlight w:val="none"/>
        </w:rPr>
      </w:pPr>
      <w:r>
        <w:rPr>
          <w:rFonts w:ascii="宋体" w:hAnsi="宋体" w:cs="宋体"/>
          <w:b/>
          <w:color w:val="auto"/>
          <w:sz w:val="24"/>
          <w:highlight w:val="none"/>
        </w:rPr>
        <w:t>（二）</w:t>
      </w:r>
      <w:r>
        <w:rPr>
          <w:rFonts w:hint="eastAsia" w:ascii="宋体" w:hAnsi="宋体" w:cs="宋体"/>
          <w:b/>
          <w:color w:val="auto"/>
          <w:sz w:val="24"/>
          <w:highlight w:val="none"/>
        </w:rPr>
        <w:t>价格</w:t>
      </w:r>
      <w:r>
        <w:rPr>
          <w:rFonts w:ascii="宋体" w:hAnsi="宋体" w:cs="宋体"/>
          <w:b/>
          <w:color w:val="auto"/>
          <w:sz w:val="24"/>
          <w:highlight w:val="none"/>
        </w:rPr>
        <w:t>标评分（</w:t>
      </w:r>
      <w:r>
        <w:rPr>
          <w:rFonts w:hint="eastAsia" w:ascii="宋体" w:hAnsi="宋体" w:cs="宋体"/>
          <w:b/>
          <w:color w:val="auto"/>
          <w:sz w:val="24"/>
          <w:highlight w:val="none"/>
        </w:rPr>
        <w:t>3</w:t>
      </w:r>
      <w:r>
        <w:rPr>
          <w:rFonts w:ascii="宋体" w:hAnsi="宋体" w:cs="宋体"/>
          <w:b/>
          <w:color w:val="auto"/>
          <w:sz w:val="24"/>
          <w:highlight w:val="none"/>
        </w:rPr>
        <w:t>0分）：</w:t>
      </w:r>
      <w:r>
        <w:rPr>
          <w:rFonts w:ascii="宋体" w:hAnsi="宋体"/>
          <w:b/>
          <w:color w:val="auto"/>
          <w:sz w:val="24"/>
          <w:highlight w:val="none"/>
        </w:rPr>
        <w:tab/>
      </w:r>
    </w:p>
    <w:p w14:paraId="102F044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1、本次项目最高限价为人民币</w:t>
      </w:r>
      <w:r>
        <w:rPr>
          <w:rFonts w:hint="eastAsia" w:ascii="宋体" w:hAnsi="宋体" w:cs="宋体"/>
          <w:b/>
          <w:color w:val="auto"/>
          <w:sz w:val="24"/>
          <w:highlight w:val="none"/>
          <w:lang w:val="en-US" w:eastAsia="zh-CN"/>
        </w:rPr>
        <w:t>14.78万元</w:t>
      </w:r>
      <w:r>
        <w:rPr>
          <w:rFonts w:ascii="宋体" w:hAnsi="宋体"/>
          <w:color w:val="auto"/>
          <w:sz w:val="24"/>
          <w:highlight w:val="none"/>
        </w:rPr>
        <w:t>。</w:t>
      </w:r>
      <w:r>
        <w:rPr>
          <w:rFonts w:ascii="宋体" w:hAnsi="宋体"/>
          <w:color w:val="auto"/>
          <w:sz w:val="24"/>
          <w:highlight w:val="none"/>
        </w:rPr>
        <w:t>超过限价作无效投标处理。</w:t>
      </w:r>
    </w:p>
    <w:p w14:paraId="41DDFE2A">
      <w:pPr>
        <w:snapToGrid w:val="0"/>
        <w:spacing w:line="360" w:lineRule="auto"/>
        <w:ind w:firstLine="480" w:firstLineChars="200"/>
        <w:rPr>
          <w:rFonts w:ascii="宋体" w:hAnsi="宋体" w:cs="宋体"/>
          <w:color w:val="auto"/>
          <w:sz w:val="24"/>
          <w:highlight w:val="none"/>
        </w:rPr>
      </w:pPr>
      <w:r>
        <w:rPr>
          <w:rFonts w:ascii="宋体" w:hAnsi="宋体"/>
          <w:color w:val="auto"/>
          <w:sz w:val="24"/>
          <w:highlight w:val="none"/>
        </w:rPr>
        <w:t>2、满足招标文件要求且投标报价最低的报价为评标基准价，其</w:t>
      </w:r>
      <w:r>
        <w:rPr>
          <w:rFonts w:hint="eastAsia" w:ascii="宋体" w:hAnsi="宋体"/>
          <w:color w:val="auto"/>
          <w:sz w:val="24"/>
          <w:highlight w:val="none"/>
        </w:rPr>
        <w:t>价格</w:t>
      </w:r>
      <w:r>
        <w:rPr>
          <w:rFonts w:ascii="宋体" w:hAnsi="宋体"/>
          <w:color w:val="auto"/>
          <w:sz w:val="24"/>
          <w:highlight w:val="none"/>
        </w:rPr>
        <w:t>标得分为满分</w:t>
      </w:r>
      <w:r>
        <w:rPr>
          <w:rFonts w:hint="eastAsia" w:ascii="宋体" w:hAnsi="宋体"/>
          <w:color w:val="auto"/>
          <w:sz w:val="24"/>
          <w:highlight w:val="none"/>
        </w:rPr>
        <w:t>30</w:t>
      </w:r>
      <w:r>
        <w:rPr>
          <w:rFonts w:ascii="宋体" w:hAnsi="宋体"/>
          <w:color w:val="auto"/>
          <w:sz w:val="24"/>
          <w:highlight w:val="none"/>
        </w:rPr>
        <w:t>分。</w:t>
      </w:r>
    </w:p>
    <w:p w14:paraId="61BA938F">
      <w:pPr>
        <w:snapToGrid w:val="0"/>
        <w:spacing w:line="360" w:lineRule="auto"/>
        <w:ind w:firstLine="480" w:firstLineChars="200"/>
        <w:rPr>
          <w:rFonts w:ascii="宋体" w:hAnsi="宋体" w:cs="宋体"/>
          <w:color w:val="auto"/>
          <w:sz w:val="24"/>
          <w:highlight w:val="none"/>
        </w:rPr>
      </w:pPr>
      <w:r>
        <w:rPr>
          <w:rFonts w:ascii="宋体" w:hAnsi="宋体"/>
          <w:color w:val="auto"/>
          <w:sz w:val="24"/>
          <w:highlight w:val="none"/>
        </w:rPr>
        <w:t>3、其他投标人的</w:t>
      </w:r>
      <w:r>
        <w:rPr>
          <w:rFonts w:hint="eastAsia" w:ascii="宋体" w:hAnsi="宋体"/>
          <w:color w:val="auto"/>
          <w:sz w:val="24"/>
          <w:highlight w:val="none"/>
        </w:rPr>
        <w:t>价格</w:t>
      </w:r>
      <w:r>
        <w:rPr>
          <w:rFonts w:ascii="宋体" w:hAnsi="宋体"/>
          <w:color w:val="auto"/>
          <w:sz w:val="24"/>
          <w:highlight w:val="none"/>
        </w:rPr>
        <w:t>标得分分别按照下列公式计算：</w:t>
      </w:r>
    </w:p>
    <w:p w14:paraId="493EFEFA">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价格</w:t>
      </w:r>
      <w:r>
        <w:rPr>
          <w:rFonts w:ascii="宋体" w:hAnsi="宋体"/>
          <w:color w:val="auto"/>
          <w:sz w:val="24"/>
          <w:highlight w:val="none"/>
        </w:rPr>
        <w:t>标得分=（评标基准价/投标报价）×</w:t>
      </w:r>
      <w:r>
        <w:rPr>
          <w:rFonts w:hint="eastAsia" w:ascii="宋体" w:hAnsi="宋体"/>
          <w:color w:val="auto"/>
          <w:sz w:val="24"/>
          <w:highlight w:val="none"/>
        </w:rPr>
        <w:t>3</w:t>
      </w:r>
      <w:r>
        <w:rPr>
          <w:rFonts w:ascii="宋体" w:hAnsi="宋体"/>
          <w:color w:val="auto"/>
          <w:sz w:val="24"/>
          <w:highlight w:val="none"/>
        </w:rPr>
        <w:t>0%×100</w:t>
      </w:r>
    </w:p>
    <w:p w14:paraId="0342DD39">
      <w:pPr>
        <w:snapToGrid w:val="0"/>
        <w:spacing w:line="360" w:lineRule="auto"/>
        <w:ind w:firstLine="570"/>
        <w:rPr>
          <w:rFonts w:ascii="宋体" w:hAnsi="宋体" w:cs="仿宋_GB2312"/>
          <w:b/>
          <w:bCs/>
          <w:color w:val="auto"/>
          <w:sz w:val="24"/>
          <w:highlight w:val="none"/>
        </w:rPr>
      </w:pPr>
      <w:r>
        <w:rPr>
          <w:rFonts w:hint="eastAsia" w:ascii="宋体" w:hAnsi="宋体" w:cs="仿宋_GB2312"/>
          <w:b/>
          <w:bCs/>
          <w:color w:val="auto"/>
          <w:sz w:val="24"/>
          <w:highlight w:val="none"/>
        </w:rPr>
        <w:t>（</w:t>
      </w:r>
      <w:r>
        <w:rPr>
          <w:rFonts w:hint="eastAsia" w:ascii="宋体" w:hAnsi="宋体" w:cs="仿宋_GB2312"/>
          <w:b/>
          <w:bCs/>
          <w:color w:val="auto"/>
          <w:sz w:val="24"/>
          <w:highlight w:val="none"/>
          <w:lang w:val="en-US" w:eastAsia="zh-CN"/>
        </w:rPr>
        <w:t>三</w:t>
      </w:r>
      <w:r>
        <w:rPr>
          <w:rFonts w:hint="eastAsia" w:ascii="宋体" w:hAnsi="宋体" w:cs="仿宋_GB2312"/>
          <w:b/>
          <w:bCs/>
          <w:color w:val="auto"/>
          <w:sz w:val="24"/>
          <w:highlight w:val="none"/>
        </w:rPr>
        <w:t>）评标争议</w:t>
      </w:r>
    </w:p>
    <w:p w14:paraId="0E599548">
      <w:pPr>
        <w:snapToGrid w:val="0"/>
        <w:spacing w:line="360" w:lineRule="auto"/>
        <w:ind w:firstLine="573"/>
        <w:rPr>
          <w:rFonts w:ascii="宋体" w:hAnsi="宋体" w:cs="仿宋_GB2312"/>
          <w:color w:val="auto"/>
          <w:sz w:val="24"/>
          <w:highlight w:val="none"/>
        </w:rPr>
      </w:pPr>
      <w:r>
        <w:rPr>
          <w:rFonts w:hint="eastAsia" w:ascii="宋体" w:hAnsi="宋体" w:cs="仿宋_GB2312"/>
          <w:color w:val="auto"/>
          <w:sz w:val="24"/>
          <w:highlight w:val="none"/>
        </w:rPr>
        <w:t>评标时评委对评标的细则若有争议，由评标</w:t>
      </w:r>
      <w:r>
        <w:rPr>
          <w:rFonts w:hint="eastAsia" w:ascii="宋体" w:hAnsi="宋体"/>
          <w:color w:val="auto"/>
          <w:sz w:val="24"/>
          <w:highlight w:val="none"/>
        </w:rPr>
        <w:t>委员会</w:t>
      </w:r>
      <w:r>
        <w:rPr>
          <w:rFonts w:hint="eastAsia" w:ascii="宋体" w:hAnsi="宋体" w:cs="仿宋_GB2312"/>
          <w:color w:val="auto"/>
          <w:sz w:val="24"/>
          <w:highlight w:val="none"/>
        </w:rPr>
        <w:t>评委集体讨论确定，并对未尽情况有最终解释权。</w:t>
      </w:r>
    </w:p>
    <w:p w14:paraId="179683F5">
      <w:pPr>
        <w:snapToGrid w:val="0"/>
        <w:spacing w:line="360" w:lineRule="auto"/>
        <w:ind w:firstLine="480" w:firstLineChars="200"/>
        <w:rPr>
          <w:rFonts w:ascii="宋体" w:hAnsi="宋体" w:cs="仿宋_GB2312"/>
          <w:b/>
          <w:bCs/>
          <w:color w:val="auto"/>
          <w:sz w:val="24"/>
          <w:highlight w:val="none"/>
        </w:rPr>
      </w:pPr>
      <w:r>
        <w:rPr>
          <w:rFonts w:hint="eastAsia" w:ascii="宋体" w:hAnsi="宋体" w:cs="仿宋_GB2312"/>
          <w:b/>
          <w:bCs/>
          <w:color w:val="auto"/>
          <w:sz w:val="24"/>
          <w:highlight w:val="none"/>
        </w:rPr>
        <w:t>（</w:t>
      </w:r>
      <w:r>
        <w:rPr>
          <w:rFonts w:hint="eastAsia" w:ascii="宋体" w:hAnsi="宋体" w:cs="仿宋_GB2312"/>
          <w:b/>
          <w:bCs/>
          <w:color w:val="auto"/>
          <w:sz w:val="24"/>
          <w:highlight w:val="none"/>
          <w:lang w:val="en-US" w:eastAsia="zh-CN"/>
        </w:rPr>
        <w:t>四</w:t>
      </w:r>
      <w:r>
        <w:rPr>
          <w:rFonts w:hint="eastAsia" w:ascii="宋体" w:hAnsi="宋体" w:cs="仿宋_GB2312"/>
          <w:b/>
          <w:bCs/>
          <w:color w:val="auto"/>
          <w:sz w:val="24"/>
          <w:highlight w:val="none"/>
        </w:rPr>
        <w:t>）落标原因</w:t>
      </w:r>
    </w:p>
    <w:p w14:paraId="4B4E1BBC">
      <w:pPr>
        <w:snapToGrid w:val="0"/>
        <w:spacing w:line="360" w:lineRule="auto"/>
        <w:ind w:firstLine="573"/>
        <w:rPr>
          <w:rFonts w:ascii="宋体" w:hAnsi="宋体" w:cs="仿宋_GB2312"/>
          <w:color w:val="auto"/>
          <w:sz w:val="24"/>
          <w:highlight w:val="none"/>
        </w:rPr>
      </w:pPr>
      <w:r>
        <w:rPr>
          <w:rFonts w:hint="eastAsia" w:ascii="宋体" w:hAnsi="宋体" w:cs="仿宋_GB2312"/>
          <w:color w:val="auto"/>
          <w:sz w:val="24"/>
          <w:highlight w:val="none"/>
        </w:rPr>
        <w:t>评标委员会不对落标的投标人做落标原因的解释。</w:t>
      </w:r>
    </w:p>
    <w:p w14:paraId="0985AEC8">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九、出现下列情形之一的，作无效投标处理：</w:t>
      </w:r>
    </w:p>
    <w:p w14:paraId="2E5CF7C6">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rPr>
        <w:t>1、投标文件未按招标文件要求签署、盖章的；</w:t>
      </w:r>
    </w:p>
    <w:p w14:paraId="25EFD0EB">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rPr>
        <w:t>2、不具备招标文件中规定的资格要求的；</w:t>
      </w:r>
    </w:p>
    <w:p w14:paraId="27FC6345">
      <w:pPr>
        <w:snapToGrid w:val="0"/>
        <w:spacing w:line="360" w:lineRule="auto"/>
        <w:ind w:firstLine="573"/>
        <w:rPr>
          <w:rFonts w:hint="eastAsia" w:ascii="宋体" w:hAnsi="宋体" w:cs="宋体"/>
          <w:color w:val="auto"/>
          <w:sz w:val="24"/>
          <w:highlight w:val="none"/>
        </w:rPr>
      </w:pPr>
      <w:bookmarkStart w:id="16" w:name="_Hlk81473737"/>
      <w:r>
        <w:rPr>
          <w:rFonts w:hint="eastAsia" w:ascii="宋体" w:hAnsi="宋体" w:cs="宋体"/>
          <w:color w:val="auto"/>
          <w:sz w:val="24"/>
          <w:highlight w:val="none"/>
        </w:rPr>
        <w:t>3、投标人的资格证明文件不符合本采购文件要求的；</w:t>
      </w:r>
    </w:p>
    <w:p w14:paraId="1BBA4E86">
      <w:pPr>
        <w:snapToGrid w:val="0"/>
        <w:spacing w:line="360" w:lineRule="auto"/>
        <w:ind w:firstLine="573"/>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cs="宋体"/>
          <w:bCs/>
          <w:color w:val="auto"/>
          <w:sz w:val="24"/>
          <w:highlight w:val="none"/>
        </w:rPr>
        <w:t>投标单位被“信用中国”网站列入失信被执行人、重大税收违法</w:t>
      </w:r>
      <w:r>
        <w:rPr>
          <w:rFonts w:hint="eastAsia" w:ascii="宋体" w:hAnsi="宋体" w:cs="宋体"/>
          <w:bCs/>
          <w:color w:val="auto"/>
          <w:sz w:val="24"/>
          <w:highlight w:val="none"/>
          <w:lang w:val="en-US" w:eastAsia="zh-CN"/>
        </w:rPr>
        <w:t>失信主体</w:t>
      </w:r>
      <w:r>
        <w:rPr>
          <w:rFonts w:hint="eastAsia" w:ascii="宋体" w:hAnsi="宋体" w:cs="宋体"/>
          <w:bCs/>
          <w:color w:val="auto"/>
          <w:sz w:val="24"/>
          <w:highlight w:val="none"/>
        </w:rPr>
        <w:t>、政府采购严重违法失信行为记录名单、</w:t>
      </w:r>
      <w:r>
        <w:rPr>
          <w:rFonts w:hint="eastAsia" w:ascii="宋体" w:hAnsi="宋体" w:cs="宋体"/>
          <w:bCs/>
          <w:color w:val="auto"/>
          <w:sz w:val="24"/>
          <w:highlight w:val="none"/>
          <w:lang w:val="en-US" w:eastAsia="zh-CN"/>
        </w:rPr>
        <w:t>经营（活动）</w:t>
      </w:r>
      <w:r>
        <w:rPr>
          <w:rFonts w:hint="eastAsia" w:ascii="宋体" w:hAnsi="宋体" w:cs="宋体"/>
          <w:bCs/>
          <w:color w:val="auto"/>
          <w:sz w:val="24"/>
          <w:highlight w:val="none"/>
        </w:rPr>
        <w:t>异常名录、严重失信</w:t>
      </w:r>
      <w:r>
        <w:rPr>
          <w:rFonts w:hint="eastAsia" w:ascii="宋体" w:hAnsi="宋体" w:cs="宋体"/>
          <w:bCs/>
          <w:color w:val="auto"/>
          <w:sz w:val="24"/>
          <w:highlight w:val="none"/>
          <w:lang w:val="en-US" w:eastAsia="zh-CN"/>
        </w:rPr>
        <w:t>主体</w:t>
      </w:r>
      <w:r>
        <w:rPr>
          <w:rFonts w:hint="eastAsia" w:ascii="宋体" w:hAnsi="宋体" w:cs="宋体"/>
          <w:bCs/>
          <w:color w:val="auto"/>
          <w:sz w:val="24"/>
          <w:highlight w:val="none"/>
        </w:rPr>
        <w:t>名单</w:t>
      </w:r>
      <w:r>
        <w:rPr>
          <w:rFonts w:hint="eastAsia" w:ascii="宋体" w:hAnsi="宋体" w:cs="宋体"/>
          <w:bCs/>
          <w:color w:val="auto"/>
          <w:sz w:val="24"/>
          <w:highlight w:val="none"/>
          <w:lang w:eastAsia="zh-CN"/>
        </w:rPr>
        <w:t>的</w:t>
      </w:r>
      <w:r>
        <w:rPr>
          <w:rFonts w:hint="eastAsia" w:ascii="宋体" w:hAnsi="宋体" w:cs="宋体"/>
          <w:bCs/>
          <w:color w:val="auto"/>
          <w:sz w:val="24"/>
          <w:highlight w:val="none"/>
        </w:rPr>
        <w:t>；</w:t>
      </w:r>
    </w:p>
    <w:bookmarkEnd w:id="16"/>
    <w:p w14:paraId="6DDA7FEB">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、报价超过招标文件中规定的预算金额或者最高限价的；</w:t>
      </w:r>
    </w:p>
    <w:p w14:paraId="3ACC87BB">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、投标文件含有采购人不能接受的附加条件的；</w:t>
      </w:r>
    </w:p>
    <w:p w14:paraId="14CC8889">
      <w:pPr>
        <w:snapToGrid w:val="0"/>
        <w:spacing w:line="360" w:lineRule="auto"/>
        <w:ind w:firstLine="573"/>
        <w:rPr>
          <w:rFonts w:ascii="宋体" w:hAnsi="宋体" w:cs="宋体"/>
          <w:color w:val="auto"/>
          <w:sz w:val="24"/>
          <w:highlight w:val="none"/>
        </w:rPr>
      </w:pPr>
      <w:bookmarkStart w:id="17" w:name="_Hlk81473764"/>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、投标人有欺诈行为或隐瞒自身违规问题的，提供虚假、伪造、变造、过期资料的；</w:t>
      </w:r>
    </w:p>
    <w:bookmarkEnd w:id="17"/>
    <w:p w14:paraId="2C8F3507">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、法律、法规和招标文件规定的其他无效情形。</w:t>
      </w:r>
    </w:p>
    <w:p w14:paraId="5AD32973">
      <w:pPr>
        <w:snapToGrid w:val="0"/>
        <w:spacing w:line="360" w:lineRule="auto"/>
        <w:ind w:firstLine="480" w:firstLineChars="200"/>
        <w:outlineLvl w:val="1"/>
        <w:rPr>
          <w:rFonts w:ascii="宋体" w:hAnsi="宋体"/>
          <w:color w:val="auto"/>
          <w:sz w:val="24"/>
          <w:highlight w:val="none"/>
        </w:rPr>
      </w:pPr>
      <w:r>
        <w:rPr>
          <w:rFonts w:hint="eastAsia" w:ascii="宋体" w:hAnsi="宋体"/>
          <w:b/>
          <w:color w:val="auto"/>
          <w:sz w:val="24"/>
          <w:highlight w:val="none"/>
        </w:rPr>
        <w:t>十、有下列情形之一的，视为投标人串通投标，其投标无效</w:t>
      </w:r>
    </w:p>
    <w:p w14:paraId="2919FF1A">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、不同投标人的投标文件由同一单位或者个人编制；</w:t>
      </w:r>
    </w:p>
    <w:p w14:paraId="0C004444">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、不同投标人委托同一单位或者个人办理投标事宜；</w:t>
      </w:r>
    </w:p>
    <w:p w14:paraId="1CFCE6A5">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、不同投标人的投标文件载明的项目管理成员或者联系人员为同一人；</w:t>
      </w:r>
    </w:p>
    <w:p w14:paraId="42471ADC">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、不同投标人的投标文件异常一致或者投标报价呈规律性差异；</w:t>
      </w:r>
    </w:p>
    <w:p w14:paraId="2CC02B2A">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、不同投标人的投标文件相互混装。</w:t>
      </w:r>
    </w:p>
    <w:p w14:paraId="5FA00850">
      <w:pPr>
        <w:snapToGrid w:val="0"/>
        <w:spacing w:line="360" w:lineRule="auto"/>
        <w:ind w:firstLine="480" w:firstLineChars="200"/>
        <w:outlineLvl w:val="1"/>
        <w:rPr>
          <w:rFonts w:ascii="宋体" w:hAnsi="宋体"/>
          <w:color w:val="auto"/>
          <w:sz w:val="24"/>
          <w:highlight w:val="none"/>
        </w:rPr>
      </w:pPr>
      <w:r>
        <w:rPr>
          <w:rFonts w:hint="eastAsia" w:ascii="宋体" w:hAnsi="宋体"/>
          <w:b/>
          <w:color w:val="auto"/>
          <w:sz w:val="24"/>
          <w:highlight w:val="none"/>
        </w:rPr>
        <w:t>十一、变更为其他方式采购的情形处理</w:t>
      </w:r>
    </w:p>
    <w:p w14:paraId="350D6DD9">
      <w:pPr>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依据《政府采购货物和服务招标投标管理办法》财政部</w:t>
      </w:r>
      <w:r>
        <w:rPr>
          <w:rFonts w:ascii="宋体" w:hAnsi="宋体"/>
          <w:color w:val="auto"/>
          <w:sz w:val="24"/>
          <w:highlight w:val="none"/>
        </w:rPr>
        <w:t>87</w:t>
      </w:r>
      <w:r>
        <w:rPr>
          <w:rFonts w:hint="eastAsia" w:ascii="宋体" w:hAnsi="宋体"/>
          <w:color w:val="auto"/>
          <w:sz w:val="24"/>
          <w:highlight w:val="none"/>
        </w:rPr>
        <w:t>号令第四十三条的规定：公开招标数额标准以上的采购项目，投标截止后投标人不足</w:t>
      </w:r>
      <w:r>
        <w:rPr>
          <w:rFonts w:ascii="宋体" w:hAnsi="宋体"/>
          <w:color w:val="auto"/>
          <w:sz w:val="24"/>
          <w:highlight w:val="none"/>
        </w:rPr>
        <w:t>3</w:t>
      </w:r>
      <w:r>
        <w:rPr>
          <w:rFonts w:hint="eastAsia" w:ascii="宋体" w:hAnsi="宋体"/>
          <w:color w:val="auto"/>
          <w:sz w:val="24"/>
          <w:highlight w:val="none"/>
        </w:rPr>
        <w:t>家或者通过资格审查或符合性审查的投标人不足</w:t>
      </w:r>
      <w:r>
        <w:rPr>
          <w:rFonts w:ascii="宋体" w:hAnsi="宋体"/>
          <w:color w:val="auto"/>
          <w:sz w:val="24"/>
          <w:highlight w:val="none"/>
        </w:rPr>
        <w:t>3</w:t>
      </w:r>
      <w:r>
        <w:rPr>
          <w:rFonts w:hint="eastAsia" w:ascii="宋体" w:hAnsi="宋体"/>
          <w:color w:val="auto"/>
          <w:sz w:val="24"/>
          <w:highlight w:val="none"/>
        </w:rPr>
        <w:t>家的，除采购任务取消情形外，按照以下方式处理：</w:t>
      </w:r>
    </w:p>
    <w:p w14:paraId="761B35E8">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、招标文件存在不合理条款或者招标程序不符合规定的，采购人、采购代理机构改正后依法重新招标；</w:t>
      </w:r>
    </w:p>
    <w:p w14:paraId="74D7E22C">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、招标文件没有不合理条款、招标程序符合规定，需要采用其他采购方式采购的，采购人应当依法报财政部门批准。</w:t>
      </w:r>
    </w:p>
    <w:p w14:paraId="1611105C">
      <w:pPr>
        <w:snapToGrid w:val="0"/>
        <w:spacing w:line="360" w:lineRule="auto"/>
        <w:ind w:firstLine="564" w:firstLineChars="235"/>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、依据《政府采购非招标采购方式管理办法》财政部</w:t>
      </w:r>
      <w:r>
        <w:rPr>
          <w:rFonts w:ascii="宋体" w:hAnsi="宋体"/>
          <w:color w:val="auto"/>
          <w:sz w:val="24"/>
          <w:highlight w:val="none"/>
        </w:rPr>
        <w:t>74</w:t>
      </w:r>
      <w:r>
        <w:rPr>
          <w:rFonts w:hint="eastAsia" w:ascii="宋体" w:hAnsi="宋体"/>
          <w:color w:val="auto"/>
          <w:sz w:val="24"/>
          <w:highlight w:val="none"/>
        </w:rPr>
        <w:t>号令第三条第（三）款的规定：达到公开招标数额标准、经批准采用非公开招标的货物、服务，可以采用竞争性谈判、单一来源采购方式采购，采购货物的，还可以采用询价采购方式。</w:t>
      </w:r>
    </w:p>
    <w:p w14:paraId="57EDF160">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十二、出现下列情形之一的，作废标处理：</w:t>
      </w:r>
      <w:r>
        <w:rPr>
          <w:rFonts w:ascii="宋体" w:hAnsi="宋体"/>
          <w:b/>
          <w:color w:val="auto"/>
          <w:sz w:val="24"/>
          <w:highlight w:val="none"/>
        </w:rPr>
        <w:t xml:space="preserve"> </w:t>
      </w:r>
    </w:p>
    <w:p w14:paraId="5EAB677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、出现影响采购公正的违法违规行为的；</w:t>
      </w:r>
    </w:p>
    <w:p w14:paraId="5ACEEFD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、所有投标人报价超出采购预算价的；</w:t>
      </w:r>
    </w:p>
    <w:p w14:paraId="6623C1A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、因重大变故，采购任务被取消的；</w:t>
      </w:r>
    </w:p>
    <w:p w14:paraId="106E014B">
      <w:pPr>
        <w:snapToGrid w:val="0"/>
        <w:spacing w:line="360" w:lineRule="auto"/>
        <w:ind w:firstLine="480" w:firstLineChars="200"/>
        <w:rPr>
          <w:rFonts w:ascii="宋体" w:hAnsi="宋体"/>
          <w:color w:val="auto"/>
          <w:sz w:val="24"/>
          <w:highlight w:val="none"/>
        </w:rPr>
      </w:pPr>
      <w:bookmarkStart w:id="18" w:name="_Hlk81473907"/>
      <w:r>
        <w:rPr>
          <w:rFonts w:hint="eastAsia" w:ascii="宋体" w:hAnsi="宋体"/>
          <w:color w:val="auto"/>
          <w:sz w:val="24"/>
          <w:highlight w:val="none"/>
        </w:rPr>
        <w:t>4、经评标委员会</w:t>
      </w:r>
      <w:bookmarkStart w:id="19" w:name="_Hlk81472270"/>
      <w:r>
        <w:rPr>
          <w:rFonts w:hint="eastAsia" w:ascii="宋体" w:hAnsi="宋体"/>
          <w:color w:val="auto"/>
          <w:sz w:val="24"/>
          <w:highlight w:val="none"/>
        </w:rPr>
        <w:t>资格符合性评审</w:t>
      </w:r>
      <w:bookmarkEnd w:id="19"/>
      <w:r>
        <w:rPr>
          <w:rFonts w:hint="eastAsia" w:ascii="宋体" w:hAnsi="宋体"/>
          <w:color w:val="auto"/>
          <w:sz w:val="24"/>
          <w:highlight w:val="none"/>
        </w:rPr>
        <w:t>后，通过资格符合性评审的投标人不足三家的；</w:t>
      </w:r>
    </w:p>
    <w:bookmarkEnd w:id="18"/>
    <w:p w14:paraId="68785FA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、评标委员会依据法律法规可以认定为废标的其他情况。</w:t>
      </w:r>
    </w:p>
    <w:p w14:paraId="513EC36D">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十三、中标通知</w:t>
      </w:r>
    </w:p>
    <w:p w14:paraId="0125D5F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、开标结束后，采购人自中标人确定之日起</w:t>
      </w:r>
      <w:r>
        <w:rPr>
          <w:rFonts w:ascii="宋体" w:hAnsi="宋体"/>
          <w:color w:val="auto"/>
          <w:sz w:val="24"/>
          <w:highlight w:val="none"/>
        </w:rPr>
        <w:t>2</w:t>
      </w:r>
      <w:r>
        <w:rPr>
          <w:rFonts w:hint="eastAsia" w:ascii="宋体" w:hAnsi="宋体"/>
          <w:color w:val="auto"/>
          <w:sz w:val="24"/>
          <w:highlight w:val="none"/>
        </w:rPr>
        <w:t>个工作日内在指定媒体上公告中标结果。</w:t>
      </w:r>
    </w:p>
    <w:p w14:paraId="3EF3247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、中标公告期限为</w:t>
      </w:r>
      <w:r>
        <w:rPr>
          <w:rFonts w:ascii="宋体" w:hAnsi="宋体"/>
          <w:color w:val="auto"/>
          <w:sz w:val="24"/>
          <w:highlight w:val="none"/>
        </w:rPr>
        <w:t>1</w:t>
      </w:r>
      <w:r>
        <w:rPr>
          <w:rFonts w:hint="eastAsia" w:ascii="宋体" w:hAnsi="宋体"/>
          <w:color w:val="auto"/>
          <w:sz w:val="24"/>
          <w:highlight w:val="none"/>
        </w:rPr>
        <w:t>个工作日，期限结束后向中标人发出《中标通知书》。</w:t>
      </w:r>
    </w:p>
    <w:p w14:paraId="411281D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、《中标通知书》一经发出，即具有法律效力。采购人、中标人依法承担法律责任。</w:t>
      </w:r>
    </w:p>
    <w:p w14:paraId="1AC50644">
      <w:pPr>
        <w:pStyle w:val="63"/>
        <w:rPr>
          <w:rFonts w:ascii="宋体"/>
          <w:color w:val="auto"/>
          <w:highlight w:val="none"/>
        </w:rPr>
      </w:pPr>
      <w:r>
        <w:rPr>
          <w:rFonts w:ascii="宋体"/>
          <w:color w:val="auto"/>
          <w:highlight w:val="none"/>
        </w:rPr>
        <w:br w:type="page"/>
      </w:r>
      <w:bookmarkStart w:id="20" w:name="_Toc152045609"/>
      <w:bookmarkStart w:id="21" w:name="_Toc318874023"/>
      <w:bookmarkStart w:id="22" w:name="_Toc179632627"/>
      <w:bookmarkStart w:id="23" w:name="_Toc144974577"/>
      <w:bookmarkStart w:id="24" w:name="_Toc152042387"/>
      <w:r>
        <w:rPr>
          <w:rStyle w:val="124"/>
          <w:color w:val="auto"/>
          <w:sz w:val="28"/>
          <w:szCs w:val="28"/>
          <w:highlight w:val="none"/>
        </w:rPr>
        <w:t>第</w:t>
      </w:r>
      <w:r>
        <w:rPr>
          <w:rStyle w:val="124"/>
          <w:rFonts w:hint="default"/>
          <w:color w:val="auto"/>
          <w:sz w:val="28"/>
          <w:szCs w:val="28"/>
          <w:highlight w:val="none"/>
        </w:rPr>
        <w:t>五</w:t>
      </w:r>
      <w:r>
        <w:rPr>
          <w:rStyle w:val="124"/>
          <w:color w:val="auto"/>
          <w:sz w:val="28"/>
          <w:szCs w:val="28"/>
          <w:highlight w:val="none"/>
        </w:rPr>
        <w:t xml:space="preserve">章 </w:t>
      </w:r>
      <w:r>
        <w:rPr>
          <w:rStyle w:val="124"/>
          <w:rFonts w:hint="default"/>
          <w:color w:val="auto"/>
          <w:sz w:val="28"/>
          <w:szCs w:val="28"/>
          <w:highlight w:val="none"/>
        </w:rPr>
        <w:t xml:space="preserve"> </w:t>
      </w:r>
      <w:r>
        <w:rPr>
          <w:rStyle w:val="124"/>
          <w:color w:val="auto"/>
          <w:sz w:val="28"/>
          <w:szCs w:val="28"/>
          <w:highlight w:val="none"/>
        </w:rPr>
        <w:t>合同条款及格式</w:t>
      </w:r>
      <w:bookmarkEnd w:id="20"/>
      <w:bookmarkEnd w:id="21"/>
      <w:bookmarkEnd w:id="22"/>
      <w:bookmarkEnd w:id="23"/>
      <w:bookmarkEnd w:id="24"/>
      <w:r>
        <w:rPr>
          <w:rStyle w:val="124"/>
          <w:color w:val="auto"/>
          <w:sz w:val="28"/>
          <w:szCs w:val="28"/>
          <w:highlight w:val="none"/>
        </w:rPr>
        <w:t>（参考）</w:t>
      </w:r>
    </w:p>
    <w:p w14:paraId="2AD587D9">
      <w:pPr>
        <w:rPr>
          <w:color w:val="auto"/>
          <w:highlight w:val="none"/>
        </w:rPr>
      </w:pPr>
    </w:p>
    <w:p w14:paraId="2032412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委托方（以下简称甲方）</w:t>
      </w:r>
      <w:r>
        <w:rPr>
          <w:rFonts w:hint="eastAsia" w:ascii="宋体" w:hAnsi="宋体" w:cs="宋体"/>
          <w:color w:val="auto"/>
          <w:sz w:val="24"/>
          <w:highlight w:val="none"/>
          <w:u w:val="single"/>
        </w:rPr>
        <w:t xml:space="preserve">                           </w:t>
      </w:r>
    </w:p>
    <w:p w14:paraId="09E9C801">
      <w:pPr>
        <w:spacing w:line="48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承揽方（以下简称乙方）</w:t>
      </w:r>
      <w:r>
        <w:rPr>
          <w:rFonts w:hint="eastAsia" w:ascii="宋体" w:hAnsi="宋体" w:cs="宋体"/>
          <w:color w:val="auto"/>
          <w:sz w:val="24"/>
          <w:highlight w:val="none"/>
          <w:u w:val="single"/>
        </w:rPr>
        <w:t xml:space="preserve">                           </w:t>
      </w:r>
    </w:p>
    <w:p w14:paraId="154DE7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根据《中华人民共和国民法典》和有关法律法规，经甲乙双方协商一致签订本合同。</w:t>
      </w:r>
    </w:p>
    <w:p w14:paraId="4374AB01">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b/>
          <w:color w:val="auto"/>
          <w:sz w:val="24"/>
          <w:highlight w:val="none"/>
        </w:rPr>
        <w:t xml:space="preserve">第一条  </w:t>
      </w:r>
      <w:r>
        <w:rPr>
          <w:rFonts w:hint="eastAsia" w:ascii="宋体" w:hAnsi="宋体" w:cs="宋体"/>
          <w:color w:val="auto"/>
          <w:sz w:val="24"/>
          <w:highlight w:val="none"/>
        </w:rPr>
        <w:t>通吕闸、通吕泵站为南通市重点水利工程，规模均为大（2）型。根据《水闸安全监测技术规范》（SL768-2018）、</w:t>
      </w:r>
      <w:r>
        <w:rPr>
          <w:rFonts w:hint="eastAsia" w:ascii="宋体" w:hAnsi="宋体" w:cs="宋体"/>
          <w:color w:val="auto"/>
          <w:sz w:val="24"/>
          <w:highlight w:val="none"/>
          <w:lang w:eastAsia="zh-CN"/>
        </w:rPr>
        <w:t>《水闸技术管理规程》</w:t>
      </w:r>
      <w:r>
        <w:rPr>
          <w:rFonts w:hint="eastAsia" w:ascii="宋体" w:hAnsi="宋体" w:cs="宋体"/>
          <w:color w:val="auto"/>
          <w:sz w:val="24"/>
          <w:highlight w:val="none"/>
        </w:rPr>
        <w:t>（SL/T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7</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24</w:t>
      </w:r>
      <w:r>
        <w:rPr>
          <w:rFonts w:hint="eastAsia" w:ascii="宋体" w:hAnsi="宋体" w:cs="宋体"/>
          <w:color w:val="auto"/>
          <w:sz w:val="24"/>
          <w:highlight w:val="none"/>
          <w:lang w:eastAsia="zh-CN"/>
        </w:rPr>
        <w:t>）、</w:t>
      </w:r>
      <w:r>
        <w:rPr>
          <w:rFonts w:hint="eastAsia" w:ascii="宋体" w:hAnsi="宋体" w:cs="宋体"/>
          <w:color w:val="auto"/>
          <w:sz w:val="24"/>
          <w:highlight w:val="none"/>
        </w:rPr>
        <w:t>江苏省《水利工程观测规程》（DB32/T 1713-2011）及有关规范规程要求，为保障通吕闸、通吕泵站安全稳定运行，管理所拟开展</w:t>
      </w:r>
      <w:r>
        <w:rPr>
          <w:rFonts w:hint="eastAsia" w:ascii="宋体" w:hAnsi="宋体" w:cs="宋体"/>
          <w:color w:val="auto"/>
          <w:sz w:val="24"/>
          <w:highlight w:val="none"/>
          <w:lang w:eastAsia="zh-CN"/>
        </w:rPr>
        <w:t>2026</w:t>
      </w:r>
      <w:r>
        <w:rPr>
          <w:rFonts w:hint="eastAsia" w:ascii="宋体" w:hAnsi="宋体" w:cs="宋体"/>
          <w:color w:val="auto"/>
          <w:sz w:val="24"/>
          <w:highlight w:val="none"/>
        </w:rPr>
        <w:t>年度闸站工程安全监测，监测内容包括垂直位移、水平位移、扬压力观测、伸缩缝观测及水尺水位比测等内容（测次详见清单）</w:t>
      </w:r>
    </w:p>
    <w:p w14:paraId="503F8DF3">
      <w:pPr>
        <w:adjustRightInd w:val="0"/>
        <w:spacing w:line="48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 xml:space="preserve">第二条  </w:t>
      </w:r>
      <w:r>
        <w:rPr>
          <w:rFonts w:hint="eastAsia" w:ascii="宋体" w:hAnsi="宋体" w:cs="宋体"/>
          <w:color w:val="auto"/>
          <w:sz w:val="24"/>
          <w:highlight w:val="none"/>
        </w:rPr>
        <w:t>执行技术标准：达到二等测量要求，符合《工程测量规范》（GB 50026-2007），《建筑变形测量规范》（JGJ 8-2016），《国家一二等水准测量规范》（GB/T 24314-2009），《水利工程观测规程》（DB32/T 1732-2011）等规范规程要求。</w:t>
      </w:r>
    </w:p>
    <w:p w14:paraId="76D8F9CE">
      <w:pPr>
        <w:adjustRightInd w:val="0"/>
        <w:spacing w:line="48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 xml:space="preserve">第三条  </w:t>
      </w:r>
      <w:r>
        <w:rPr>
          <w:rFonts w:hint="eastAsia" w:ascii="宋体" w:hAnsi="宋体" w:cs="宋体"/>
          <w:color w:val="auto"/>
          <w:sz w:val="24"/>
          <w:highlight w:val="none"/>
        </w:rPr>
        <w:t xml:space="preserve">合同价格：（大写）：          (人民币)（小写）：        </w:t>
      </w:r>
    </w:p>
    <w:p w14:paraId="1E4021FA">
      <w:pPr>
        <w:adjustRightInd w:val="0"/>
        <w:spacing w:line="48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 xml:space="preserve">第四条  </w:t>
      </w:r>
      <w:r>
        <w:rPr>
          <w:rFonts w:hint="eastAsia" w:ascii="宋体" w:hAnsi="宋体" w:cs="宋体"/>
          <w:color w:val="auto"/>
          <w:sz w:val="24"/>
          <w:highlight w:val="none"/>
        </w:rPr>
        <w:t>甲方的义务</w:t>
      </w:r>
    </w:p>
    <w:p w14:paraId="215E3AF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1、自本合同签订后</w:t>
      </w:r>
      <w:r>
        <w:rPr>
          <w:rFonts w:ascii="宋体" w:hAnsi="宋体" w:cs="宋体"/>
          <w:color w:val="auto"/>
          <w:sz w:val="24"/>
          <w:highlight w:val="none"/>
        </w:rPr>
        <w:t>，</w:t>
      </w:r>
      <w:r>
        <w:rPr>
          <w:rFonts w:hint="eastAsia" w:ascii="宋体" w:hAnsi="宋体" w:cs="宋体"/>
          <w:color w:val="auto"/>
          <w:sz w:val="24"/>
          <w:highlight w:val="none"/>
        </w:rPr>
        <w:t>向乙方提交有关资料和提出技术要求。</w:t>
      </w:r>
    </w:p>
    <w:p w14:paraId="4731D5F1">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2、做好乙方编制的技术设计书的审定工作。</w:t>
      </w:r>
    </w:p>
    <w:p w14:paraId="3FB7B09D">
      <w:pPr>
        <w:adjustRightInd w:val="0"/>
        <w:spacing w:line="48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 xml:space="preserve">第五条  </w:t>
      </w:r>
      <w:r>
        <w:rPr>
          <w:rFonts w:hint="eastAsia" w:ascii="宋体" w:hAnsi="宋体" w:cs="宋体"/>
          <w:color w:val="auto"/>
          <w:sz w:val="24"/>
          <w:highlight w:val="none"/>
        </w:rPr>
        <w:t>乙方的义务</w:t>
      </w:r>
    </w:p>
    <w:p w14:paraId="4CC313EB">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1、自收到甲方的有关资料和技术要求之日起，根据甲方的有关资料和技术要求完成技术设计书的编制，并交甲方审定。</w:t>
      </w:r>
    </w:p>
    <w:p w14:paraId="71FC4C8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2、按照甲方对技术设计书同意实施的审定意见及观测</w:t>
      </w:r>
      <w:r>
        <w:rPr>
          <w:rFonts w:ascii="宋体" w:hAnsi="宋体" w:cs="宋体"/>
          <w:color w:val="auto"/>
          <w:sz w:val="24"/>
          <w:highlight w:val="none"/>
        </w:rPr>
        <w:t>要求，</w:t>
      </w:r>
      <w:r>
        <w:rPr>
          <w:rFonts w:hint="eastAsia" w:ascii="宋体" w:hAnsi="宋体" w:cs="宋体"/>
          <w:color w:val="auto"/>
          <w:sz w:val="24"/>
          <w:highlight w:val="none"/>
        </w:rPr>
        <w:t>组织观测人员进场作业。乙方应当根据技术设计书要求按合同工期确保观测项目完成。</w:t>
      </w:r>
    </w:p>
    <w:p w14:paraId="2D454DC4">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3、乙方必须无条件配合财政、水利、审计单位和甲方对年度工程实际成本的延伸审计或资金使用情况检查。</w:t>
      </w:r>
    </w:p>
    <w:p w14:paraId="12967CA9">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4、乙方项目负责人：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1D3CBCF1">
      <w:pPr>
        <w:adjustRightInd w:val="0"/>
        <w:spacing w:line="48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 xml:space="preserve">第六条  </w:t>
      </w:r>
      <w:r>
        <w:rPr>
          <w:rFonts w:hint="eastAsia" w:ascii="宋体" w:hAnsi="宋体" w:cs="宋体"/>
          <w:color w:val="auto"/>
          <w:sz w:val="24"/>
          <w:highlight w:val="none"/>
        </w:rPr>
        <w:t>观测项目完成工期：自合同签订之日起至</w:t>
      </w:r>
      <w:r>
        <w:rPr>
          <w:rFonts w:hint="eastAsia" w:ascii="宋体" w:hAnsi="宋体" w:cs="宋体"/>
          <w:color w:val="auto"/>
          <w:sz w:val="24"/>
          <w:highlight w:val="none"/>
          <w:lang w:eastAsia="zh-CN"/>
        </w:rPr>
        <w:t>2026</w:t>
      </w:r>
      <w:r>
        <w:rPr>
          <w:rFonts w:hint="eastAsia" w:ascii="宋体" w:hAnsi="宋体" w:cs="宋体"/>
          <w:color w:val="auto"/>
          <w:sz w:val="24"/>
          <w:highlight w:val="none"/>
        </w:rPr>
        <w:t>年12月31日止，</w:t>
      </w:r>
      <w:r>
        <w:rPr>
          <w:rFonts w:ascii="宋体" w:hAnsi="宋体" w:cs="宋体"/>
          <w:color w:val="auto"/>
          <w:sz w:val="24"/>
          <w:highlight w:val="none"/>
        </w:rPr>
        <w:t>具体时间可</w:t>
      </w:r>
      <w:r>
        <w:rPr>
          <w:rFonts w:hint="eastAsia" w:ascii="宋体" w:hAnsi="宋体" w:cs="宋体"/>
          <w:color w:val="auto"/>
          <w:sz w:val="24"/>
          <w:highlight w:val="none"/>
        </w:rPr>
        <w:t>根据甲方要求。</w:t>
      </w:r>
    </w:p>
    <w:p w14:paraId="57C39CDA">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第七条  观测成果资料整编的要求：按江苏省《水利工程观测规程》（DB32/T 1732-2011）的要求进行测量成果整编及分析。</w:t>
      </w:r>
    </w:p>
    <w:p w14:paraId="68713482">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1、观测工作说明</w:t>
      </w:r>
      <w:r>
        <w:rPr>
          <w:rFonts w:hint="eastAsia" w:ascii="宋体" w:hAnsi="宋体" w:cs="宋体"/>
          <w:color w:val="auto"/>
          <w:sz w:val="24"/>
          <w:highlight w:val="none"/>
        </w:rPr>
        <w:t>：按照江苏省《水利工程观测规程》（DB32/T 1713-2011），</w:t>
      </w:r>
      <w:r>
        <w:rPr>
          <w:rFonts w:ascii="宋体" w:hAnsi="宋体" w:cs="宋体"/>
          <w:color w:val="auto"/>
          <w:sz w:val="24"/>
          <w:highlight w:val="none"/>
        </w:rPr>
        <w:t>内容</w:t>
      </w:r>
      <w:r>
        <w:rPr>
          <w:rFonts w:hint="eastAsia" w:ascii="宋体" w:hAnsi="宋体" w:cs="宋体"/>
          <w:color w:val="auto"/>
          <w:sz w:val="24"/>
          <w:highlight w:val="none"/>
        </w:rPr>
        <w:t>包括观测手段、仪器配备、观测时的水情、气象和工程运用状况、观测时发生的问题和处理办法、经验教训，观测手段的改进和革新，观测精度的自我评价等。</w:t>
      </w:r>
    </w:p>
    <w:p w14:paraId="77127CCD">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2、资料成果</w:t>
      </w:r>
    </w:p>
    <w:p w14:paraId="50DB46F5">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（1）原始资料</w:t>
      </w:r>
    </w:p>
    <w:p w14:paraId="4FBF2AF8">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提供垂直位移、水平位移、扬压力观测（含清淤）、伸缩缝观测及水尺比测等现场的观测记录、原始资料</w:t>
      </w:r>
      <w:r>
        <w:rPr>
          <w:rFonts w:hint="eastAsia" w:ascii="宋体" w:hAnsi="宋体" w:cs="宋体"/>
          <w:b/>
          <w:color w:val="auto"/>
          <w:sz w:val="24"/>
          <w:highlight w:val="none"/>
          <w:lang w:eastAsia="zh-CN"/>
        </w:rPr>
        <w:t>、仪器检定证书等</w:t>
      </w:r>
      <w:r>
        <w:rPr>
          <w:rFonts w:hint="eastAsia" w:ascii="宋体" w:hAnsi="宋体" w:cs="宋体"/>
          <w:b/>
          <w:color w:val="auto"/>
          <w:sz w:val="24"/>
          <w:highlight w:val="none"/>
        </w:rPr>
        <w:t>。</w:t>
      </w:r>
    </w:p>
    <w:p w14:paraId="2780BCB0">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（2）绘制图表（包括但不限于）</w:t>
      </w:r>
    </w:p>
    <w:p w14:paraId="45ED6D78">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2.1垂直位移观测</w:t>
      </w:r>
    </w:p>
    <w:p w14:paraId="667F81A4">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垂直位移观测标点及观测线路示意图 </w:t>
      </w:r>
    </w:p>
    <w:p w14:paraId="2C979CF5">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垂直位移工作基点考证表 </w:t>
      </w:r>
    </w:p>
    <w:p w14:paraId="5F1372B7">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垂直位移工作基点高程考证表 </w:t>
      </w:r>
    </w:p>
    <w:p w14:paraId="5F01D70E">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垂直位移观测标点考证表 </w:t>
      </w:r>
    </w:p>
    <w:p w14:paraId="42DDEDE9">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水准观测记录表</w:t>
      </w:r>
    </w:p>
    <w:p w14:paraId="069CCB1B">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观测点高程计算表</w:t>
      </w:r>
    </w:p>
    <w:p w14:paraId="66771E90">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垂直位移观测成果表 </w:t>
      </w:r>
    </w:p>
    <w:p w14:paraId="118FA388">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I角检验记录表</w:t>
      </w:r>
    </w:p>
    <w:p w14:paraId="636ABEF9">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垂直位移观测汇总表</w:t>
      </w:r>
    </w:p>
    <w:p w14:paraId="0F10F25D">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沉降变化曲线图</w:t>
      </w:r>
    </w:p>
    <w:p w14:paraId="276A4532">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2.2水平位移观测</w:t>
      </w:r>
    </w:p>
    <w:p w14:paraId="2F70D06C">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水平位移观测标点及观测线路示意图</w:t>
      </w:r>
    </w:p>
    <w:p w14:paraId="59828524">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水平位移工作基点考证表</w:t>
      </w:r>
    </w:p>
    <w:p w14:paraId="1CC35CA3">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水平位移观测记录表</w:t>
      </w:r>
    </w:p>
    <w:p w14:paraId="204E85ED">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观测点位移计算表</w:t>
      </w:r>
    </w:p>
    <w:p w14:paraId="110527B5">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水平位移观测成果表 </w:t>
      </w:r>
    </w:p>
    <w:p w14:paraId="751164BC">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水平位移观测汇总表</w:t>
      </w:r>
    </w:p>
    <w:p w14:paraId="30A56EC1">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水平位移变化曲线图</w:t>
      </w:r>
    </w:p>
    <w:p w14:paraId="37DEEF52">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2.3扬压力观测</w:t>
      </w:r>
    </w:p>
    <w:p w14:paraId="553A3D0A">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测压管位置示意图</w:t>
      </w:r>
    </w:p>
    <w:p w14:paraId="65EE5A35">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测压管考证表</w:t>
      </w:r>
    </w:p>
    <w:p w14:paraId="3F8BD097">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测压管管口高程考证表</w:t>
      </w:r>
    </w:p>
    <w:p w14:paraId="4E06710F">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测压管注水试验成果表</w:t>
      </w:r>
    </w:p>
    <w:p w14:paraId="6620C0AB">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测压管淤积深度统计表</w:t>
      </w:r>
    </w:p>
    <w:p w14:paraId="7BA9D41C">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测压管水位统计表</w:t>
      </w:r>
    </w:p>
    <w:p w14:paraId="5F42391D">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测压管水位过程线</w:t>
      </w:r>
    </w:p>
    <w:p w14:paraId="3CF8AF83">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观测成果分析</w:t>
      </w:r>
    </w:p>
    <w:p w14:paraId="7AEFCFA0">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2.4伸缩缝观测</w:t>
      </w:r>
    </w:p>
    <w:p w14:paraId="642BD1DB">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伸缩缝位置示意图</w:t>
      </w:r>
    </w:p>
    <w:p w14:paraId="4B89C18A">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伸缩缝缝宽记录表统计表</w:t>
      </w:r>
    </w:p>
    <w:p w14:paraId="2510E47C">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伸缩缝变化过程线</w:t>
      </w:r>
    </w:p>
    <w:p w14:paraId="66DE35C8">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观测成果分析</w:t>
      </w:r>
    </w:p>
    <w:p w14:paraId="424BB815">
      <w:pPr>
        <w:spacing w:line="480" w:lineRule="exact"/>
        <w:ind w:firstLine="480" w:firstLineChars="200"/>
        <w:jc w:val="left"/>
        <w:rPr>
          <w:rFonts w:ascii="宋体" w:hAnsi="宋体" w:cs="宋体"/>
          <w:color w:val="auto"/>
          <w:kern w:val="0"/>
          <w:sz w:val="24"/>
          <w:highlight w:val="none"/>
        </w:rPr>
      </w:pPr>
      <w:r>
        <w:rPr>
          <w:rFonts w:hint="eastAsia" w:ascii="宋体" w:hAnsi="宋体" w:cs="宋体"/>
          <w:b/>
          <w:color w:val="auto"/>
          <w:sz w:val="24"/>
          <w:highlight w:val="none"/>
        </w:rPr>
        <w:t>（3）成果分析报告</w:t>
      </w:r>
    </w:p>
    <w:p w14:paraId="511F46BE">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按照</w:t>
      </w:r>
      <w:r>
        <w:rPr>
          <w:rFonts w:hint="eastAsia" w:ascii="宋体" w:hAnsi="宋体" w:cs="宋体"/>
          <w:b w:val="0"/>
          <w:bCs w:val="0"/>
          <w:color w:val="auto"/>
          <w:sz w:val="24"/>
          <w:highlight w:val="none"/>
        </w:rPr>
        <w:t>《工程测量规范》GB 50026-2007，《建筑变形测量规范》JGJ8-2016，《国家一二等水准测量规范》GB/T 24314-2009，《水利工程观测规程》DB32/T 1732-2011</w:t>
      </w:r>
      <w:r>
        <w:rPr>
          <w:rFonts w:hint="eastAsia" w:ascii="宋体" w:hAnsi="宋体" w:cs="宋体"/>
          <w:color w:val="auto"/>
          <w:sz w:val="24"/>
          <w:highlight w:val="none"/>
        </w:rPr>
        <w:t>等要求，对观测结果进行整编分析，并根据分析对工程运行状态进行评价，对工程控制运用和维修加固等提出初步意见。报告内容还需包括概况、技术依据、观测手段、测网及观测点的布设、坐标系统、作业方法简述、仪器配备、观测时的水情气象和工程运用状况、观测时发生的问题和处理办法、经验教训，观测手段的改进和革新，观测精度的自我评价、成果初步分析、技术结论等。</w:t>
      </w:r>
    </w:p>
    <w:p w14:paraId="0D827A1B">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垂直位移和水平位移观测成果分析应根据每次垂直位移和水平位移观测成果，结合其他观测资料、水文地质资料及工程维修改造情况，分析垂直位移和水平位移的变化规律及趋势，并与上次观测成果及初始值进行比较分析其是否正常。重点分析近期位移量的最大、最小值及累计、间隔位移量和相对不均匀位移量的极值与异常部位，根据分析对工程的运行状态进行评价，对工程控制运用和维修加固等提出初步意见。测压管水位和伸缩缝变化应进行有效分析，并提出对工程安全运行的意见。</w:t>
      </w:r>
    </w:p>
    <w:p w14:paraId="10AF53C4">
      <w:pPr>
        <w:jc w:val="left"/>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highlight w:val="none"/>
        </w:rPr>
        <w:t>4、</w:t>
      </w:r>
      <w:r>
        <w:rPr>
          <w:rFonts w:hint="eastAsia" w:ascii="宋体" w:hAnsi="宋体" w:cs="宋体"/>
          <w:b/>
          <w:bCs w:val="0"/>
          <w:color w:val="auto"/>
          <w:sz w:val="24"/>
          <w:szCs w:val="24"/>
          <w:highlight w:val="none"/>
          <w:lang w:eastAsia="zh-CN"/>
        </w:rPr>
        <w:t>2026</w:t>
      </w:r>
      <w:r>
        <w:rPr>
          <w:rFonts w:hint="eastAsia" w:ascii="宋体" w:hAnsi="宋体" w:eastAsia="宋体" w:cs="宋体"/>
          <w:b/>
          <w:bCs w:val="0"/>
          <w:color w:val="auto"/>
          <w:sz w:val="24"/>
          <w:szCs w:val="24"/>
          <w:highlight w:val="none"/>
        </w:rPr>
        <w:t>年度通吕运河水利枢纽安全监测</w:t>
      </w:r>
      <w:r>
        <w:rPr>
          <w:rFonts w:hint="eastAsia" w:ascii="宋体" w:hAnsi="宋体" w:cs="宋体"/>
          <w:b/>
          <w:bCs w:val="0"/>
          <w:color w:val="auto"/>
          <w:sz w:val="24"/>
          <w:szCs w:val="24"/>
          <w:highlight w:val="none"/>
          <w:lang w:val="en-US" w:eastAsia="zh-CN"/>
        </w:rPr>
        <w:t>清单</w:t>
      </w:r>
    </w:p>
    <w:tbl>
      <w:tblPr>
        <w:tblStyle w:val="65"/>
        <w:tblW w:w="9204" w:type="dxa"/>
        <w:tblInd w:w="0" w:type="dxa"/>
        <w:tblLayout w:type="fixed"/>
        <w:tblCellMar>
          <w:top w:w="0" w:type="dxa"/>
          <w:left w:w="108" w:type="dxa"/>
          <w:bottom w:w="0" w:type="dxa"/>
          <w:right w:w="108" w:type="dxa"/>
        </w:tblCellMar>
      </w:tblPr>
      <w:tblGrid>
        <w:gridCol w:w="729"/>
        <w:gridCol w:w="1085"/>
        <w:gridCol w:w="1701"/>
        <w:gridCol w:w="844"/>
        <w:gridCol w:w="855"/>
        <w:gridCol w:w="1530"/>
        <w:gridCol w:w="2460"/>
      </w:tblGrid>
      <w:tr w14:paraId="33529396">
        <w:tblPrEx>
          <w:tblCellMar>
            <w:top w:w="0" w:type="dxa"/>
            <w:left w:w="108" w:type="dxa"/>
            <w:bottom w:w="0" w:type="dxa"/>
            <w:right w:w="108" w:type="dxa"/>
          </w:tblCellMar>
        </w:tblPrEx>
        <w:trPr>
          <w:trHeight w:val="799" w:hRule="atLeast"/>
        </w:trPr>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58A5C">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085" w:type="dxa"/>
            <w:tcBorders>
              <w:top w:val="single" w:color="auto" w:sz="4" w:space="0"/>
              <w:left w:val="nil"/>
              <w:bottom w:val="single" w:color="auto" w:sz="4" w:space="0"/>
              <w:right w:val="single" w:color="auto" w:sz="4" w:space="0"/>
            </w:tcBorders>
            <w:shd w:val="clear" w:color="auto" w:fill="auto"/>
            <w:noWrap/>
            <w:vAlign w:val="center"/>
          </w:tcPr>
          <w:p w14:paraId="4D99628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4A9EC1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观测内容</w:t>
            </w:r>
          </w:p>
        </w:tc>
        <w:tc>
          <w:tcPr>
            <w:tcW w:w="844" w:type="dxa"/>
            <w:tcBorders>
              <w:top w:val="single" w:color="auto" w:sz="4" w:space="0"/>
              <w:left w:val="nil"/>
              <w:bottom w:val="single" w:color="auto" w:sz="4" w:space="0"/>
              <w:right w:val="single" w:color="auto" w:sz="4" w:space="0"/>
            </w:tcBorders>
            <w:shd w:val="clear" w:color="auto" w:fill="auto"/>
            <w:noWrap/>
            <w:vAlign w:val="center"/>
          </w:tcPr>
          <w:p w14:paraId="7820D96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D8A10F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次数</w:t>
            </w:r>
          </w:p>
        </w:tc>
        <w:tc>
          <w:tcPr>
            <w:tcW w:w="1530" w:type="dxa"/>
            <w:tcBorders>
              <w:top w:val="single" w:color="auto" w:sz="4" w:space="0"/>
              <w:left w:val="nil"/>
              <w:bottom w:val="single" w:color="auto" w:sz="4" w:space="0"/>
              <w:right w:val="single" w:color="auto" w:sz="4" w:space="0"/>
            </w:tcBorders>
            <w:shd w:val="clear" w:color="auto" w:fill="auto"/>
            <w:noWrap/>
            <w:vAlign w:val="center"/>
          </w:tcPr>
          <w:p w14:paraId="4D11E81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观测周期</w:t>
            </w:r>
          </w:p>
        </w:tc>
        <w:tc>
          <w:tcPr>
            <w:tcW w:w="2460" w:type="dxa"/>
            <w:tcBorders>
              <w:top w:val="single" w:color="auto" w:sz="4" w:space="0"/>
              <w:left w:val="nil"/>
              <w:bottom w:val="single" w:color="auto" w:sz="4" w:space="0"/>
              <w:right w:val="single" w:color="auto" w:sz="4" w:space="0"/>
            </w:tcBorders>
            <w:shd w:val="clear" w:color="auto" w:fill="auto"/>
            <w:noWrap/>
            <w:vAlign w:val="center"/>
          </w:tcPr>
          <w:p w14:paraId="632E1E1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44F3AFA9">
        <w:tblPrEx>
          <w:tblCellMar>
            <w:top w:w="0" w:type="dxa"/>
            <w:left w:w="108" w:type="dxa"/>
            <w:bottom w:w="0" w:type="dxa"/>
            <w:right w:w="108" w:type="dxa"/>
          </w:tblCellMar>
        </w:tblPrEx>
        <w:trPr>
          <w:trHeight w:val="680" w:hRule="atLeast"/>
        </w:trPr>
        <w:tc>
          <w:tcPr>
            <w:tcW w:w="729" w:type="dxa"/>
            <w:vMerge w:val="restart"/>
            <w:tcBorders>
              <w:top w:val="nil"/>
              <w:left w:val="single" w:color="auto" w:sz="4" w:space="0"/>
              <w:bottom w:val="single" w:color="000000" w:sz="4" w:space="0"/>
              <w:right w:val="single" w:color="auto" w:sz="4" w:space="0"/>
            </w:tcBorders>
            <w:shd w:val="clear" w:color="auto" w:fill="auto"/>
            <w:noWrap/>
            <w:vAlign w:val="center"/>
          </w:tcPr>
          <w:p w14:paraId="1891CF9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85" w:type="dxa"/>
            <w:vMerge w:val="restart"/>
            <w:tcBorders>
              <w:top w:val="nil"/>
              <w:left w:val="single" w:color="auto" w:sz="4" w:space="0"/>
              <w:bottom w:val="single" w:color="auto" w:sz="4" w:space="0"/>
              <w:right w:val="single" w:color="auto" w:sz="4" w:space="0"/>
            </w:tcBorders>
            <w:shd w:val="clear" w:color="auto" w:fill="auto"/>
            <w:noWrap/>
            <w:vAlign w:val="center"/>
          </w:tcPr>
          <w:p w14:paraId="56D437C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沉降观测</w:t>
            </w:r>
          </w:p>
        </w:tc>
        <w:tc>
          <w:tcPr>
            <w:tcW w:w="1701" w:type="dxa"/>
            <w:tcBorders>
              <w:top w:val="nil"/>
              <w:left w:val="nil"/>
              <w:bottom w:val="single" w:color="auto" w:sz="4" w:space="0"/>
              <w:right w:val="single" w:color="auto" w:sz="4" w:space="0"/>
            </w:tcBorders>
            <w:shd w:val="clear" w:color="auto" w:fill="auto"/>
            <w:noWrap/>
            <w:vAlign w:val="center"/>
          </w:tcPr>
          <w:p w14:paraId="2AE8C54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工作基点考证</w:t>
            </w:r>
          </w:p>
        </w:tc>
        <w:tc>
          <w:tcPr>
            <w:tcW w:w="844" w:type="dxa"/>
            <w:tcBorders>
              <w:top w:val="nil"/>
              <w:left w:val="nil"/>
              <w:bottom w:val="single" w:color="auto" w:sz="4" w:space="0"/>
              <w:right w:val="single" w:color="auto" w:sz="4" w:space="0"/>
            </w:tcBorders>
            <w:shd w:val="clear" w:color="auto" w:fill="auto"/>
            <w:noWrap/>
            <w:vAlign w:val="center"/>
          </w:tcPr>
          <w:p w14:paraId="107EE12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55" w:type="dxa"/>
            <w:tcBorders>
              <w:top w:val="nil"/>
              <w:left w:val="nil"/>
              <w:bottom w:val="single" w:color="auto" w:sz="4" w:space="0"/>
              <w:right w:val="single" w:color="auto" w:sz="4" w:space="0"/>
            </w:tcBorders>
            <w:shd w:val="clear" w:color="auto" w:fill="auto"/>
            <w:noWrap/>
            <w:vAlign w:val="center"/>
          </w:tcPr>
          <w:p w14:paraId="4A4B934A">
            <w:pPr>
              <w:widowControl/>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p>
        </w:tc>
        <w:tc>
          <w:tcPr>
            <w:tcW w:w="1530" w:type="dxa"/>
            <w:tcBorders>
              <w:top w:val="nil"/>
              <w:left w:val="nil"/>
              <w:bottom w:val="single" w:color="auto" w:sz="4" w:space="0"/>
              <w:right w:val="single" w:color="auto" w:sz="4" w:space="0"/>
            </w:tcBorders>
            <w:shd w:val="clear" w:color="auto" w:fill="auto"/>
            <w:noWrap/>
            <w:vAlign w:val="center"/>
          </w:tcPr>
          <w:p w14:paraId="1BBD410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restart"/>
            <w:tcBorders>
              <w:top w:val="nil"/>
              <w:left w:val="single" w:color="auto" w:sz="4" w:space="0"/>
              <w:bottom w:val="single" w:color="000000" w:sz="4" w:space="0"/>
              <w:right w:val="single" w:color="auto" w:sz="4" w:space="0"/>
            </w:tcBorders>
            <w:shd w:val="clear" w:color="auto" w:fill="auto"/>
            <w:vAlign w:val="center"/>
          </w:tcPr>
          <w:p w14:paraId="46E5834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含资料分析、出具相关报告</w:t>
            </w:r>
          </w:p>
        </w:tc>
      </w:tr>
      <w:tr w14:paraId="649FD019">
        <w:tblPrEx>
          <w:tblCellMar>
            <w:top w:w="0" w:type="dxa"/>
            <w:left w:w="108" w:type="dxa"/>
            <w:bottom w:w="0" w:type="dxa"/>
            <w:right w:w="108" w:type="dxa"/>
          </w:tblCellMar>
        </w:tblPrEx>
        <w:trPr>
          <w:trHeight w:val="680" w:hRule="atLeast"/>
        </w:trPr>
        <w:tc>
          <w:tcPr>
            <w:tcW w:w="729" w:type="dxa"/>
            <w:vMerge w:val="continue"/>
            <w:tcBorders>
              <w:top w:val="nil"/>
              <w:left w:val="single" w:color="auto" w:sz="4" w:space="0"/>
              <w:bottom w:val="single" w:color="000000" w:sz="4" w:space="0"/>
              <w:right w:val="single" w:color="auto" w:sz="4" w:space="0"/>
            </w:tcBorders>
            <w:vAlign w:val="center"/>
          </w:tcPr>
          <w:p w14:paraId="2D0C554A">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auto" w:sz="4" w:space="0"/>
              <w:right w:val="single" w:color="auto" w:sz="4" w:space="0"/>
            </w:tcBorders>
            <w:vAlign w:val="center"/>
          </w:tcPr>
          <w:p w14:paraId="150E03ED">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noWrap/>
            <w:vAlign w:val="center"/>
          </w:tcPr>
          <w:p w14:paraId="39CBEE3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沉降点监测</w:t>
            </w:r>
          </w:p>
        </w:tc>
        <w:tc>
          <w:tcPr>
            <w:tcW w:w="844" w:type="dxa"/>
            <w:tcBorders>
              <w:top w:val="nil"/>
              <w:left w:val="nil"/>
              <w:bottom w:val="single" w:color="auto" w:sz="4" w:space="0"/>
              <w:right w:val="single" w:color="auto" w:sz="4" w:space="0"/>
            </w:tcBorders>
            <w:shd w:val="clear" w:color="auto" w:fill="auto"/>
            <w:noWrap/>
            <w:vAlign w:val="center"/>
          </w:tcPr>
          <w:p w14:paraId="4FACEAC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90</w:t>
            </w:r>
          </w:p>
        </w:tc>
        <w:tc>
          <w:tcPr>
            <w:tcW w:w="855" w:type="dxa"/>
            <w:tcBorders>
              <w:top w:val="nil"/>
              <w:left w:val="nil"/>
              <w:bottom w:val="single" w:color="auto" w:sz="4" w:space="0"/>
              <w:right w:val="single" w:color="auto" w:sz="4" w:space="0"/>
            </w:tcBorders>
            <w:shd w:val="clear" w:color="auto" w:fill="auto"/>
            <w:noWrap/>
            <w:vAlign w:val="center"/>
          </w:tcPr>
          <w:p w14:paraId="49EB4412">
            <w:pPr>
              <w:widowControl/>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p>
        </w:tc>
        <w:tc>
          <w:tcPr>
            <w:tcW w:w="1530" w:type="dxa"/>
            <w:tcBorders>
              <w:top w:val="nil"/>
              <w:left w:val="nil"/>
              <w:bottom w:val="single" w:color="auto" w:sz="4" w:space="0"/>
              <w:right w:val="single" w:color="auto" w:sz="4" w:space="0"/>
            </w:tcBorders>
            <w:shd w:val="clear" w:color="auto" w:fill="auto"/>
            <w:noWrap/>
            <w:vAlign w:val="center"/>
          </w:tcPr>
          <w:p w14:paraId="1B20C83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continue"/>
            <w:tcBorders>
              <w:top w:val="nil"/>
              <w:left w:val="single" w:color="auto" w:sz="4" w:space="0"/>
              <w:bottom w:val="single" w:color="000000" w:sz="4" w:space="0"/>
              <w:right w:val="single" w:color="auto" w:sz="4" w:space="0"/>
            </w:tcBorders>
            <w:vAlign w:val="center"/>
          </w:tcPr>
          <w:p w14:paraId="5B1FA1EF">
            <w:pPr>
              <w:widowControl/>
              <w:jc w:val="left"/>
              <w:rPr>
                <w:rFonts w:hint="eastAsia" w:ascii="宋体" w:hAnsi="宋体" w:eastAsia="宋体" w:cs="宋体"/>
                <w:color w:val="auto"/>
                <w:kern w:val="0"/>
                <w:sz w:val="24"/>
                <w:szCs w:val="24"/>
                <w:highlight w:val="none"/>
              </w:rPr>
            </w:pPr>
          </w:p>
        </w:tc>
      </w:tr>
      <w:tr w14:paraId="63F31EE0">
        <w:tblPrEx>
          <w:tblCellMar>
            <w:top w:w="0" w:type="dxa"/>
            <w:left w:w="108" w:type="dxa"/>
            <w:bottom w:w="0" w:type="dxa"/>
            <w:right w:w="108" w:type="dxa"/>
          </w:tblCellMar>
        </w:tblPrEx>
        <w:trPr>
          <w:trHeight w:val="680" w:hRule="atLeast"/>
        </w:trPr>
        <w:tc>
          <w:tcPr>
            <w:tcW w:w="729" w:type="dxa"/>
            <w:vMerge w:val="continue"/>
            <w:tcBorders>
              <w:top w:val="nil"/>
              <w:left w:val="single" w:color="auto" w:sz="4" w:space="0"/>
              <w:bottom w:val="single" w:color="000000" w:sz="4" w:space="0"/>
              <w:right w:val="single" w:color="auto" w:sz="4" w:space="0"/>
            </w:tcBorders>
            <w:vAlign w:val="center"/>
          </w:tcPr>
          <w:p w14:paraId="6DE09F03">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auto" w:sz="4" w:space="0"/>
              <w:right w:val="single" w:color="auto" w:sz="4" w:space="0"/>
            </w:tcBorders>
            <w:vAlign w:val="center"/>
          </w:tcPr>
          <w:p w14:paraId="690DF5CC">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noWrap/>
            <w:vAlign w:val="center"/>
          </w:tcPr>
          <w:p w14:paraId="43CF53C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水准线路</w:t>
            </w:r>
          </w:p>
        </w:tc>
        <w:tc>
          <w:tcPr>
            <w:tcW w:w="844" w:type="dxa"/>
            <w:tcBorders>
              <w:top w:val="nil"/>
              <w:left w:val="nil"/>
              <w:bottom w:val="single" w:color="auto" w:sz="4" w:space="0"/>
              <w:right w:val="single" w:color="auto" w:sz="4" w:space="0"/>
            </w:tcBorders>
            <w:shd w:val="clear" w:color="auto" w:fill="auto"/>
            <w:noWrap/>
            <w:vAlign w:val="center"/>
          </w:tcPr>
          <w:p w14:paraId="6ABEB97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55" w:type="dxa"/>
            <w:tcBorders>
              <w:top w:val="nil"/>
              <w:left w:val="nil"/>
              <w:bottom w:val="single" w:color="auto" w:sz="4" w:space="0"/>
              <w:right w:val="single" w:color="auto" w:sz="4" w:space="0"/>
            </w:tcBorders>
            <w:shd w:val="clear" w:color="auto" w:fill="auto"/>
            <w:noWrap/>
            <w:vAlign w:val="center"/>
          </w:tcPr>
          <w:p w14:paraId="535DA996">
            <w:pPr>
              <w:widowControl/>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p>
        </w:tc>
        <w:tc>
          <w:tcPr>
            <w:tcW w:w="1530" w:type="dxa"/>
            <w:tcBorders>
              <w:top w:val="nil"/>
              <w:left w:val="nil"/>
              <w:bottom w:val="single" w:color="auto" w:sz="4" w:space="0"/>
              <w:right w:val="single" w:color="auto" w:sz="4" w:space="0"/>
            </w:tcBorders>
            <w:shd w:val="clear" w:color="auto" w:fill="auto"/>
            <w:noWrap/>
            <w:vAlign w:val="center"/>
          </w:tcPr>
          <w:p w14:paraId="6768930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continue"/>
            <w:tcBorders>
              <w:top w:val="nil"/>
              <w:left w:val="single" w:color="auto" w:sz="4" w:space="0"/>
              <w:bottom w:val="single" w:color="000000" w:sz="4" w:space="0"/>
              <w:right w:val="single" w:color="auto" w:sz="4" w:space="0"/>
            </w:tcBorders>
            <w:vAlign w:val="center"/>
          </w:tcPr>
          <w:p w14:paraId="5E4DDE62">
            <w:pPr>
              <w:widowControl/>
              <w:jc w:val="left"/>
              <w:rPr>
                <w:rFonts w:hint="eastAsia" w:ascii="宋体" w:hAnsi="宋体" w:eastAsia="宋体" w:cs="宋体"/>
                <w:color w:val="auto"/>
                <w:kern w:val="0"/>
                <w:sz w:val="24"/>
                <w:szCs w:val="24"/>
                <w:highlight w:val="none"/>
              </w:rPr>
            </w:pPr>
          </w:p>
        </w:tc>
      </w:tr>
      <w:tr w14:paraId="19C0282C">
        <w:tblPrEx>
          <w:tblCellMar>
            <w:top w:w="0" w:type="dxa"/>
            <w:left w:w="108" w:type="dxa"/>
            <w:bottom w:w="0" w:type="dxa"/>
            <w:right w:w="108" w:type="dxa"/>
          </w:tblCellMar>
        </w:tblPrEx>
        <w:trPr>
          <w:trHeight w:val="680" w:hRule="atLeast"/>
        </w:trPr>
        <w:tc>
          <w:tcPr>
            <w:tcW w:w="729" w:type="dxa"/>
            <w:vMerge w:val="restart"/>
            <w:tcBorders>
              <w:top w:val="nil"/>
              <w:left w:val="single" w:color="auto" w:sz="4" w:space="0"/>
              <w:bottom w:val="single" w:color="000000" w:sz="4" w:space="0"/>
              <w:right w:val="single" w:color="auto" w:sz="4" w:space="0"/>
            </w:tcBorders>
            <w:shd w:val="clear" w:color="auto" w:fill="auto"/>
            <w:noWrap/>
            <w:vAlign w:val="center"/>
          </w:tcPr>
          <w:p w14:paraId="2F9EE75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5" w:type="dxa"/>
            <w:vMerge w:val="restart"/>
            <w:tcBorders>
              <w:top w:val="nil"/>
              <w:left w:val="single" w:color="auto" w:sz="4" w:space="0"/>
              <w:bottom w:val="single" w:color="000000" w:sz="4" w:space="0"/>
              <w:right w:val="single" w:color="auto" w:sz="4" w:space="0"/>
            </w:tcBorders>
            <w:shd w:val="clear" w:color="auto" w:fill="auto"/>
            <w:noWrap/>
            <w:vAlign w:val="center"/>
          </w:tcPr>
          <w:p w14:paraId="2E0921D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测压管观测</w:t>
            </w:r>
          </w:p>
        </w:tc>
        <w:tc>
          <w:tcPr>
            <w:tcW w:w="1701" w:type="dxa"/>
            <w:tcBorders>
              <w:top w:val="nil"/>
              <w:left w:val="nil"/>
              <w:bottom w:val="single" w:color="auto" w:sz="4" w:space="0"/>
              <w:right w:val="single" w:color="auto" w:sz="4" w:space="0"/>
            </w:tcBorders>
            <w:shd w:val="clear" w:color="auto" w:fill="auto"/>
            <w:noWrap/>
            <w:vAlign w:val="center"/>
          </w:tcPr>
          <w:p w14:paraId="34E2BC6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管口高程考证</w:t>
            </w:r>
          </w:p>
        </w:tc>
        <w:tc>
          <w:tcPr>
            <w:tcW w:w="844" w:type="dxa"/>
            <w:tcBorders>
              <w:top w:val="nil"/>
              <w:left w:val="nil"/>
              <w:bottom w:val="single" w:color="auto" w:sz="4" w:space="0"/>
              <w:right w:val="single" w:color="auto" w:sz="4" w:space="0"/>
            </w:tcBorders>
            <w:shd w:val="clear" w:color="auto" w:fill="auto"/>
            <w:noWrap/>
            <w:vAlign w:val="center"/>
          </w:tcPr>
          <w:p w14:paraId="3A98355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55" w:type="dxa"/>
            <w:tcBorders>
              <w:top w:val="nil"/>
              <w:left w:val="nil"/>
              <w:bottom w:val="single" w:color="auto" w:sz="4" w:space="0"/>
              <w:right w:val="single" w:color="auto" w:sz="4" w:space="0"/>
            </w:tcBorders>
            <w:shd w:val="clear" w:color="auto" w:fill="auto"/>
            <w:noWrap/>
            <w:vAlign w:val="center"/>
          </w:tcPr>
          <w:p w14:paraId="629AE92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30" w:type="dxa"/>
            <w:tcBorders>
              <w:top w:val="nil"/>
              <w:left w:val="nil"/>
              <w:bottom w:val="single" w:color="auto" w:sz="4" w:space="0"/>
              <w:right w:val="single" w:color="auto" w:sz="4" w:space="0"/>
            </w:tcBorders>
            <w:shd w:val="clear" w:color="auto" w:fill="auto"/>
            <w:noWrap/>
            <w:vAlign w:val="center"/>
          </w:tcPr>
          <w:p w14:paraId="2FD271B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每年1次</w:t>
            </w:r>
          </w:p>
        </w:tc>
        <w:tc>
          <w:tcPr>
            <w:tcW w:w="2460" w:type="dxa"/>
            <w:vMerge w:val="restart"/>
            <w:tcBorders>
              <w:top w:val="nil"/>
              <w:left w:val="single" w:color="auto" w:sz="4" w:space="0"/>
              <w:bottom w:val="single" w:color="000000" w:sz="4" w:space="0"/>
              <w:right w:val="single" w:color="auto" w:sz="4" w:space="0"/>
            </w:tcBorders>
            <w:shd w:val="clear" w:color="auto" w:fill="auto"/>
            <w:vAlign w:val="center"/>
          </w:tcPr>
          <w:p w14:paraId="752B0AA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含资料分析、出具相关报告</w:t>
            </w:r>
          </w:p>
        </w:tc>
      </w:tr>
      <w:tr w14:paraId="46D08F3A">
        <w:tblPrEx>
          <w:tblCellMar>
            <w:top w:w="0" w:type="dxa"/>
            <w:left w:w="108" w:type="dxa"/>
            <w:bottom w:w="0" w:type="dxa"/>
            <w:right w:w="108" w:type="dxa"/>
          </w:tblCellMar>
        </w:tblPrEx>
        <w:trPr>
          <w:trHeight w:val="680" w:hRule="atLeast"/>
        </w:trPr>
        <w:tc>
          <w:tcPr>
            <w:tcW w:w="729" w:type="dxa"/>
            <w:vMerge w:val="continue"/>
            <w:tcBorders>
              <w:top w:val="nil"/>
              <w:left w:val="single" w:color="auto" w:sz="4" w:space="0"/>
              <w:bottom w:val="single" w:color="000000" w:sz="4" w:space="0"/>
              <w:right w:val="single" w:color="auto" w:sz="4" w:space="0"/>
            </w:tcBorders>
            <w:vAlign w:val="center"/>
          </w:tcPr>
          <w:p w14:paraId="553362F2">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000000" w:sz="4" w:space="0"/>
              <w:right w:val="single" w:color="auto" w:sz="4" w:space="0"/>
            </w:tcBorders>
            <w:vAlign w:val="center"/>
          </w:tcPr>
          <w:p w14:paraId="775A614C">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vAlign w:val="center"/>
          </w:tcPr>
          <w:p w14:paraId="570B975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测压管进水</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灵敏度试验</w:t>
            </w:r>
          </w:p>
        </w:tc>
        <w:tc>
          <w:tcPr>
            <w:tcW w:w="844" w:type="dxa"/>
            <w:tcBorders>
              <w:top w:val="nil"/>
              <w:left w:val="nil"/>
              <w:bottom w:val="single" w:color="auto" w:sz="4" w:space="0"/>
              <w:right w:val="single" w:color="auto" w:sz="4" w:space="0"/>
            </w:tcBorders>
            <w:shd w:val="clear" w:color="auto" w:fill="auto"/>
            <w:noWrap/>
            <w:vAlign w:val="center"/>
          </w:tcPr>
          <w:p w14:paraId="2B2EC97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55" w:type="dxa"/>
            <w:tcBorders>
              <w:top w:val="nil"/>
              <w:left w:val="nil"/>
              <w:bottom w:val="single" w:color="auto" w:sz="4" w:space="0"/>
              <w:right w:val="single" w:color="auto" w:sz="4" w:space="0"/>
            </w:tcBorders>
            <w:shd w:val="clear" w:color="auto" w:fill="auto"/>
            <w:noWrap/>
            <w:vAlign w:val="center"/>
          </w:tcPr>
          <w:p w14:paraId="35B0671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30" w:type="dxa"/>
            <w:tcBorders>
              <w:top w:val="nil"/>
              <w:left w:val="nil"/>
              <w:bottom w:val="single" w:color="auto" w:sz="4" w:space="0"/>
              <w:right w:val="single" w:color="auto" w:sz="4" w:space="0"/>
            </w:tcBorders>
            <w:shd w:val="clear" w:color="auto" w:fill="auto"/>
            <w:noWrap/>
            <w:vAlign w:val="center"/>
          </w:tcPr>
          <w:p w14:paraId="4FFE015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每年1次</w:t>
            </w:r>
          </w:p>
        </w:tc>
        <w:tc>
          <w:tcPr>
            <w:tcW w:w="2460" w:type="dxa"/>
            <w:vMerge w:val="continue"/>
            <w:tcBorders>
              <w:top w:val="nil"/>
              <w:left w:val="single" w:color="auto" w:sz="4" w:space="0"/>
              <w:bottom w:val="single" w:color="000000" w:sz="4" w:space="0"/>
              <w:right w:val="single" w:color="auto" w:sz="4" w:space="0"/>
            </w:tcBorders>
            <w:vAlign w:val="center"/>
          </w:tcPr>
          <w:p w14:paraId="3EAF966F">
            <w:pPr>
              <w:widowControl/>
              <w:jc w:val="left"/>
              <w:rPr>
                <w:rFonts w:hint="eastAsia" w:ascii="宋体" w:hAnsi="宋体" w:eastAsia="宋体" w:cs="宋体"/>
                <w:color w:val="auto"/>
                <w:kern w:val="0"/>
                <w:sz w:val="24"/>
                <w:szCs w:val="24"/>
                <w:highlight w:val="none"/>
              </w:rPr>
            </w:pPr>
          </w:p>
        </w:tc>
      </w:tr>
      <w:tr w14:paraId="62970EF6">
        <w:tblPrEx>
          <w:tblCellMar>
            <w:top w:w="0" w:type="dxa"/>
            <w:left w:w="108" w:type="dxa"/>
            <w:bottom w:w="0" w:type="dxa"/>
            <w:right w:w="108" w:type="dxa"/>
          </w:tblCellMar>
        </w:tblPrEx>
        <w:trPr>
          <w:trHeight w:val="680" w:hRule="atLeast"/>
        </w:trPr>
        <w:tc>
          <w:tcPr>
            <w:tcW w:w="729" w:type="dxa"/>
            <w:vMerge w:val="continue"/>
            <w:tcBorders>
              <w:top w:val="nil"/>
              <w:left w:val="single" w:color="auto" w:sz="4" w:space="0"/>
              <w:bottom w:val="single" w:color="000000" w:sz="4" w:space="0"/>
              <w:right w:val="single" w:color="auto" w:sz="4" w:space="0"/>
            </w:tcBorders>
            <w:vAlign w:val="center"/>
          </w:tcPr>
          <w:p w14:paraId="51188497">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000000" w:sz="4" w:space="0"/>
              <w:right w:val="single" w:color="auto" w:sz="4" w:space="0"/>
            </w:tcBorders>
            <w:vAlign w:val="center"/>
          </w:tcPr>
          <w:p w14:paraId="154067BC">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vAlign w:val="center"/>
          </w:tcPr>
          <w:p w14:paraId="51978B5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测压管内淤积</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高程观测</w:t>
            </w:r>
          </w:p>
        </w:tc>
        <w:tc>
          <w:tcPr>
            <w:tcW w:w="844" w:type="dxa"/>
            <w:tcBorders>
              <w:top w:val="nil"/>
              <w:left w:val="nil"/>
              <w:bottom w:val="single" w:color="auto" w:sz="4" w:space="0"/>
              <w:right w:val="single" w:color="auto" w:sz="4" w:space="0"/>
            </w:tcBorders>
            <w:shd w:val="clear" w:color="auto" w:fill="auto"/>
            <w:noWrap/>
            <w:vAlign w:val="center"/>
          </w:tcPr>
          <w:p w14:paraId="1670B2A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55" w:type="dxa"/>
            <w:tcBorders>
              <w:top w:val="nil"/>
              <w:left w:val="nil"/>
              <w:bottom w:val="single" w:color="auto" w:sz="4" w:space="0"/>
              <w:right w:val="single" w:color="auto" w:sz="4" w:space="0"/>
            </w:tcBorders>
            <w:shd w:val="clear" w:color="auto" w:fill="auto"/>
            <w:noWrap/>
            <w:vAlign w:val="center"/>
          </w:tcPr>
          <w:p w14:paraId="39FB03F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30" w:type="dxa"/>
            <w:tcBorders>
              <w:top w:val="nil"/>
              <w:left w:val="nil"/>
              <w:bottom w:val="single" w:color="auto" w:sz="4" w:space="0"/>
              <w:right w:val="single" w:color="auto" w:sz="4" w:space="0"/>
            </w:tcBorders>
            <w:shd w:val="clear" w:color="auto" w:fill="auto"/>
            <w:noWrap/>
            <w:vAlign w:val="center"/>
          </w:tcPr>
          <w:p w14:paraId="57944B8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每年1次</w:t>
            </w:r>
          </w:p>
        </w:tc>
        <w:tc>
          <w:tcPr>
            <w:tcW w:w="2460" w:type="dxa"/>
            <w:vMerge w:val="continue"/>
            <w:tcBorders>
              <w:top w:val="nil"/>
              <w:left w:val="single" w:color="auto" w:sz="4" w:space="0"/>
              <w:bottom w:val="single" w:color="000000" w:sz="4" w:space="0"/>
              <w:right w:val="single" w:color="auto" w:sz="4" w:space="0"/>
            </w:tcBorders>
            <w:vAlign w:val="center"/>
          </w:tcPr>
          <w:p w14:paraId="1CD6E568">
            <w:pPr>
              <w:widowControl/>
              <w:jc w:val="left"/>
              <w:rPr>
                <w:rFonts w:hint="eastAsia" w:ascii="宋体" w:hAnsi="宋体" w:eastAsia="宋体" w:cs="宋体"/>
                <w:color w:val="auto"/>
                <w:kern w:val="0"/>
                <w:sz w:val="24"/>
                <w:szCs w:val="24"/>
                <w:highlight w:val="none"/>
              </w:rPr>
            </w:pPr>
          </w:p>
        </w:tc>
      </w:tr>
      <w:tr w14:paraId="19BF1EEC">
        <w:tblPrEx>
          <w:tblCellMar>
            <w:top w:w="0" w:type="dxa"/>
            <w:left w:w="108" w:type="dxa"/>
            <w:bottom w:w="0" w:type="dxa"/>
            <w:right w:w="108" w:type="dxa"/>
          </w:tblCellMar>
        </w:tblPrEx>
        <w:trPr>
          <w:trHeight w:val="680" w:hRule="atLeast"/>
        </w:trPr>
        <w:tc>
          <w:tcPr>
            <w:tcW w:w="729" w:type="dxa"/>
            <w:vMerge w:val="continue"/>
            <w:tcBorders>
              <w:top w:val="nil"/>
              <w:left w:val="single" w:color="auto" w:sz="4" w:space="0"/>
              <w:bottom w:val="single" w:color="000000" w:sz="4" w:space="0"/>
              <w:right w:val="single" w:color="auto" w:sz="4" w:space="0"/>
            </w:tcBorders>
            <w:vAlign w:val="center"/>
          </w:tcPr>
          <w:p w14:paraId="256BE19F">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000000" w:sz="4" w:space="0"/>
              <w:right w:val="single" w:color="auto" w:sz="4" w:space="0"/>
            </w:tcBorders>
            <w:vAlign w:val="center"/>
          </w:tcPr>
          <w:p w14:paraId="192DAFE3">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vAlign w:val="center"/>
          </w:tcPr>
          <w:p w14:paraId="1C6A5AC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管内水位</w:t>
            </w:r>
          </w:p>
          <w:p w14:paraId="43D7103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人工比测</w:t>
            </w:r>
          </w:p>
        </w:tc>
        <w:tc>
          <w:tcPr>
            <w:tcW w:w="844" w:type="dxa"/>
            <w:tcBorders>
              <w:top w:val="nil"/>
              <w:left w:val="nil"/>
              <w:bottom w:val="single" w:color="auto" w:sz="4" w:space="0"/>
              <w:right w:val="single" w:color="auto" w:sz="4" w:space="0"/>
            </w:tcBorders>
            <w:shd w:val="clear" w:color="auto" w:fill="auto"/>
            <w:noWrap/>
            <w:vAlign w:val="center"/>
          </w:tcPr>
          <w:p w14:paraId="2F126BF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55" w:type="dxa"/>
            <w:tcBorders>
              <w:top w:val="nil"/>
              <w:left w:val="nil"/>
              <w:bottom w:val="single" w:color="auto" w:sz="4" w:space="0"/>
              <w:right w:val="single" w:color="auto" w:sz="4" w:space="0"/>
            </w:tcBorders>
            <w:shd w:val="clear" w:color="auto" w:fill="auto"/>
            <w:noWrap/>
            <w:vAlign w:val="center"/>
          </w:tcPr>
          <w:p w14:paraId="78300C7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30" w:type="dxa"/>
            <w:tcBorders>
              <w:top w:val="nil"/>
              <w:left w:val="nil"/>
              <w:bottom w:val="single" w:color="auto" w:sz="4" w:space="0"/>
              <w:right w:val="single" w:color="auto" w:sz="4" w:space="0"/>
            </w:tcBorders>
            <w:shd w:val="clear" w:color="auto" w:fill="auto"/>
            <w:noWrap/>
            <w:vAlign w:val="center"/>
          </w:tcPr>
          <w:p w14:paraId="4B8D3F7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每年2次</w:t>
            </w:r>
          </w:p>
        </w:tc>
        <w:tc>
          <w:tcPr>
            <w:tcW w:w="2460" w:type="dxa"/>
            <w:vMerge w:val="continue"/>
            <w:tcBorders>
              <w:top w:val="nil"/>
              <w:left w:val="single" w:color="auto" w:sz="4" w:space="0"/>
              <w:bottom w:val="single" w:color="000000" w:sz="4" w:space="0"/>
              <w:right w:val="single" w:color="auto" w:sz="4" w:space="0"/>
            </w:tcBorders>
            <w:vAlign w:val="center"/>
          </w:tcPr>
          <w:p w14:paraId="51ED8233">
            <w:pPr>
              <w:widowControl/>
              <w:jc w:val="left"/>
              <w:rPr>
                <w:rFonts w:hint="eastAsia" w:ascii="宋体" w:hAnsi="宋体" w:eastAsia="宋体" w:cs="宋体"/>
                <w:color w:val="auto"/>
                <w:kern w:val="0"/>
                <w:sz w:val="24"/>
                <w:szCs w:val="24"/>
                <w:highlight w:val="none"/>
              </w:rPr>
            </w:pPr>
          </w:p>
        </w:tc>
      </w:tr>
      <w:tr w14:paraId="0F6E9D31">
        <w:tblPrEx>
          <w:tblCellMar>
            <w:top w:w="0" w:type="dxa"/>
            <w:left w:w="108" w:type="dxa"/>
            <w:bottom w:w="0" w:type="dxa"/>
            <w:right w:w="108" w:type="dxa"/>
          </w:tblCellMar>
        </w:tblPrEx>
        <w:trPr>
          <w:trHeight w:val="1020" w:hRule="atLeast"/>
        </w:trPr>
        <w:tc>
          <w:tcPr>
            <w:tcW w:w="729" w:type="dxa"/>
            <w:vMerge w:val="continue"/>
            <w:tcBorders>
              <w:top w:val="nil"/>
              <w:left w:val="single" w:color="auto" w:sz="4" w:space="0"/>
              <w:bottom w:val="single" w:color="000000" w:sz="4" w:space="0"/>
              <w:right w:val="single" w:color="auto" w:sz="4" w:space="0"/>
            </w:tcBorders>
            <w:vAlign w:val="center"/>
          </w:tcPr>
          <w:p w14:paraId="656F2B74">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000000" w:sz="4" w:space="0"/>
              <w:right w:val="single" w:color="auto" w:sz="4" w:space="0"/>
            </w:tcBorders>
            <w:vAlign w:val="center"/>
          </w:tcPr>
          <w:p w14:paraId="2EC05DA8">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vAlign w:val="center"/>
          </w:tcPr>
          <w:p w14:paraId="7EFB3CD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测压管数据分析</w:t>
            </w:r>
          </w:p>
        </w:tc>
        <w:tc>
          <w:tcPr>
            <w:tcW w:w="844" w:type="dxa"/>
            <w:tcBorders>
              <w:top w:val="nil"/>
              <w:left w:val="nil"/>
              <w:bottom w:val="single" w:color="auto" w:sz="4" w:space="0"/>
              <w:right w:val="single" w:color="auto" w:sz="4" w:space="0"/>
            </w:tcBorders>
            <w:shd w:val="clear" w:color="auto" w:fill="auto"/>
            <w:noWrap/>
            <w:vAlign w:val="center"/>
          </w:tcPr>
          <w:p w14:paraId="58CAD23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855" w:type="dxa"/>
            <w:tcBorders>
              <w:top w:val="nil"/>
              <w:left w:val="nil"/>
              <w:bottom w:val="single" w:color="auto" w:sz="4" w:space="0"/>
              <w:right w:val="single" w:color="auto" w:sz="4" w:space="0"/>
            </w:tcBorders>
            <w:shd w:val="clear" w:color="auto" w:fill="auto"/>
            <w:noWrap/>
            <w:vAlign w:val="center"/>
          </w:tcPr>
          <w:p w14:paraId="76A8358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30" w:type="dxa"/>
            <w:tcBorders>
              <w:top w:val="nil"/>
              <w:left w:val="nil"/>
              <w:bottom w:val="single" w:color="auto" w:sz="4" w:space="0"/>
              <w:right w:val="single" w:color="auto" w:sz="4" w:space="0"/>
            </w:tcBorders>
            <w:shd w:val="clear" w:color="auto" w:fill="auto"/>
            <w:noWrap/>
            <w:vAlign w:val="center"/>
          </w:tcPr>
          <w:p w14:paraId="51EB3D2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每年1次</w:t>
            </w:r>
          </w:p>
        </w:tc>
        <w:tc>
          <w:tcPr>
            <w:tcW w:w="2460" w:type="dxa"/>
            <w:tcBorders>
              <w:top w:val="nil"/>
              <w:left w:val="nil"/>
              <w:bottom w:val="single" w:color="auto" w:sz="4" w:space="0"/>
              <w:right w:val="single" w:color="auto" w:sz="4" w:space="0"/>
            </w:tcBorders>
            <w:shd w:val="clear" w:color="auto" w:fill="auto"/>
            <w:vAlign w:val="center"/>
          </w:tcPr>
          <w:p w14:paraId="0F36933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每根测压管每月4天数据分析</w:t>
            </w:r>
          </w:p>
        </w:tc>
      </w:tr>
      <w:tr w14:paraId="02DACA0D">
        <w:tblPrEx>
          <w:tblCellMar>
            <w:top w:w="0" w:type="dxa"/>
            <w:left w:w="108" w:type="dxa"/>
            <w:bottom w:w="0" w:type="dxa"/>
            <w:right w:w="108" w:type="dxa"/>
          </w:tblCellMar>
        </w:tblPrEx>
        <w:trPr>
          <w:trHeight w:val="1425" w:hRule="atLeast"/>
        </w:trPr>
        <w:tc>
          <w:tcPr>
            <w:tcW w:w="729" w:type="dxa"/>
            <w:tcBorders>
              <w:top w:val="nil"/>
              <w:left w:val="single" w:color="auto" w:sz="4" w:space="0"/>
              <w:bottom w:val="single" w:color="auto" w:sz="4" w:space="0"/>
              <w:right w:val="single" w:color="auto" w:sz="4" w:space="0"/>
            </w:tcBorders>
            <w:shd w:val="clear" w:color="auto" w:fill="auto"/>
            <w:noWrap/>
            <w:vAlign w:val="center"/>
          </w:tcPr>
          <w:p w14:paraId="60E3DF9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085" w:type="dxa"/>
            <w:tcBorders>
              <w:top w:val="nil"/>
              <w:left w:val="nil"/>
              <w:bottom w:val="single" w:color="auto" w:sz="4" w:space="0"/>
              <w:right w:val="single" w:color="auto" w:sz="4" w:space="0"/>
            </w:tcBorders>
            <w:shd w:val="clear" w:color="auto" w:fill="auto"/>
            <w:noWrap/>
            <w:vAlign w:val="center"/>
          </w:tcPr>
          <w:p w14:paraId="3B56DF2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测压管清淤</w:t>
            </w:r>
          </w:p>
        </w:tc>
        <w:tc>
          <w:tcPr>
            <w:tcW w:w="1701" w:type="dxa"/>
            <w:tcBorders>
              <w:top w:val="nil"/>
              <w:left w:val="nil"/>
              <w:bottom w:val="single" w:color="auto" w:sz="4" w:space="0"/>
              <w:right w:val="single" w:color="auto" w:sz="4" w:space="0"/>
            </w:tcBorders>
            <w:shd w:val="clear" w:color="auto" w:fill="auto"/>
            <w:vAlign w:val="center"/>
          </w:tcPr>
          <w:p w14:paraId="6F9DA58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测压管管内</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淤积清理</w:t>
            </w:r>
          </w:p>
        </w:tc>
        <w:tc>
          <w:tcPr>
            <w:tcW w:w="844" w:type="dxa"/>
            <w:tcBorders>
              <w:top w:val="nil"/>
              <w:left w:val="nil"/>
              <w:bottom w:val="single" w:color="auto" w:sz="4" w:space="0"/>
              <w:right w:val="single" w:color="auto" w:sz="4" w:space="0"/>
            </w:tcBorders>
            <w:shd w:val="clear" w:color="auto" w:fill="auto"/>
            <w:noWrap/>
            <w:vAlign w:val="center"/>
          </w:tcPr>
          <w:p w14:paraId="46261AF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55" w:type="dxa"/>
            <w:tcBorders>
              <w:top w:val="nil"/>
              <w:left w:val="nil"/>
              <w:bottom w:val="single" w:color="auto" w:sz="4" w:space="0"/>
              <w:right w:val="single" w:color="auto" w:sz="4" w:space="0"/>
            </w:tcBorders>
            <w:shd w:val="clear" w:color="auto" w:fill="auto"/>
            <w:noWrap/>
            <w:vAlign w:val="center"/>
          </w:tcPr>
          <w:p w14:paraId="7FABE42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30" w:type="dxa"/>
            <w:tcBorders>
              <w:top w:val="nil"/>
              <w:left w:val="nil"/>
              <w:bottom w:val="single" w:color="auto" w:sz="4" w:space="0"/>
              <w:right w:val="single" w:color="auto" w:sz="4" w:space="0"/>
            </w:tcBorders>
            <w:shd w:val="clear" w:color="auto" w:fill="auto"/>
            <w:noWrap/>
            <w:vAlign w:val="center"/>
          </w:tcPr>
          <w:p w14:paraId="56F4563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每年1次</w:t>
            </w:r>
          </w:p>
        </w:tc>
        <w:tc>
          <w:tcPr>
            <w:tcW w:w="2460" w:type="dxa"/>
            <w:tcBorders>
              <w:top w:val="nil"/>
              <w:left w:val="nil"/>
              <w:bottom w:val="single" w:color="auto" w:sz="4" w:space="0"/>
              <w:right w:val="single" w:color="auto" w:sz="4" w:space="0"/>
            </w:tcBorders>
            <w:shd w:val="clear" w:color="auto" w:fill="auto"/>
            <w:vAlign w:val="center"/>
          </w:tcPr>
          <w:p w14:paraId="5EE0DDE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对指定的测压管进行管内清淤，提交清淤前后的相关数据及记录资料</w:t>
            </w:r>
          </w:p>
        </w:tc>
      </w:tr>
      <w:tr w14:paraId="17F5B026">
        <w:tblPrEx>
          <w:tblCellMar>
            <w:top w:w="0" w:type="dxa"/>
            <w:left w:w="108" w:type="dxa"/>
            <w:bottom w:w="0" w:type="dxa"/>
            <w:right w:w="108" w:type="dxa"/>
          </w:tblCellMar>
        </w:tblPrEx>
        <w:trPr>
          <w:trHeight w:val="799" w:hRule="atLeast"/>
        </w:trPr>
        <w:tc>
          <w:tcPr>
            <w:tcW w:w="729" w:type="dxa"/>
            <w:vMerge w:val="restart"/>
            <w:tcBorders>
              <w:top w:val="nil"/>
              <w:left w:val="single" w:color="auto" w:sz="4" w:space="0"/>
              <w:bottom w:val="single" w:color="000000" w:sz="4" w:space="0"/>
              <w:right w:val="single" w:color="auto" w:sz="4" w:space="0"/>
            </w:tcBorders>
            <w:shd w:val="clear" w:color="auto" w:fill="auto"/>
            <w:noWrap/>
            <w:vAlign w:val="center"/>
          </w:tcPr>
          <w:p w14:paraId="58630C5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085" w:type="dxa"/>
            <w:vMerge w:val="restart"/>
            <w:tcBorders>
              <w:top w:val="nil"/>
              <w:left w:val="single" w:color="auto" w:sz="4" w:space="0"/>
              <w:bottom w:val="single" w:color="000000" w:sz="4" w:space="0"/>
              <w:right w:val="single" w:color="auto" w:sz="4" w:space="0"/>
            </w:tcBorders>
            <w:shd w:val="clear" w:color="auto" w:fill="auto"/>
            <w:noWrap/>
            <w:vAlign w:val="center"/>
          </w:tcPr>
          <w:p w14:paraId="1A7E1F7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水平位移观测</w:t>
            </w:r>
          </w:p>
        </w:tc>
        <w:tc>
          <w:tcPr>
            <w:tcW w:w="1701" w:type="dxa"/>
            <w:tcBorders>
              <w:top w:val="nil"/>
              <w:left w:val="nil"/>
              <w:bottom w:val="single" w:color="auto" w:sz="4" w:space="0"/>
              <w:right w:val="single" w:color="auto" w:sz="4" w:space="0"/>
            </w:tcBorders>
            <w:shd w:val="clear" w:color="auto" w:fill="auto"/>
            <w:vAlign w:val="center"/>
          </w:tcPr>
          <w:p w14:paraId="4A4FFD4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工作基点考证</w:t>
            </w:r>
          </w:p>
        </w:tc>
        <w:tc>
          <w:tcPr>
            <w:tcW w:w="844" w:type="dxa"/>
            <w:tcBorders>
              <w:top w:val="nil"/>
              <w:left w:val="nil"/>
              <w:bottom w:val="single" w:color="auto" w:sz="4" w:space="0"/>
              <w:right w:val="single" w:color="auto" w:sz="4" w:space="0"/>
            </w:tcBorders>
            <w:shd w:val="clear" w:color="auto" w:fill="auto"/>
            <w:noWrap/>
            <w:vAlign w:val="center"/>
          </w:tcPr>
          <w:p w14:paraId="5F87EF2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55" w:type="dxa"/>
            <w:tcBorders>
              <w:top w:val="nil"/>
              <w:left w:val="nil"/>
              <w:bottom w:val="single" w:color="auto" w:sz="4" w:space="0"/>
              <w:right w:val="single" w:color="auto" w:sz="4" w:space="0"/>
            </w:tcBorders>
            <w:shd w:val="clear" w:color="auto" w:fill="auto"/>
            <w:noWrap/>
            <w:vAlign w:val="center"/>
          </w:tcPr>
          <w:p w14:paraId="413CC2F6">
            <w:pPr>
              <w:widowControl/>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p>
        </w:tc>
        <w:tc>
          <w:tcPr>
            <w:tcW w:w="1530" w:type="dxa"/>
            <w:tcBorders>
              <w:top w:val="nil"/>
              <w:left w:val="nil"/>
              <w:bottom w:val="single" w:color="auto" w:sz="4" w:space="0"/>
              <w:right w:val="single" w:color="auto" w:sz="4" w:space="0"/>
            </w:tcBorders>
            <w:shd w:val="clear" w:color="auto" w:fill="auto"/>
            <w:noWrap/>
            <w:vAlign w:val="center"/>
          </w:tcPr>
          <w:p w14:paraId="0227CFF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restart"/>
            <w:tcBorders>
              <w:top w:val="nil"/>
              <w:left w:val="single" w:color="auto" w:sz="4" w:space="0"/>
              <w:bottom w:val="single" w:color="000000" w:sz="4" w:space="0"/>
              <w:right w:val="single" w:color="auto" w:sz="4" w:space="0"/>
            </w:tcBorders>
            <w:shd w:val="clear" w:color="auto" w:fill="auto"/>
            <w:vAlign w:val="center"/>
          </w:tcPr>
          <w:p w14:paraId="6D98650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含资料分析、出具相关报告</w:t>
            </w:r>
          </w:p>
        </w:tc>
      </w:tr>
      <w:tr w14:paraId="33409549">
        <w:tblPrEx>
          <w:tblCellMar>
            <w:top w:w="0" w:type="dxa"/>
            <w:left w:w="108" w:type="dxa"/>
            <w:bottom w:w="0" w:type="dxa"/>
            <w:right w:w="108" w:type="dxa"/>
          </w:tblCellMar>
        </w:tblPrEx>
        <w:trPr>
          <w:trHeight w:val="799" w:hRule="atLeast"/>
        </w:trPr>
        <w:tc>
          <w:tcPr>
            <w:tcW w:w="729" w:type="dxa"/>
            <w:vMerge w:val="continue"/>
            <w:tcBorders>
              <w:top w:val="nil"/>
              <w:left w:val="single" w:color="auto" w:sz="4" w:space="0"/>
              <w:bottom w:val="single" w:color="000000" w:sz="4" w:space="0"/>
              <w:right w:val="single" w:color="auto" w:sz="4" w:space="0"/>
            </w:tcBorders>
            <w:vAlign w:val="center"/>
          </w:tcPr>
          <w:p w14:paraId="0038CE40">
            <w:pPr>
              <w:widowControl/>
              <w:jc w:val="left"/>
              <w:rPr>
                <w:rFonts w:hint="eastAsia" w:ascii="宋体" w:hAnsi="宋体" w:eastAsia="宋体" w:cs="宋体"/>
                <w:color w:val="auto"/>
                <w:kern w:val="0"/>
                <w:sz w:val="24"/>
                <w:szCs w:val="24"/>
                <w:highlight w:val="none"/>
              </w:rPr>
            </w:pPr>
          </w:p>
        </w:tc>
        <w:tc>
          <w:tcPr>
            <w:tcW w:w="1085" w:type="dxa"/>
            <w:vMerge w:val="continue"/>
            <w:tcBorders>
              <w:top w:val="nil"/>
              <w:left w:val="single" w:color="auto" w:sz="4" w:space="0"/>
              <w:bottom w:val="single" w:color="000000" w:sz="4" w:space="0"/>
              <w:right w:val="single" w:color="auto" w:sz="4" w:space="0"/>
            </w:tcBorders>
            <w:vAlign w:val="center"/>
          </w:tcPr>
          <w:p w14:paraId="0217213D">
            <w:pPr>
              <w:widowControl/>
              <w:jc w:val="left"/>
              <w:rPr>
                <w:rFonts w:hint="eastAsia" w:ascii="宋体" w:hAnsi="宋体" w:eastAsia="宋体" w:cs="宋体"/>
                <w:color w:val="auto"/>
                <w:kern w:val="0"/>
                <w:sz w:val="24"/>
                <w:szCs w:val="24"/>
                <w:highlight w:val="none"/>
              </w:rPr>
            </w:pPr>
          </w:p>
        </w:tc>
        <w:tc>
          <w:tcPr>
            <w:tcW w:w="1701" w:type="dxa"/>
            <w:tcBorders>
              <w:top w:val="nil"/>
              <w:left w:val="nil"/>
              <w:bottom w:val="single" w:color="auto" w:sz="4" w:space="0"/>
              <w:right w:val="single" w:color="auto" w:sz="4" w:space="0"/>
            </w:tcBorders>
            <w:shd w:val="clear" w:color="auto" w:fill="auto"/>
            <w:vAlign w:val="center"/>
          </w:tcPr>
          <w:p w14:paraId="5141496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水平位移监测</w:t>
            </w:r>
          </w:p>
        </w:tc>
        <w:tc>
          <w:tcPr>
            <w:tcW w:w="844" w:type="dxa"/>
            <w:tcBorders>
              <w:top w:val="nil"/>
              <w:left w:val="nil"/>
              <w:bottom w:val="single" w:color="auto" w:sz="4" w:space="0"/>
              <w:right w:val="single" w:color="auto" w:sz="4" w:space="0"/>
            </w:tcBorders>
            <w:shd w:val="clear" w:color="auto" w:fill="auto"/>
            <w:noWrap/>
            <w:vAlign w:val="center"/>
          </w:tcPr>
          <w:p w14:paraId="3F1FF43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855" w:type="dxa"/>
            <w:tcBorders>
              <w:top w:val="nil"/>
              <w:left w:val="nil"/>
              <w:bottom w:val="single" w:color="auto" w:sz="4" w:space="0"/>
              <w:right w:val="single" w:color="auto" w:sz="4" w:space="0"/>
            </w:tcBorders>
            <w:shd w:val="clear" w:color="auto" w:fill="auto"/>
            <w:noWrap/>
            <w:vAlign w:val="center"/>
          </w:tcPr>
          <w:p w14:paraId="474FC80A">
            <w:pPr>
              <w:widowControl/>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p>
        </w:tc>
        <w:tc>
          <w:tcPr>
            <w:tcW w:w="1530" w:type="dxa"/>
            <w:tcBorders>
              <w:top w:val="nil"/>
              <w:left w:val="nil"/>
              <w:bottom w:val="single" w:color="auto" w:sz="4" w:space="0"/>
              <w:right w:val="single" w:color="auto" w:sz="4" w:space="0"/>
            </w:tcBorders>
            <w:shd w:val="clear" w:color="auto" w:fill="auto"/>
            <w:noWrap/>
            <w:vAlign w:val="center"/>
          </w:tcPr>
          <w:p w14:paraId="5F5AA7D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次</w:t>
            </w:r>
          </w:p>
        </w:tc>
        <w:tc>
          <w:tcPr>
            <w:tcW w:w="2460" w:type="dxa"/>
            <w:vMerge w:val="continue"/>
            <w:tcBorders>
              <w:top w:val="nil"/>
              <w:left w:val="single" w:color="auto" w:sz="4" w:space="0"/>
              <w:bottom w:val="single" w:color="000000" w:sz="4" w:space="0"/>
              <w:right w:val="single" w:color="auto" w:sz="4" w:space="0"/>
            </w:tcBorders>
            <w:vAlign w:val="center"/>
          </w:tcPr>
          <w:p w14:paraId="0252ED3D">
            <w:pPr>
              <w:widowControl/>
              <w:jc w:val="left"/>
              <w:rPr>
                <w:rFonts w:hint="eastAsia" w:ascii="宋体" w:hAnsi="宋体" w:eastAsia="宋体" w:cs="宋体"/>
                <w:color w:val="auto"/>
                <w:kern w:val="0"/>
                <w:sz w:val="24"/>
                <w:szCs w:val="24"/>
                <w:highlight w:val="none"/>
              </w:rPr>
            </w:pPr>
          </w:p>
        </w:tc>
      </w:tr>
      <w:tr w14:paraId="7F59B93E">
        <w:tblPrEx>
          <w:tblCellMar>
            <w:top w:w="0" w:type="dxa"/>
            <w:left w:w="108" w:type="dxa"/>
            <w:bottom w:w="0" w:type="dxa"/>
            <w:right w:w="108" w:type="dxa"/>
          </w:tblCellMar>
        </w:tblPrEx>
        <w:trPr>
          <w:trHeight w:val="799" w:hRule="atLeast"/>
        </w:trPr>
        <w:tc>
          <w:tcPr>
            <w:tcW w:w="729" w:type="dxa"/>
            <w:tcBorders>
              <w:top w:val="nil"/>
              <w:left w:val="single" w:color="auto" w:sz="4" w:space="0"/>
              <w:bottom w:val="single" w:color="auto" w:sz="4" w:space="0"/>
              <w:right w:val="single" w:color="auto" w:sz="4" w:space="0"/>
            </w:tcBorders>
            <w:shd w:val="clear" w:color="auto" w:fill="auto"/>
            <w:noWrap/>
            <w:vAlign w:val="center"/>
          </w:tcPr>
          <w:p w14:paraId="3D87708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085" w:type="dxa"/>
            <w:tcBorders>
              <w:top w:val="nil"/>
              <w:left w:val="nil"/>
              <w:bottom w:val="single" w:color="auto" w:sz="4" w:space="0"/>
              <w:right w:val="single" w:color="auto" w:sz="4" w:space="0"/>
            </w:tcBorders>
            <w:shd w:val="clear" w:color="auto" w:fill="auto"/>
            <w:noWrap/>
            <w:vAlign w:val="center"/>
          </w:tcPr>
          <w:p w14:paraId="463012C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伸缩缝</w:t>
            </w:r>
          </w:p>
        </w:tc>
        <w:tc>
          <w:tcPr>
            <w:tcW w:w="1701" w:type="dxa"/>
            <w:tcBorders>
              <w:top w:val="nil"/>
              <w:left w:val="nil"/>
              <w:bottom w:val="single" w:color="auto" w:sz="4" w:space="0"/>
              <w:right w:val="single" w:color="auto" w:sz="4" w:space="0"/>
            </w:tcBorders>
            <w:shd w:val="clear" w:color="auto" w:fill="auto"/>
            <w:vAlign w:val="center"/>
          </w:tcPr>
          <w:p w14:paraId="1AC5BE07">
            <w:pPr>
              <w:widowControl/>
              <w:jc w:val="center"/>
              <w:rPr>
                <w:rFonts w:hint="eastAsia" w:ascii="宋体" w:hAnsi="宋体" w:eastAsia="宋体" w:cs="宋体"/>
                <w:color w:val="auto"/>
                <w:kern w:val="0"/>
                <w:sz w:val="24"/>
                <w:szCs w:val="24"/>
                <w:highlight w:val="none"/>
              </w:rPr>
            </w:pPr>
          </w:p>
        </w:tc>
        <w:tc>
          <w:tcPr>
            <w:tcW w:w="844" w:type="dxa"/>
            <w:tcBorders>
              <w:top w:val="nil"/>
              <w:left w:val="nil"/>
              <w:bottom w:val="single" w:color="auto" w:sz="4" w:space="0"/>
              <w:right w:val="single" w:color="auto" w:sz="4" w:space="0"/>
            </w:tcBorders>
            <w:shd w:val="clear" w:color="auto" w:fill="auto"/>
            <w:noWrap/>
            <w:vAlign w:val="center"/>
          </w:tcPr>
          <w:p w14:paraId="776BCB0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55" w:type="dxa"/>
            <w:tcBorders>
              <w:top w:val="nil"/>
              <w:left w:val="nil"/>
              <w:bottom w:val="single" w:color="auto" w:sz="4" w:space="0"/>
              <w:right w:val="single" w:color="auto" w:sz="4" w:space="0"/>
            </w:tcBorders>
            <w:shd w:val="clear" w:color="auto" w:fill="auto"/>
            <w:noWrap/>
            <w:vAlign w:val="center"/>
          </w:tcPr>
          <w:p w14:paraId="49D0D2B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30" w:type="dxa"/>
            <w:tcBorders>
              <w:top w:val="nil"/>
              <w:left w:val="nil"/>
              <w:bottom w:val="single" w:color="auto" w:sz="4" w:space="0"/>
              <w:right w:val="single" w:color="auto" w:sz="4" w:space="0"/>
            </w:tcBorders>
            <w:shd w:val="clear" w:color="auto" w:fill="auto"/>
            <w:noWrap/>
            <w:vAlign w:val="center"/>
          </w:tcPr>
          <w:p w14:paraId="2F594A8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每季度一次</w:t>
            </w:r>
          </w:p>
        </w:tc>
        <w:tc>
          <w:tcPr>
            <w:tcW w:w="2460" w:type="dxa"/>
            <w:tcBorders>
              <w:top w:val="nil"/>
              <w:left w:val="nil"/>
              <w:bottom w:val="single" w:color="auto" w:sz="4" w:space="0"/>
              <w:right w:val="single" w:color="auto" w:sz="4" w:space="0"/>
            </w:tcBorders>
            <w:shd w:val="clear" w:color="auto" w:fill="auto"/>
            <w:vAlign w:val="center"/>
          </w:tcPr>
          <w:p w14:paraId="06D8B17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含资料分析、出具相关报告</w:t>
            </w:r>
          </w:p>
        </w:tc>
      </w:tr>
      <w:tr w14:paraId="0AA6F0FD">
        <w:tblPrEx>
          <w:tblCellMar>
            <w:top w:w="0" w:type="dxa"/>
            <w:left w:w="108" w:type="dxa"/>
            <w:bottom w:w="0" w:type="dxa"/>
            <w:right w:w="108" w:type="dxa"/>
          </w:tblCellMar>
        </w:tblPrEx>
        <w:trPr>
          <w:trHeight w:val="799" w:hRule="atLeast"/>
        </w:trPr>
        <w:tc>
          <w:tcPr>
            <w:tcW w:w="729" w:type="dxa"/>
            <w:tcBorders>
              <w:top w:val="nil"/>
              <w:left w:val="single" w:color="auto" w:sz="4" w:space="0"/>
              <w:bottom w:val="single" w:color="auto" w:sz="4" w:space="0"/>
              <w:right w:val="single" w:color="auto" w:sz="4" w:space="0"/>
            </w:tcBorders>
            <w:shd w:val="clear" w:color="auto" w:fill="auto"/>
            <w:noWrap/>
            <w:vAlign w:val="center"/>
          </w:tcPr>
          <w:p w14:paraId="5C6D1EC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085" w:type="dxa"/>
            <w:tcBorders>
              <w:top w:val="nil"/>
              <w:left w:val="nil"/>
              <w:bottom w:val="single" w:color="auto" w:sz="4" w:space="0"/>
              <w:right w:val="single" w:color="auto" w:sz="4" w:space="0"/>
            </w:tcBorders>
            <w:shd w:val="clear" w:color="auto" w:fill="auto"/>
            <w:noWrap/>
            <w:vAlign w:val="center"/>
          </w:tcPr>
          <w:p w14:paraId="51E3771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水尺水位比测</w:t>
            </w:r>
          </w:p>
        </w:tc>
        <w:tc>
          <w:tcPr>
            <w:tcW w:w="1701" w:type="dxa"/>
            <w:tcBorders>
              <w:top w:val="nil"/>
              <w:left w:val="nil"/>
              <w:bottom w:val="single" w:color="auto" w:sz="4" w:space="0"/>
              <w:right w:val="single" w:color="auto" w:sz="4" w:space="0"/>
            </w:tcBorders>
            <w:shd w:val="clear" w:color="auto" w:fill="auto"/>
            <w:vAlign w:val="center"/>
          </w:tcPr>
          <w:p w14:paraId="61A74CA4">
            <w:pPr>
              <w:widowControl/>
              <w:jc w:val="center"/>
              <w:rPr>
                <w:rFonts w:hint="eastAsia" w:ascii="宋体" w:hAnsi="宋体" w:eastAsia="宋体" w:cs="宋体"/>
                <w:color w:val="auto"/>
                <w:kern w:val="0"/>
                <w:sz w:val="24"/>
                <w:szCs w:val="24"/>
                <w:highlight w:val="none"/>
              </w:rPr>
            </w:pPr>
          </w:p>
        </w:tc>
        <w:tc>
          <w:tcPr>
            <w:tcW w:w="844" w:type="dxa"/>
            <w:tcBorders>
              <w:top w:val="nil"/>
              <w:left w:val="nil"/>
              <w:bottom w:val="single" w:color="auto" w:sz="4" w:space="0"/>
              <w:right w:val="single" w:color="auto" w:sz="4" w:space="0"/>
            </w:tcBorders>
            <w:shd w:val="clear" w:color="auto" w:fill="auto"/>
            <w:noWrap/>
            <w:vAlign w:val="center"/>
          </w:tcPr>
          <w:p w14:paraId="74F05953">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855" w:type="dxa"/>
            <w:tcBorders>
              <w:top w:val="nil"/>
              <w:left w:val="nil"/>
              <w:bottom w:val="single" w:color="auto" w:sz="4" w:space="0"/>
              <w:right w:val="single" w:color="auto" w:sz="4" w:space="0"/>
            </w:tcBorders>
            <w:shd w:val="clear" w:color="auto" w:fill="auto"/>
            <w:noWrap/>
            <w:vAlign w:val="center"/>
          </w:tcPr>
          <w:p w14:paraId="3E43755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30" w:type="dxa"/>
            <w:tcBorders>
              <w:top w:val="nil"/>
              <w:left w:val="nil"/>
              <w:bottom w:val="single" w:color="auto" w:sz="4" w:space="0"/>
              <w:right w:val="single" w:color="auto" w:sz="4" w:space="0"/>
            </w:tcBorders>
            <w:shd w:val="clear" w:color="auto" w:fill="auto"/>
            <w:noWrap/>
            <w:vAlign w:val="center"/>
          </w:tcPr>
          <w:p w14:paraId="15C45A0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每季度一次</w:t>
            </w:r>
          </w:p>
        </w:tc>
        <w:tc>
          <w:tcPr>
            <w:tcW w:w="2460" w:type="dxa"/>
            <w:tcBorders>
              <w:top w:val="nil"/>
              <w:left w:val="nil"/>
              <w:bottom w:val="single" w:color="auto" w:sz="4" w:space="0"/>
              <w:right w:val="single" w:color="auto" w:sz="4" w:space="0"/>
            </w:tcBorders>
            <w:shd w:val="clear" w:color="auto" w:fill="auto"/>
            <w:vAlign w:val="center"/>
          </w:tcPr>
          <w:p w14:paraId="30D01BD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含现场校准、配合调试</w:t>
            </w:r>
          </w:p>
        </w:tc>
      </w:tr>
    </w:tbl>
    <w:p w14:paraId="546AEF7C">
      <w:pPr>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第九条  合同价款支付</w:t>
      </w:r>
    </w:p>
    <w:p w14:paraId="76750BF2">
      <w:pPr>
        <w:spacing w:line="48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lang w:eastAsia="zh-CN"/>
        </w:rPr>
        <w:t>2026</w:t>
      </w:r>
      <w:r>
        <w:rPr>
          <w:rFonts w:hint="eastAsia" w:ascii="宋体" w:hAnsi="宋体" w:cs="宋体"/>
          <w:bCs/>
          <w:color w:val="auto"/>
          <w:sz w:val="24"/>
          <w:highlight w:val="none"/>
        </w:rPr>
        <w:t>年5月底完成相应</w:t>
      </w:r>
      <w:r>
        <w:rPr>
          <w:rFonts w:hint="eastAsia" w:ascii="宋体" w:hAnsi="宋体" w:cs="宋体"/>
          <w:bCs/>
          <w:color w:val="auto"/>
          <w:sz w:val="24"/>
          <w:highlight w:val="none"/>
          <w:lang w:val="en-US" w:eastAsia="zh-CN"/>
        </w:rPr>
        <w:t>监测</w:t>
      </w:r>
      <w:r>
        <w:rPr>
          <w:rFonts w:hint="eastAsia" w:ascii="宋体" w:hAnsi="宋体" w:cs="宋体"/>
          <w:bCs/>
          <w:color w:val="auto"/>
          <w:sz w:val="24"/>
          <w:highlight w:val="none"/>
        </w:rPr>
        <w:t>任务，提交相应监测成果资料并经采购人审查符合要求后付合同价的50%。本项目服务期限结束、涉及的所有服务内容完成、所有资料汇总整编并通过采购人组织的</w:t>
      </w:r>
      <w:r>
        <w:rPr>
          <w:rFonts w:hint="eastAsia" w:ascii="宋体" w:hAnsi="宋体" w:cs="宋体"/>
          <w:bCs/>
          <w:color w:val="auto"/>
          <w:sz w:val="24"/>
          <w:highlight w:val="none"/>
          <w:lang w:val="en-US" w:eastAsia="zh-CN"/>
        </w:rPr>
        <w:t>审查</w:t>
      </w:r>
      <w:r>
        <w:rPr>
          <w:rFonts w:hint="eastAsia" w:ascii="宋体" w:hAnsi="宋体" w:cs="宋体"/>
          <w:bCs/>
          <w:color w:val="auto"/>
          <w:sz w:val="24"/>
          <w:highlight w:val="none"/>
        </w:rPr>
        <w:t>后（11月底前完成），付清余款。</w:t>
      </w:r>
    </w:p>
    <w:p w14:paraId="13FB0E0D">
      <w:pPr>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第十条  甲方违约责任</w:t>
      </w:r>
    </w:p>
    <w:p w14:paraId="0BA64373">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1、合同签订后，甲方应履约实施本项目。</w:t>
      </w:r>
    </w:p>
    <w:p w14:paraId="5ACFF63A">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2、对于乙方提供的图纸等资料以及属于乙方的观测成果，甲方有义务保密，不得向第三方提供或用于本合同以外的项目，否则乙方有权对因此造成的损失追究责任。</w:t>
      </w:r>
    </w:p>
    <w:p w14:paraId="4E35B21F">
      <w:pPr>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第十一条  乙方违约责任</w:t>
      </w:r>
    </w:p>
    <w:p w14:paraId="31B0DF1A">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1、合同生效后，如乙方擅自中途停止或解除合同，甲方有权向乙方索赔。</w:t>
      </w:r>
    </w:p>
    <w:p w14:paraId="493C7E76">
      <w:pPr>
        <w:spacing w:line="48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、乙方未能按合同规定的日期提交观测成果时，应向甲方偿付拖期损失费，每天的拖期损失费按本合同约定的工程总价款的1%计算。</w:t>
      </w:r>
    </w:p>
    <w:p w14:paraId="4316C557">
      <w:pPr>
        <w:spacing w:line="48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乙方提供的观测成果质量不合格，乙方应负责无偿给予重测或采取补救措施，以达到质量要求。因观测成果质量不符合合同约定的要求（而又非甲方提供的图纸资料原因所致）造成后果时，乙方应对因此造成的直接损失负赔偿责任，并承担相应的法律责任（由于甲方提供的图纸资料原因产生的责任由甲方自己负责）。</w:t>
      </w:r>
    </w:p>
    <w:p w14:paraId="3DC8268C">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4、对于甲方提供的图纸和技术资料以及属于甲方的观测成果，乙方有义务保密，不得向第三方转让，否则，甲方有权对因此造成的损失追究责任。</w:t>
      </w:r>
    </w:p>
    <w:p w14:paraId="5BB13979">
      <w:pPr>
        <w:spacing w:line="48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、本项目不允许分包或转包，乙方若有分包或转包的情况，经甲方核实后，甲方有权取消其中标权利。</w:t>
      </w:r>
    </w:p>
    <w:p w14:paraId="4E6CFD33">
      <w:pPr>
        <w:tabs>
          <w:tab w:val="left" w:pos="709"/>
        </w:tabs>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 xml:space="preserve">第十二条  </w:t>
      </w:r>
      <w:r>
        <w:rPr>
          <w:rFonts w:hint="eastAsia" w:ascii="宋体" w:hAnsi="宋体" w:cs="宋体"/>
          <w:color w:val="auto"/>
          <w:sz w:val="24"/>
          <w:highlight w:val="none"/>
        </w:rPr>
        <w:t>由于不可抗力，致使合同无法履行时，双方应按有关法律规定及时协商处理。</w:t>
      </w:r>
    </w:p>
    <w:p w14:paraId="5D655AC4">
      <w:pPr>
        <w:tabs>
          <w:tab w:val="left" w:pos="709"/>
        </w:tabs>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 xml:space="preserve">第十三条 </w:t>
      </w:r>
      <w:r>
        <w:rPr>
          <w:rFonts w:ascii="宋体" w:hAnsi="宋体" w:cs="宋体"/>
          <w:b/>
          <w:color w:val="auto"/>
          <w:sz w:val="24"/>
          <w:highlight w:val="none"/>
        </w:rPr>
        <w:t xml:space="preserve"> </w:t>
      </w:r>
      <w:r>
        <w:rPr>
          <w:rFonts w:hint="eastAsia" w:ascii="宋体" w:hAnsi="宋体" w:cs="宋体"/>
          <w:color w:val="auto"/>
          <w:sz w:val="24"/>
          <w:highlight w:val="none"/>
        </w:rPr>
        <w:t>本合同执行过程中的未尽事宜，双方应本着实事求是友好协商的态度加以解决。双方协商一致的，签订补充协议。补充协议和本合同具有同等效力。</w:t>
      </w:r>
    </w:p>
    <w:p w14:paraId="7E78F69B">
      <w:pPr>
        <w:tabs>
          <w:tab w:val="left" w:pos="709"/>
        </w:tabs>
        <w:spacing w:line="480" w:lineRule="exact"/>
        <w:ind w:firstLine="480" w:firstLineChars="200"/>
        <w:jc w:val="left"/>
        <w:rPr>
          <w:rFonts w:hint="eastAsia" w:ascii="宋体" w:hAnsi="宋体" w:cs="宋体"/>
          <w:color w:val="auto"/>
          <w:sz w:val="24"/>
          <w:highlight w:val="none"/>
        </w:rPr>
      </w:pPr>
      <w:r>
        <w:rPr>
          <w:rFonts w:hint="eastAsia" w:ascii="宋体" w:hAnsi="宋体" w:cs="宋体"/>
          <w:b/>
          <w:color w:val="auto"/>
          <w:sz w:val="24"/>
          <w:highlight w:val="none"/>
        </w:rPr>
        <w:t xml:space="preserve">第十四条 </w:t>
      </w:r>
      <w:r>
        <w:rPr>
          <w:rFonts w:ascii="宋体" w:hAnsi="宋体" w:cs="宋体"/>
          <w:b/>
          <w:color w:val="auto"/>
          <w:sz w:val="24"/>
          <w:highlight w:val="none"/>
        </w:rPr>
        <w:t xml:space="preserve"> </w:t>
      </w:r>
      <w:r>
        <w:rPr>
          <w:rFonts w:hint="eastAsia" w:ascii="宋体" w:hAnsi="宋体" w:cs="宋体"/>
          <w:color w:val="auto"/>
          <w:sz w:val="24"/>
          <w:highlight w:val="none"/>
        </w:rPr>
        <w:t>因合同执行过程中双方发生纠纷，可由双方协商解决或由双方主管部门调解，若达不成协议，双方同意就本合同产生的纠纷向仲裁委员会申请仲裁（当事人双方不在合同约定仲裁机构的，事后又没有达成书面仲裁协议的，可向有管辖权的人民法院起诉）。</w:t>
      </w:r>
    </w:p>
    <w:p w14:paraId="3D9BCD89">
      <w:pPr>
        <w:kinsoku w:val="0"/>
        <w:topLinePunct/>
        <w:autoSpaceDE w:val="0"/>
        <w:autoSpaceDN w:val="0"/>
        <w:snapToGrid w:val="0"/>
        <w:spacing w:line="360" w:lineRule="auto"/>
        <w:ind w:right="210" w:firstLine="513" w:firstLineChars="214"/>
        <w:contextualSpacing/>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第十五条</w:t>
      </w:r>
      <w:r>
        <w:rPr>
          <w:rFonts w:hint="eastAsia" w:ascii="宋体" w:hAnsi="宋体" w:cs="宋体"/>
          <w:b/>
          <w:color w:val="auto"/>
          <w:sz w:val="24"/>
          <w:highlight w:val="none"/>
          <w:lang w:val="en-US" w:eastAsia="zh-CN"/>
        </w:rPr>
        <w:t xml:space="preserve">  </w:t>
      </w:r>
      <w:r>
        <w:rPr>
          <w:rFonts w:hint="eastAsia" w:ascii="宋体" w:hAnsi="宋体"/>
          <w:b/>
          <w:color w:val="auto"/>
          <w:sz w:val="24"/>
          <w:highlight w:val="none"/>
        </w:rPr>
        <w:t>按照《南通市市级预算单位政府采购内部控制制度规范》第十章“政府采购合同”第五十四条之规定“在预算保障的前提下，对于购买内容相对固定、连续性强、经费来源稳定、价格变化幅度小的政府购买服务项目，可以签订不超过3年的政府购买服务合同”。采购人可视情况与中标人续签下一年度合同，一年一签，不超过3年。</w:t>
      </w:r>
    </w:p>
    <w:p w14:paraId="589B3DCE">
      <w:pPr>
        <w:tabs>
          <w:tab w:val="left" w:pos="709"/>
        </w:tabs>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 xml:space="preserve">条 </w:t>
      </w:r>
      <w:r>
        <w:rPr>
          <w:rFonts w:ascii="宋体" w:hAnsi="宋体" w:cs="宋体"/>
          <w:b/>
          <w:color w:val="auto"/>
          <w:sz w:val="24"/>
          <w:highlight w:val="none"/>
        </w:rPr>
        <w:t xml:space="preserve"> </w:t>
      </w:r>
      <w:r>
        <w:rPr>
          <w:rFonts w:hint="eastAsia" w:ascii="宋体" w:hAnsi="宋体" w:cs="宋体"/>
          <w:b/>
          <w:color w:val="auto"/>
          <w:sz w:val="24"/>
          <w:highlight w:val="none"/>
        </w:rPr>
        <w:t>附则</w:t>
      </w:r>
    </w:p>
    <w:p w14:paraId="2B1374DD">
      <w:pPr>
        <w:tabs>
          <w:tab w:val="left" w:pos="709"/>
        </w:tabs>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1、本合同由双方代表签字，加盖双方公章或合同专用章即生效。全部成果交接完毕和观测工作费结算完成后，本合同终止。</w:t>
      </w:r>
    </w:p>
    <w:p w14:paraId="1E88EF28">
      <w:pPr>
        <w:tabs>
          <w:tab w:val="left" w:pos="709"/>
        </w:tabs>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2、本合同一式  肆  份，甲乙双方各执  贰  份。</w:t>
      </w:r>
    </w:p>
    <w:p w14:paraId="5AA1C7B7">
      <w:pPr>
        <w:tabs>
          <w:tab w:val="left" w:pos="709"/>
        </w:tabs>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3、合同签订地点：</w:t>
      </w:r>
    </w:p>
    <w:p w14:paraId="466896E6">
      <w:pPr>
        <w:tabs>
          <w:tab w:val="left" w:pos="709"/>
        </w:tabs>
        <w:spacing w:line="480" w:lineRule="exact"/>
        <w:ind w:firstLine="480" w:firstLineChars="200"/>
        <w:jc w:val="left"/>
        <w:rPr>
          <w:rFonts w:ascii="宋体" w:hAnsi="宋体" w:cs="宋体"/>
          <w:color w:val="auto"/>
          <w:sz w:val="24"/>
          <w:highlight w:val="none"/>
        </w:rPr>
      </w:pPr>
    </w:p>
    <w:p w14:paraId="1A58FD9D">
      <w:pPr>
        <w:tabs>
          <w:tab w:val="left" w:pos="709"/>
        </w:tabs>
        <w:spacing w:line="480" w:lineRule="exact"/>
        <w:ind w:firstLine="480" w:firstLineChars="200"/>
        <w:jc w:val="left"/>
        <w:rPr>
          <w:rFonts w:hint="eastAsia" w:ascii="宋体" w:hAnsi="宋体" w:cs="宋体"/>
          <w:color w:val="auto"/>
          <w:sz w:val="24"/>
          <w:highlight w:val="none"/>
        </w:rPr>
      </w:pPr>
    </w:p>
    <w:p w14:paraId="7A7FD280">
      <w:pPr>
        <w:tabs>
          <w:tab w:val="left" w:pos="709"/>
        </w:tabs>
        <w:spacing w:line="480" w:lineRule="exact"/>
        <w:ind w:firstLine="458" w:firstLineChars="191"/>
        <w:jc w:val="left"/>
        <w:rPr>
          <w:rFonts w:ascii="宋体" w:hAnsi="宋体" w:cs="宋体"/>
          <w:color w:val="auto"/>
          <w:sz w:val="24"/>
          <w:highlight w:val="none"/>
        </w:rPr>
      </w:pPr>
      <w:r>
        <w:rPr>
          <w:rFonts w:hint="eastAsia" w:ascii="宋体" w:hAnsi="宋体" w:cs="宋体"/>
          <w:color w:val="auto"/>
          <w:sz w:val="24"/>
          <w:highlight w:val="none"/>
        </w:rPr>
        <w:t>甲方单位名称（盖章）                乙方单位名称（盖章）</w:t>
      </w:r>
    </w:p>
    <w:p w14:paraId="0DBA06C2">
      <w:pPr>
        <w:tabs>
          <w:tab w:val="left" w:pos="709"/>
        </w:tabs>
        <w:spacing w:line="480" w:lineRule="exact"/>
        <w:ind w:firstLine="458" w:firstLineChars="191"/>
        <w:jc w:val="left"/>
        <w:rPr>
          <w:rFonts w:ascii="宋体" w:hAnsi="宋体" w:cs="宋体"/>
          <w:color w:val="auto"/>
          <w:sz w:val="24"/>
          <w:highlight w:val="none"/>
        </w:rPr>
      </w:pPr>
      <w:r>
        <w:rPr>
          <w:rFonts w:hint="eastAsia" w:ascii="宋体" w:hAnsi="宋体" w:cs="宋体"/>
          <w:color w:val="auto"/>
          <w:sz w:val="24"/>
          <w:highlight w:val="none"/>
        </w:rPr>
        <w:t>法定代表人（或委托代理人）          法定代表人（或委托代理人）</w:t>
      </w:r>
    </w:p>
    <w:p w14:paraId="09D4D828">
      <w:pPr>
        <w:tabs>
          <w:tab w:val="left" w:pos="709"/>
        </w:tabs>
        <w:spacing w:line="480" w:lineRule="exact"/>
        <w:ind w:firstLine="1176" w:firstLineChars="490"/>
        <w:jc w:val="left"/>
        <w:rPr>
          <w:rFonts w:ascii="宋体" w:hAnsi="宋体" w:cs="宋体"/>
          <w:color w:val="auto"/>
          <w:sz w:val="24"/>
          <w:highlight w:val="none"/>
        </w:rPr>
      </w:pPr>
      <w:r>
        <w:rPr>
          <w:rFonts w:hint="eastAsia" w:ascii="宋体" w:hAnsi="宋体" w:cs="宋体"/>
          <w:color w:val="auto"/>
          <w:sz w:val="24"/>
          <w:highlight w:val="none"/>
        </w:rPr>
        <w:t xml:space="preserve">签字：                              签字：    </w:t>
      </w:r>
      <w:r>
        <w:rPr>
          <w:rFonts w:ascii="宋体" w:hAnsi="宋体" w:cs="宋体"/>
          <w:color w:val="auto"/>
          <w:sz w:val="24"/>
          <w:highlight w:val="none"/>
        </w:rPr>
        <w:t xml:space="preserve">    </w:t>
      </w:r>
    </w:p>
    <w:p w14:paraId="440520E6">
      <w:pPr>
        <w:tabs>
          <w:tab w:val="left" w:pos="709"/>
        </w:tabs>
        <w:spacing w:line="480" w:lineRule="exact"/>
        <w:ind w:firstLine="1176" w:firstLineChars="490"/>
        <w:jc w:val="left"/>
        <w:rPr>
          <w:rFonts w:ascii="宋体" w:hAnsi="宋体" w:cs="宋体"/>
          <w:color w:val="auto"/>
          <w:sz w:val="24"/>
          <w:highlight w:val="none"/>
        </w:rPr>
      </w:pPr>
    </w:p>
    <w:p w14:paraId="786EF630">
      <w:pPr>
        <w:tabs>
          <w:tab w:val="left" w:pos="709"/>
        </w:tabs>
        <w:spacing w:line="480" w:lineRule="exact"/>
        <w:ind w:firstLine="1176" w:firstLineChars="490"/>
        <w:jc w:val="left"/>
        <w:rPr>
          <w:rFonts w:ascii="宋体" w:hAnsi="宋体" w:cs="宋体"/>
          <w:color w:val="auto"/>
          <w:sz w:val="24"/>
          <w:highlight w:val="none"/>
        </w:rPr>
      </w:pPr>
    </w:p>
    <w:p w14:paraId="629E4F17">
      <w:pP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合同订立时间：     年 </w:t>
      </w:r>
      <w:r>
        <w:rPr>
          <w:rFonts w:ascii="宋体" w:hAnsi="宋体" w:cs="宋体"/>
          <w:color w:val="auto"/>
          <w:sz w:val="24"/>
          <w:highlight w:val="none"/>
        </w:rPr>
        <w:t xml:space="preserve">   </w:t>
      </w:r>
      <w:r>
        <w:rPr>
          <w:rFonts w:hint="eastAsia" w:ascii="宋体" w:hAnsi="宋体" w:cs="宋体"/>
          <w:color w:val="auto"/>
          <w:sz w:val="24"/>
          <w:highlight w:val="none"/>
        </w:rPr>
        <w:t xml:space="preserve"> 月  </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5AEF7CE3">
      <w:pPr>
        <w:spacing w:line="480" w:lineRule="exact"/>
        <w:jc w:val="right"/>
        <w:rPr>
          <w:rFonts w:hint="eastAsia" w:ascii="宋体" w:hAnsi="宋体" w:cs="宋体"/>
          <w:color w:val="auto"/>
          <w:sz w:val="24"/>
          <w:highlight w:val="none"/>
        </w:rPr>
      </w:pPr>
    </w:p>
    <w:p w14:paraId="3139CDEA">
      <w:pPr>
        <w:spacing w:line="480" w:lineRule="exact"/>
        <w:jc w:val="right"/>
        <w:rPr>
          <w:rFonts w:hint="eastAsia" w:ascii="宋体" w:hAnsi="宋体" w:cs="宋体"/>
          <w:color w:val="auto"/>
          <w:sz w:val="24"/>
          <w:highlight w:val="none"/>
          <w:lang w:val="zh-CN"/>
        </w:rPr>
      </w:pPr>
    </w:p>
    <w:p w14:paraId="3C13A5B4">
      <w:pPr>
        <w:rPr>
          <w:rStyle w:val="124"/>
          <w:rFonts w:hint="default"/>
          <w:bCs/>
          <w:color w:val="auto"/>
          <w:sz w:val="28"/>
          <w:szCs w:val="28"/>
          <w:highlight w:val="none"/>
        </w:rPr>
      </w:pPr>
    </w:p>
    <w:p w14:paraId="07302FAD">
      <w:pPr>
        <w:rPr>
          <w:rStyle w:val="124"/>
          <w:rFonts w:hint="default"/>
          <w:color w:val="auto"/>
          <w:sz w:val="28"/>
          <w:szCs w:val="28"/>
          <w:highlight w:val="none"/>
        </w:rPr>
      </w:pPr>
      <w:r>
        <w:rPr>
          <w:rStyle w:val="124"/>
          <w:rFonts w:hint="default"/>
          <w:color w:val="auto"/>
          <w:sz w:val="28"/>
          <w:szCs w:val="28"/>
          <w:highlight w:val="none"/>
        </w:rPr>
        <w:br w:type="page"/>
      </w:r>
    </w:p>
    <w:p w14:paraId="3F0C7C60">
      <w:pPr>
        <w:pStyle w:val="63"/>
        <w:rPr>
          <w:rStyle w:val="124"/>
          <w:rFonts w:hint="default"/>
          <w:color w:val="auto"/>
          <w:sz w:val="28"/>
          <w:szCs w:val="28"/>
          <w:highlight w:val="none"/>
        </w:rPr>
      </w:pPr>
      <w:r>
        <w:rPr>
          <w:rStyle w:val="124"/>
          <w:rFonts w:hint="default"/>
          <w:color w:val="auto"/>
          <w:sz w:val="28"/>
          <w:szCs w:val="28"/>
          <w:highlight w:val="none"/>
        </w:rPr>
        <w:t>第六章  合同授予</w:t>
      </w:r>
    </w:p>
    <w:p w14:paraId="4F6949DB">
      <w:pPr>
        <w:snapToGrid w:val="0"/>
        <w:spacing w:line="360" w:lineRule="auto"/>
        <w:ind w:firstLine="480" w:firstLineChars="200"/>
        <w:rPr>
          <w:rFonts w:ascii="宋体" w:hAnsi="宋体"/>
          <w:color w:val="auto"/>
          <w:sz w:val="24"/>
          <w:highlight w:val="none"/>
        </w:rPr>
      </w:pPr>
      <w:r>
        <w:rPr>
          <w:rFonts w:ascii="宋体" w:hAnsi="宋体"/>
          <w:b/>
          <w:color w:val="auto"/>
          <w:sz w:val="24"/>
          <w:highlight w:val="none"/>
        </w:rPr>
        <w:t>一</w:t>
      </w:r>
      <w:r>
        <w:rPr>
          <w:rFonts w:ascii="宋体" w:hAnsi="宋体"/>
          <w:color w:val="auto"/>
          <w:sz w:val="24"/>
          <w:highlight w:val="none"/>
        </w:rPr>
        <w:t>、中标供应商和采购人在发出《中标通知书》后</w:t>
      </w:r>
      <w:r>
        <w:rPr>
          <w:rFonts w:hint="eastAsia" w:ascii="宋体" w:hAnsi="宋体"/>
          <w:color w:val="auto"/>
          <w:sz w:val="24"/>
          <w:highlight w:val="none"/>
          <w:lang w:val="en-US" w:eastAsia="zh-CN"/>
        </w:rPr>
        <w:t>30</w:t>
      </w:r>
      <w:r>
        <w:rPr>
          <w:rFonts w:ascii="宋体" w:hAnsi="宋体"/>
          <w:color w:val="auto"/>
          <w:sz w:val="24"/>
          <w:highlight w:val="none"/>
        </w:rPr>
        <w:t>日内签订合同。合同签订后中标供应商方可履约，否则引起的一切后果由中标供应商自行承担。</w:t>
      </w:r>
      <w:r>
        <w:rPr>
          <w:rFonts w:ascii="宋体" w:hAnsi="宋体"/>
          <w:color w:val="auto"/>
          <w:sz w:val="24"/>
          <w:highlight w:val="none"/>
          <w:lang w:val="zh-CN"/>
        </w:rPr>
        <w:t>所签合同不得对采购文件作实质性修改</w:t>
      </w:r>
      <w:r>
        <w:rPr>
          <w:rFonts w:ascii="宋体" w:hAnsi="宋体"/>
          <w:color w:val="auto"/>
          <w:sz w:val="24"/>
          <w:highlight w:val="none"/>
        </w:rPr>
        <w:t>。采购人不得向中标供应商提出不合理的要求作为签订合同的条件，不得与中标供应商私下订立背离采购文件实质性内容的协议。</w:t>
      </w:r>
    </w:p>
    <w:p w14:paraId="451736B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的原则上5个工作日内支付相应款项。</w:t>
      </w:r>
    </w:p>
    <w:p w14:paraId="17B955EA">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三、采购人故意推迟项目验收时间的，与中标供应商串通或要求中标供应商</w:t>
      </w:r>
      <w:r>
        <w:rPr>
          <w:rFonts w:ascii="宋体" w:hAnsi="宋体"/>
          <w:color w:val="auto"/>
          <w:kern w:val="0"/>
          <w:sz w:val="24"/>
          <w:szCs w:val="18"/>
          <w:highlight w:val="none"/>
          <w:lang w:bidi="zh-CN"/>
        </w:rPr>
        <w:t>通过减少货物数量或降低服务标准的，在履行合同中采取更改配置、调换物品等手段的，</w:t>
      </w:r>
      <w:r>
        <w:rPr>
          <w:rFonts w:ascii="宋体" w:hAnsi="宋体"/>
          <w:color w:val="auto"/>
          <w:sz w:val="24"/>
          <w:highlight w:val="none"/>
        </w:rPr>
        <w:t>要求中标供应商出具虚假发票或任意更改销售发票的，谋取不正当利益的，承担相应的法律责任。</w:t>
      </w:r>
    </w:p>
    <w:p w14:paraId="752C653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14:paraId="0597F70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五、不响应付款方式的，视同无效投标处理。</w:t>
      </w:r>
    </w:p>
    <w:p w14:paraId="7581DA1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每次付款前，中标供应商须根据结算金额按国家有关财税规定开出合法发票交采购方办理付款手续。</w:t>
      </w:r>
    </w:p>
    <w:p w14:paraId="7ABD37D7">
      <w:pPr>
        <w:kinsoku w:val="0"/>
        <w:topLinePunct/>
        <w:autoSpaceDE w:val="0"/>
        <w:autoSpaceDN w:val="0"/>
        <w:snapToGrid w:val="0"/>
        <w:spacing w:line="360" w:lineRule="auto"/>
        <w:ind w:right="210" w:firstLine="513" w:firstLineChars="214"/>
        <w:contextualSpacing/>
        <w:rPr>
          <w:rFonts w:ascii="宋体" w:hAnsi="宋体"/>
          <w:b/>
          <w:color w:val="auto"/>
          <w:sz w:val="24"/>
          <w:highlight w:val="none"/>
        </w:rPr>
      </w:pPr>
      <w:r>
        <w:rPr>
          <w:rFonts w:hint="eastAsia" w:ascii="宋体" w:hAnsi="宋体"/>
          <w:b/>
          <w:color w:val="auto"/>
          <w:sz w:val="24"/>
          <w:highlight w:val="none"/>
        </w:rPr>
        <w:t>六、其他：</w:t>
      </w:r>
    </w:p>
    <w:p w14:paraId="09EDAD61">
      <w:pPr>
        <w:snapToGrid w:val="0"/>
        <w:spacing w:line="360" w:lineRule="auto"/>
        <w:ind w:firstLine="480" w:firstLineChars="200"/>
        <w:rPr>
          <w:rFonts w:hint="eastAsia" w:ascii="宋体" w:hAnsi="宋体"/>
          <w:b/>
          <w:color w:val="auto"/>
          <w:sz w:val="24"/>
          <w:highlight w:val="none"/>
        </w:rPr>
      </w:pPr>
      <w:r>
        <w:rPr>
          <w:rFonts w:hint="eastAsia" w:ascii="宋体" w:hAnsi="宋体"/>
          <w:b/>
          <w:color w:val="auto"/>
          <w:sz w:val="24"/>
          <w:highlight w:val="none"/>
        </w:rPr>
        <w:t>按照《南通市市级预算单位政府采购内部控制制度规范》第十章“政府采购合同”第五十四条之规定“在预算保障的前提下，对于购买内容相对固定、连续性强、经费来源稳定、价格变化幅度小的政府购买服务项目，可以签订不超过3年的政府购买服务合同”。采购人可视情况与中标人续签下一年度合同，一年一签，不超过3年。</w:t>
      </w:r>
    </w:p>
    <w:p w14:paraId="26DBCF59">
      <w:pPr>
        <w:pStyle w:val="63"/>
        <w:rPr>
          <w:rStyle w:val="124"/>
          <w:rFonts w:hint="default"/>
          <w:bCs w:val="0"/>
          <w:color w:val="auto"/>
          <w:sz w:val="28"/>
          <w:szCs w:val="28"/>
          <w:highlight w:val="none"/>
        </w:rPr>
      </w:pPr>
      <w:r>
        <w:rPr>
          <w:rFonts w:ascii="宋体"/>
          <w:color w:val="auto"/>
          <w:sz w:val="24"/>
          <w:highlight w:val="none"/>
        </w:rPr>
        <w:br w:type="page"/>
      </w:r>
      <w:r>
        <w:rPr>
          <w:rStyle w:val="124"/>
          <w:rFonts w:hint="default"/>
          <w:color w:val="auto"/>
          <w:sz w:val="28"/>
          <w:szCs w:val="28"/>
          <w:highlight w:val="none"/>
        </w:rPr>
        <w:t>第七章  质疑提出和处理</w:t>
      </w:r>
    </w:p>
    <w:p w14:paraId="461CE56B">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rPr>
      </w:pPr>
      <w:r>
        <w:rPr>
          <w:rFonts w:ascii="宋体" w:hAnsi="宋体"/>
          <w:b/>
          <w:color w:val="auto"/>
          <w:kern w:val="0"/>
          <w:sz w:val="24"/>
          <w:highlight w:val="none"/>
        </w:rPr>
        <w:t>一、质疑的提出</w:t>
      </w:r>
    </w:p>
    <w:p w14:paraId="4DDD7CC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(一)质疑人的身份要求 </w:t>
      </w:r>
    </w:p>
    <w:p w14:paraId="5ABED8D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1.质疑人必须是直接参加本次招标活动的当事人。</w:t>
      </w:r>
    </w:p>
    <w:p w14:paraId="53764FF7">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2.未参加投标活动的供应商或在投标活动中自身权益未受到损害的供应商所提出的质疑不予受理。</w:t>
      </w:r>
    </w:p>
    <w:p w14:paraId="3BBC3EF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(二)质疑提出的格式要求</w:t>
      </w:r>
    </w:p>
    <w:p w14:paraId="6037B9D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4A68C69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2.质疑函应包括：</w:t>
      </w:r>
    </w:p>
    <w:p w14:paraId="7E7D04C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（1）质疑投标人的名称、地址、邮编、联系人及联系电话；</w:t>
      </w:r>
    </w:p>
    <w:p w14:paraId="5805BD3D">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（2）具体、明确的质疑事项及明确的请求；</w:t>
      </w:r>
    </w:p>
    <w:p w14:paraId="285E774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（3）质疑的事实依据和必要的法律依据；</w:t>
      </w:r>
    </w:p>
    <w:p w14:paraId="7E61499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（4）提起质疑的日期；</w:t>
      </w:r>
    </w:p>
    <w:p w14:paraId="744A7B9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（5）认为自己合法权益受到损害或可能受到损害的相关证据材料；</w:t>
      </w:r>
    </w:p>
    <w:p w14:paraId="642569F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196D858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3.质疑函需遵循的原则：</w:t>
      </w:r>
    </w:p>
    <w:p w14:paraId="02EA3B4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8FEFE6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（三）质疑提出的时效要求</w:t>
      </w:r>
    </w:p>
    <w:p w14:paraId="5CE2F4A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14:paraId="3BC0755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（1）对可以质疑的采购文件提出质疑的，为收到采购文件之日或者采购文件公告期限届满之日；</w:t>
      </w:r>
    </w:p>
    <w:p w14:paraId="22CD35F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（2）对采购过程提出质疑的，为各采购程序环节结束之日；</w:t>
      </w:r>
    </w:p>
    <w:p w14:paraId="2C4DDC5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（3）对中标或者成交结果提出质疑的，为中标或者成交结果公告期限届满之日。</w:t>
      </w:r>
    </w:p>
    <w:p w14:paraId="067D294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5CD5C08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2.投标人应在法定质疑期一次性提出针对同一采购程序环节的质疑。</w:t>
      </w:r>
    </w:p>
    <w:p w14:paraId="3980F7A5">
      <w:pPr>
        <w:autoSpaceDE w:val="0"/>
        <w:autoSpaceDN w:val="0"/>
        <w:adjustRightInd w:val="0"/>
        <w:snapToGrid w:val="0"/>
        <w:spacing w:line="360" w:lineRule="auto"/>
        <w:ind w:firstLine="480" w:firstLineChars="200"/>
        <w:contextualSpacing/>
        <w:jc w:val="left"/>
        <w:rPr>
          <w:rFonts w:ascii="宋体" w:hAnsi="宋体"/>
          <w:b/>
          <w:color w:val="auto"/>
          <w:sz w:val="24"/>
          <w:highlight w:val="none"/>
        </w:rPr>
      </w:pPr>
      <w:r>
        <w:rPr>
          <w:rFonts w:ascii="宋体" w:hAnsi="宋体"/>
          <w:b/>
          <w:color w:val="auto"/>
          <w:sz w:val="24"/>
          <w:highlight w:val="none"/>
        </w:rPr>
        <w:t>二、《质疑函》的受理和回复</w:t>
      </w:r>
    </w:p>
    <w:p w14:paraId="5BAD3FE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1.收到质疑函后，采购人将对质疑的形式和内容进行审查，如质疑函内容、格式不符合规定，采购人将告知质疑人进行补正。</w:t>
      </w:r>
    </w:p>
    <w:p w14:paraId="4CD1FB5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 质疑人应当在法定质疑期限内进行补正并重新提交质疑函，拒不补正或者在法定期限内未重新提交质疑函的，为无效质疑，采购人将不予受理。</w:t>
      </w:r>
    </w:p>
    <w:p w14:paraId="0DA27E4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3.采购人或采购代理机构答复供应商质疑应当采用书面方式并依法送达，质疑供应商或其委托代理人拒绝签收的视为已经送达。</w:t>
      </w:r>
    </w:p>
    <w:p w14:paraId="16CAEE75">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三、质疑处理</w:t>
      </w:r>
    </w:p>
    <w:p w14:paraId="6202E186">
      <w:pPr>
        <w:autoSpaceDE w:val="0"/>
        <w:autoSpaceDN w:val="0"/>
        <w:adjustRightInd w:val="0"/>
        <w:snapToGrid w:val="0"/>
        <w:spacing w:line="360" w:lineRule="auto"/>
        <w:ind w:firstLine="480" w:firstLineChars="200"/>
        <w:contextualSpacing/>
        <w:jc w:val="left"/>
        <w:rPr>
          <w:rFonts w:ascii="宋体" w:hAnsi="宋体"/>
          <w:b/>
          <w:color w:val="auto"/>
          <w:sz w:val="24"/>
          <w:highlight w:val="none"/>
        </w:rPr>
      </w:pPr>
      <w:r>
        <w:rPr>
          <w:rFonts w:ascii="宋体" w:hAnsi="宋体"/>
          <w:b/>
          <w:color w:val="auto"/>
          <w:sz w:val="24"/>
          <w:highlight w:val="none"/>
        </w:rPr>
        <w:t>1、质疑成立的处理。</w:t>
      </w:r>
    </w:p>
    <w:p w14:paraId="4F1D70F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（1）对于内容、格式符合规定的质疑函，采购人在收到投标供应商的书面质疑后七个工作日内作出书面答复，但答复的内容不得涉及商业秘密。</w:t>
      </w:r>
    </w:p>
    <w:p w14:paraId="6AA0D82A">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（2）对采购文件提出的质疑，依法通过澄清或者修改可以继续开展采购活动的，澄清或者修改采购文件后继续开展采购活动；否则应当修改采购文件后重新开展采购活动。</w:t>
      </w:r>
    </w:p>
    <w:p w14:paraId="2BC35CF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（3）对采购过程、中标或者成交结果提出的质疑，合格供应商符合法定数量时，可以从合格的中标候选人中另行确定中标、</w:t>
      </w:r>
      <w:r>
        <w:rPr>
          <w:rFonts w:hint="eastAsia" w:ascii="宋体" w:hAnsi="宋体"/>
          <w:color w:val="auto"/>
          <w:sz w:val="24"/>
          <w:highlight w:val="none"/>
        </w:rPr>
        <w:t>中标人</w:t>
      </w:r>
      <w:r>
        <w:rPr>
          <w:rFonts w:ascii="宋体" w:hAnsi="宋体"/>
          <w:color w:val="auto"/>
          <w:sz w:val="24"/>
          <w:highlight w:val="none"/>
        </w:rPr>
        <w:t>，或重新开展采购活动。</w:t>
      </w:r>
    </w:p>
    <w:p w14:paraId="59563F7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质疑答复导致中标、成交结果改变的，采购人或者采购代理机构应当将有关情况书面报告本级财政部门。</w:t>
      </w:r>
    </w:p>
    <w:p w14:paraId="7051E6DF">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2、质疑不成立的处理。</w:t>
      </w:r>
    </w:p>
    <w:p w14:paraId="6E02E44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（1）若质疑不成立，或者成立未对中标、成交结果构成影响的，继续开展采购活动。</w:t>
      </w:r>
    </w:p>
    <w:p w14:paraId="4E9C0BB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（2）对明显有违背事实的、经相关专家或评委认定无依据的、经其他供应商举证无依据的质疑，作违约处理，对其中每一项不成立的质疑给予质疑人1年内禁入由采购人组织的政府采购活动的违约处理。</w:t>
      </w:r>
    </w:p>
    <w:p w14:paraId="2B9982B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（3）质疑人承担使用虚假材料或恶意方式质疑的法律责任。</w:t>
      </w:r>
    </w:p>
    <w:p w14:paraId="0BEDCF24">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3、虚假质疑的处理</w:t>
      </w:r>
    </w:p>
    <w:p w14:paraId="737DCBEA">
      <w:pPr>
        <w:snapToGrid w:val="0"/>
        <w:spacing w:line="360" w:lineRule="auto"/>
        <w:ind w:firstLine="480" w:firstLineChars="200"/>
        <w:rPr>
          <w:rFonts w:ascii="宋体" w:hAnsi="宋体"/>
          <w:b/>
          <w:color w:val="auto"/>
          <w:sz w:val="24"/>
          <w:highlight w:val="none"/>
        </w:rPr>
      </w:pPr>
      <w:r>
        <w:rPr>
          <w:rFonts w:ascii="宋体" w:hAnsi="宋体"/>
          <w:color w:val="auto"/>
          <w:sz w:val="24"/>
          <w:highlight w:val="none"/>
        </w:rPr>
        <w:t>投标人提出书面质疑必须有理、有据，不得恶意质疑或提交虚假质疑。否则，一经查实，将依据政府采购的有关规定，报请政府采购监管部门对该投标人进行相应的行政处罚。</w:t>
      </w:r>
    </w:p>
    <w:p w14:paraId="42525863">
      <w:pPr>
        <w:pStyle w:val="63"/>
        <w:rPr>
          <w:rStyle w:val="124"/>
          <w:rFonts w:hint="default"/>
          <w:bCs w:val="0"/>
          <w:color w:val="auto"/>
          <w:sz w:val="28"/>
          <w:szCs w:val="28"/>
          <w:highlight w:val="none"/>
        </w:rPr>
      </w:pPr>
      <w:r>
        <w:rPr>
          <w:rStyle w:val="124"/>
          <w:rFonts w:hint="default"/>
          <w:bCs w:val="0"/>
          <w:color w:val="auto"/>
          <w:sz w:val="28"/>
          <w:szCs w:val="28"/>
          <w:highlight w:val="none"/>
        </w:rPr>
        <w:br w:type="page"/>
      </w:r>
      <w:r>
        <w:rPr>
          <w:rStyle w:val="124"/>
          <w:rFonts w:hint="default"/>
          <w:color w:val="auto"/>
          <w:sz w:val="28"/>
          <w:szCs w:val="28"/>
          <w:highlight w:val="none"/>
        </w:rPr>
        <w:t>第八章  投标文件组成</w:t>
      </w:r>
    </w:p>
    <w:p w14:paraId="7D0B3DCE">
      <w:pPr>
        <w:snapToGrid w:val="0"/>
        <w:spacing w:line="360" w:lineRule="auto"/>
        <w:ind w:firstLine="470" w:firstLineChars="196"/>
        <w:rPr>
          <w:rFonts w:ascii="宋体" w:hAnsi="宋体"/>
          <w:b/>
          <w:color w:val="auto"/>
          <w:sz w:val="24"/>
          <w:highlight w:val="none"/>
        </w:rPr>
      </w:pPr>
      <w:r>
        <w:rPr>
          <w:rFonts w:ascii="宋体" w:hAnsi="宋体"/>
          <w:b/>
          <w:color w:val="auto"/>
          <w:sz w:val="24"/>
          <w:highlight w:val="none"/>
        </w:rPr>
        <w:t>投标文件由资格后审材料、</w:t>
      </w:r>
      <w:r>
        <w:rPr>
          <w:rFonts w:hint="eastAsia" w:ascii="宋体" w:hAnsi="宋体"/>
          <w:b/>
          <w:color w:val="auto"/>
          <w:sz w:val="24"/>
          <w:highlight w:val="none"/>
        </w:rPr>
        <w:t>商务技术标</w:t>
      </w:r>
      <w:r>
        <w:rPr>
          <w:rFonts w:ascii="宋体" w:hAnsi="宋体"/>
          <w:b/>
          <w:color w:val="auto"/>
          <w:sz w:val="24"/>
          <w:highlight w:val="none"/>
        </w:rPr>
        <w:t>、价格标三部分组成。本次招标采用资格后审方式，投标人须将资格后审材料作为投标文件组成部分，按要求装订密封后一起递交。</w:t>
      </w:r>
    </w:p>
    <w:p w14:paraId="05CA3FC9">
      <w:pPr>
        <w:snapToGrid w:val="0"/>
        <w:spacing w:line="360" w:lineRule="auto"/>
        <w:ind w:firstLine="480" w:firstLineChars="200"/>
        <w:jc w:val="left"/>
        <w:rPr>
          <w:rFonts w:ascii="宋体" w:hAnsi="宋体"/>
          <w:b/>
          <w:color w:val="auto"/>
          <w:sz w:val="24"/>
          <w:highlight w:val="none"/>
        </w:rPr>
      </w:pPr>
      <w:r>
        <w:rPr>
          <w:rFonts w:ascii="宋体" w:hAnsi="宋体"/>
          <w:b/>
          <w:color w:val="auto"/>
          <w:sz w:val="24"/>
          <w:highlight w:val="none"/>
        </w:rPr>
        <w:t>一、资格后审材料（单独装订密封）</w:t>
      </w:r>
    </w:p>
    <w:p w14:paraId="3CB19F1D">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1、关于资格</w:t>
      </w:r>
      <w:r>
        <w:rPr>
          <w:rFonts w:hint="eastAsia" w:ascii="宋体" w:hAnsi="宋体"/>
          <w:color w:val="auto"/>
          <w:sz w:val="24"/>
          <w:highlight w:val="none"/>
          <w:lang w:val="en-US" w:eastAsia="zh-CN"/>
        </w:rPr>
        <w:t>文件</w:t>
      </w:r>
      <w:r>
        <w:rPr>
          <w:rFonts w:ascii="宋体" w:hAnsi="宋体"/>
          <w:color w:val="auto"/>
          <w:sz w:val="24"/>
          <w:highlight w:val="none"/>
        </w:rPr>
        <w:t>的声明函；</w:t>
      </w:r>
    </w:p>
    <w:p w14:paraId="59CBF1E8">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2、法定代表人参加投标的，必须提供法定代表人身份证明及法定代表人本人身份证复印件；</w:t>
      </w:r>
    </w:p>
    <w:p w14:paraId="0C36ECFD">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非法定代表人参加投标的，必须提供法定代表人签名或盖章的授权委托书及</w:t>
      </w:r>
      <w:r>
        <w:rPr>
          <w:rFonts w:ascii="宋体" w:hAnsi="宋体"/>
          <w:b/>
          <w:color w:val="auto"/>
          <w:sz w:val="24"/>
          <w:highlight w:val="none"/>
        </w:rPr>
        <w:t>法定代表人和被授权人两人的身份证复印件</w:t>
      </w:r>
      <w:r>
        <w:rPr>
          <w:rFonts w:ascii="宋体" w:hAnsi="宋体"/>
          <w:color w:val="auto"/>
          <w:sz w:val="24"/>
          <w:highlight w:val="none"/>
        </w:rPr>
        <w:t>（格式参见附件）；</w:t>
      </w:r>
    </w:p>
    <w:p w14:paraId="2C51C51C">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3、满足《中华人民共和国政府采购法》第二十二条规定声明函（按照后附格式）；</w:t>
      </w:r>
    </w:p>
    <w:p w14:paraId="6A377CE9">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4、有效的营业执照（提供复印件并加盖公章）；</w:t>
      </w:r>
    </w:p>
    <w:p w14:paraId="69996531">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5、有效的工程测量乙级及以上测绘资质证书（提供复印件并加盖公章）；</w:t>
      </w:r>
    </w:p>
    <w:p w14:paraId="2244CCDF">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拟派本项目负责人具备水利工程专业中级及以上职称（需提供人员证书复印件及投标企业所在地社保机构出具的企业为其缴纳的最近6个月中任意一个月的社保缴费证明并加盖公章，可提供原件扫描件或官网打印具有二维码或验证码的官网打印件或截图）。</w:t>
      </w:r>
    </w:p>
    <w:p w14:paraId="75ED7CA3">
      <w:pPr>
        <w:widowControl/>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olor w:val="auto"/>
          <w:sz w:val="24"/>
          <w:highlight w:val="none"/>
        </w:rPr>
        <w:t>7、</w:t>
      </w:r>
      <w:r>
        <w:rPr>
          <w:rFonts w:hint="eastAsia" w:ascii="宋体" w:hAnsi="宋体" w:cs="宋体"/>
          <w:bCs/>
          <w:color w:val="auto"/>
          <w:sz w:val="24"/>
          <w:highlight w:val="none"/>
        </w:rPr>
        <w:t>投标单位未被“信用中国”网站列入失信被执行人、重大税收违法</w:t>
      </w:r>
      <w:r>
        <w:rPr>
          <w:rFonts w:hint="eastAsia" w:ascii="宋体" w:hAnsi="宋体" w:cs="宋体"/>
          <w:bCs/>
          <w:color w:val="auto"/>
          <w:sz w:val="24"/>
          <w:highlight w:val="none"/>
          <w:lang w:val="en-US" w:eastAsia="zh-CN"/>
        </w:rPr>
        <w:t>失信主体</w:t>
      </w:r>
      <w:r>
        <w:rPr>
          <w:rFonts w:hint="eastAsia" w:ascii="宋体" w:hAnsi="宋体" w:cs="宋体"/>
          <w:bCs/>
          <w:color w:val="auto"/>
          <w:sz w:val="24"/>
          <w:highlight w:val="none"/>
        </w:rPr>
        <w:t>、政府采购严重违法失信行为记录名单、</w:t>
      </w:r>
      <w:r>
        <w:rPr>
          <w:rFonts w:hint="eastAsia" w:ascii="宋体" w:hAnsi="宋体" w:cs="宋体"/>
          <w:bCs/>
          <w:color w:val="auto"/>
          <w:sz w:val="24"/>
          <w:highlight w:val="none"/>
          <w:lang w:val="en-US" w:eastAsia="zh-CN"/>
        </w:rPr>
        <w:t>经营（活动）</w:t>
      </w:r>
      <w:r>
        <w:rPr>
          <w:rFonts w:hint="eastAsia" w:ascii="宋体" w:hAnsi="宋体" w:cs="宋体"/>
          <w:bCs/>
          <w:color w:val="auto"/>
          <w:sz w:val="24"/>
          <w:highlight w:val="none"/>
        </w:rPr>
        <w:t>异常名录、严重失信</w:t>
      </w:r>
      <w:r>
        <w:rPr>
          <w:rFonts w:hint="eastAsia" w:ascii="宋体" w:hAnsi="宋体" w:cs="宋体"/>
          <w:bCs/>
          <w:color w:val="auto"/>
          <w:sz w:val="24"/>
          <w:highlight w:val="none"/>
          <w:lang w:val="en-US" w:eastAsia="zh-CN"/>
        </w:rPr>
        <w:t>主体</w:t>
      </w:r>
      <w:r>
        <w:rPr>
          <w:rFonts w:hint="eastAsia" w:ascii="宋体" w:hAnsi="宋体" w:cs="宋体"/>
          <w:bCs/>
          <w:color w:val="auto"/>
          <w:sz w:val="24"/>
          <w:highlight w:val="none"/>
        </w:rPr>
        <w:t>名单；为确保政府采购守法供应商公平参加政府采购活动，采购代理机构将在开标开始后一个小时内，通过“信用中国”网站对供应商信用信息进行查询查证，并将查询记录截屏打印保存在采购档案内。如核实未通过，经评标小组确认后资格审查不予通过；</w:t>
      </w:r>
    </w:p>
    <w:p w14:paraId="4E124B96">
      <w:pPr>
        <w:widowControl/>
        <w:snapToGrid w:val="0"/>
        <w:spacing w:line="360" w:lineRule="auto"/>
        <w:ind w:firstLine="480" w:firstLineChars="200"/>
        <w:jc w:val="left"/>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8、</w:t>
      </w:r>
      <w:r>
        <w:rPr>
          <w:rFonts w:hint="eastAsia" w:ascii="宋体" w:hAnsi="宋体" w:cs="宋体"/>
          <w:color w:val="auto"/>
          <w:kern w:val="0"/>
          <w:sz w:val="24"/>
          <w:highlight w:val="none"/>
        </w:rPr>
        <w:t>中小企业声明函或残疾人福利性单位声明函或监狱和戒毒企业证明材料</w:t>
      </w:r>
      <w:r>
        <w:rPr>
          <w:rFonts w:hint="eastAsia" w:ascii="宋体" w:hAnsi="宋体" w:cs="宋体"/>
          <w:color w:val="auto"/>
          <w:kern w:val="0"/>
          <w:sz w:val="24"/>
          <w:highlight w:val="none"/>
          <w:lang w:eastAsia="zh-CN"/>
        </w:rPr>
        <w:t>；</w:t>
      </w:r>
    </w:p>
    <w:p w14:paraId="0508A58B">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、其它在招标文件中需要提交的材料。</w:t>
      </w:r>
    </w:p>
    <w:p w14:paraId="277DDE6F">
      <w:pPr>
        <w:snapToGrid w:val="0"/>
        <w:spacing w:line="360" w:lineRule="auto"/>
        <w:ind w:firstLine="480" w:firstLineChars="200"/>
        <w:jc w:val="left"/>
        <w:rPr>
          <w:rFonts w:ascii="宋体" w:hAnsi="宋体"/>
          <w:b/>
          <w:color w:val="auto"/>
          <w:sz w:val="24"/>
          <w:highlight w:val="none"/>
        </w:rPr>
      </w:pPr>
      <w:r>
        <w:rPr>
          <w:rFonts w:ascii="宋体" w:hAnsi="宋体"/>
          <w:b/>
          <w:color w:val="auto"/>
          <w:sz w:val="24"/>
          <w:highlight w:val="none"/>
        </w:rPr>
        <w:t>二、</w:t>
      </w:r>
      <w:r>
        <w:rPr>
          <w:rFonts w:hint="eastAsia" w:ascii="宋体" w:hAnsi="宋体"/>
          <w:b/>
          <w:color w:val="auto"/>
          <w:sz w:val="24"/>
          <w:highlight w:val="none"/>
        </w:rPr>
        <w:t>商务技术标</w:t>
      </w:r>
      <w:r>
        <w:rPr>
          <w:rFonts w:ascii="宋体" w:hAnsi="宋体"/>
          <w:b/>
          <w:color w:val="auto"/>
          <w:sz w:val="24"/>
          <w:highlight w:val="none"/>
        </w:rPr>
        <w:t>（单独装订密封）</w:t>
      </w:r>
    </w:p>
    <w:p w14:paraId="51D01D20">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供应商应根据本招标文件第三章“项目需求”提供的主要技术规范，服务要求标准等，仔细阅读并在理解的基础上结合第四章“评审方法和程序”内的评审细则，编写编制技术</w:t>
      </w:r>
      <w:r>
        <w:rPr>
          <w:rFonts w:hint="eastAsia" w:ascii="宋体" w:hAnsi="宋体"/>
          <w:color w:val="auto"/>
          <w:sz w:val="24"/>
          <w:highlight w:val="none"/>
        </w:rPr>
        <w:t>商务</w:t>
      </w:r>
      <w:r>
        <w:rPr>
          <w:rFonts w:ascii="宋体" w:hAnsi="宋体"/>
          <w:color w:val="auto"/>
          <w:sz w:val="24"/>
          <w:highlight w:val="none"/>
        </w:rPr>
        <w:t>投标响应文件。以下响应文件的内容，不得有缺项或漏项。否则将有可能被视为未实质性响应招标文件要求而作无效投标处理，或可能直接影响技术评审的得分；</w:t>
      </w:r>
    </w:p>
    <w:p w14:paraId="21457703">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1、招标文件评审方法中所涉及的事项需提供的所有资料；</w:t>
      </w:r>
    </w:p>
    <w:p w14:paraId="68AD803B">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2、招标文件中未涉及的事项，投标人认为需要提交的其他资料。</w:t>
      </w:r>
    </w:p>
    <w:p w14:paraId="73273212">
      <w:pPr>
        <w:widowControl/>
        <w:snapToGrid w:val="0"/>
        <w:spacing w:line="360" w:lineRule="auto"/>
        <w:ind w:firstLine="480" w:firstLineChars="200"/>
        <w:jc w:val="left"/>
        <w:rPr>
          <w:rFonts w:ascii="宋体" w:hAnsi="宋体"/>
          <w:b/>
          <w:bCs/>
          <w:color w:val="auto"/>
          <w:sz w:val="24"/>
          <w:highlight w:val="none"/>
        </w:rPr>
      </w:pPr>
      <w:r>
        <w:rPr>
          <w:rFonts w:ascii="宋体" w:hAnsi="宋体"/>
          <w:b/>
          <w:bCs/>
          <w:color w:val="auto"/>
          <w:sz w:val="24"/>
          <w:highlight w:val="none"/>
        </w:rPr>
        <w:t>特别提醒：“资格后审材料”、“</w:t>
      </w:r>
      <w:r>
        <w:rPr>
          <w:rFonts w:hint="eastAsia" w:ascii="宋体" w:hAnsi="宋体"/>
          <w:b/>
          <w:bCs/>
          <w:color w:val="auto"/>
          <w:sz w:val="24"/>
          <w:highlight w:val="none"/>
        </w:rPr>
        <w:t>商务技术标</w:t>
      </w:r>
      <w:r>
        <w:rPr>
          <w:rFonts w:ascii="宋体" w:hAnsi="宋体"/>
          <w:b/>
          <w:bCs/>
          <w:color w:val="auto"/>
          <w:sz w:val="24"/>
          <w:highlight w:val="none"/>
        </w:rPr>
        <w:t>”所须提供的材料（须加盖公章）按招标文件要求装订，密封，递交。</w:t>
      </w:r>
    </w:p>
    <w:p w14:paraId="3192863A">
      <w:pPr>
        <w:widowControl/>
        <w:snapToGrid w:val="0"/>
        <w:spacing w:line="360" w:lineRule="auto"/>
        <w:ind w:firstLine="480" w:firstLineChars="200"/>
        <w:jc w:val="left"/>
        <w:rPr>
          <w:rFonts w:ascii="宋体" w:hAnsi="宋体"/>
          <w:b/>
          <w:bCs/>
          <w:color w:val="auto"/>
          <w:sz w:val="24"/>
          <w:highlight w:val="none"/>
        </w:rPr>
      </w:pPr>
      <w:r>
        <w:rPr>
          <w:rFonts w:ascii="宋体" w:hAnsi="宋体"/>
          <w:b/>
          <w:bCs/>
          <w:color w:val="auto"/>
          <w:sz w:val="24"/>
          <w:highlight w:val="none"/>
        </w:rPr>
        <w:t>“资格审查文件”、</w:t>
      </w:r>
      <w:r>
        <w:rPr>
          <w:rFonts w:hint="eastAsia" w:ascii="宋体" w:hAnsi="宋体"/>
          <w:b/>
          <w:bCs/>
          <w:color w:val="auto"/>
          <w:sz w:val="24"/>
          <w:highlight w:val="none"/>
        </w:rPr>
        <w:t>“商务技术标”</w:t>
      </w:r>
      <w:r>
        <w:rPr>
          <w:rFonts w:ascii="宋体" w:hAnsi="宋体"/>
          <w:b/>
          <w:bCs/>
          <w:color w:val="auto"/>
          <w:sz w:val="24"/>
          <w:highlight w:val="none"/>
        </w:rPr>
        <w:t>涉及的相关原件请带至开标现场备查。未携带原件或因携带原件不全所引起的后果由投标人自行承担。</w:t>
      </w:r>
      <w:r>
        <w:rPr>
          <w:rFonts w:hint="eastAsia" w:ascii="宋体" w:hAnsi="宋体"/>
          <w:b/>
          <w:bCs/>
          <w:color w:val="auto"/>
          <w:sz w:val="24"/>
          <w:highlight w:val="none"/>
        </w:rPr>
        <w:t>以上材料如为复印件均需加盖投标人公章。</w:t>
      </w:r>
    </w:p>
    <w:p w14:paraId="1CE538F4">
      <w:pPr>
        <w:widowControl/>
        <w:snapToGrid w:val="0"/>
        <w:spacing w:line="360" w:lineRule="auto"/>
        <w:ind w:firstLine="480" w:firstLineChars="200"/>
        <w:jc w:val="left"/>
        <w:rPr>
          <w:rFonts w:ascii="宋体" w:hAnsi="宋体"/>
          <w:b/>
          <w:bCs/>
          <w:color w:val="auto"/>
          <w:sz w:val="24"/>
          <w:highlight w:val="none"/>
        </w:rPr>
      </w:pPr>
      <w:r>
        <w:rPr>
          <w:rFonts w:hint="eastAsia" w:ascii="宋体" w:hAnsi="宋体"/>
          <w:b/>
          <w:bCs/>
          <w:color w:val="auto"/>
          <w:sz w:val="24"/>
          <w:highlight w:val="none"/>
        </w:rPr>
        <w:t>除商务技术文件中按评审办法可以提供内装部分报价外，资格审查文件和商务技术文件中不得有其他报价内容。</w:t>
      </w:r>
    </w:p>
    <w:p w14:paraId="0D332CB9">
      <w:pPr>
        <w:snapToGrid w:val="0"/>
        <w:spacing w:line="360" w:lineRule="auto"/>
        <w:ind w:firstLine="480" w:firstLineChars="200"/>
        <w:rPr>
          <w:rFonts w:ascii="宋体" w:hAnsi="宋体"/>
          <w:b/>
          <w:color w:val="auto"/>
          <w:sz w:val="24"/>
          <w:highlight w:val="none"/>
        </w:rPr>
      </w:pPr>
      <w:r>
        <w:rPr>
          <w:rFonts w:ascii="宋体" w:hAnsi="宋体"/>
          <w:b/>
          <w:color w:val="auto"/>
          <w:sz w:val="24"/>
          <w:highlight w:val="none"/>
        </w:rPr>
        <w:t>三、价格标（单独装订密封）</w:t>
      </w:r>
    </w:p>
    <w:p w14:paraId="3349B770">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1、开标一览表；</w:t>
      </w:r>
    </w:p>
    <w:p w14:paraId="1E4D11A5">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2、分项报价明细表；</w:t>
      </w:r>
    </w:p>
    <w:p w14:paraId="6BBA3342">
      <w:pPr>
        <w:widowControl/>
        <w:snapToGrid w:val="0"/>
        <w:spacing w:line="360" w:lineRule="auto"/>
        <w:ind w:firstLine="480" w:firstLineChars="200"/>
        <w:jc w:val="left"/>
        <w:rPr>
          <w:rFonts w:ascii="宋体" w:hAnsi="宋体"/>
          <w:b/>
          <w:color w:val="auto"/>
          <w:sz w:val="24"/>
          <w:highlight w:val="none"/>
        </w:rPr>
      </w:pPr>
      <w:r>
        <w:rPr>
          <w:rFonts w:ascii="宋体" w:hAnsi="宋体"/>
          <w:color w:val="auto"/>
          <w:sz w:val="24"/>
          <w:highlight w:val="none"/>
        </w:rPr>
        <w:br w:type="page"/>
      </w:r>
      <w:r>
        <w:rPr>
          <w:rFonts w:ascii="宋体" w:hAnsi="宋体"/>
          <w:b/>
          <w:color w:val="auto"/>
          <w:sz w:val="24"/>
          <w:highlight w:val="none"/>
        </w:rPr>
        <w:t>附件：</w:t>
      </w:r>
    </w:p>
    <w:p w14:paraId="775FC944">
      <w:pPr>
        <w:tabs>
          <w:tab w:val="left" w:pos="1965"/>
        </w:tabs>
        <w:rPr>
          <w:rFonts w:ascii="宋体" w:hAnsi="宋体"/>
          <w:color w:val="auto"/>
          <w:sz w:val="28"/>
          <w:szCs w:val="28"/>
          <w:highlight w:val="none"/>
        </w:rPr>
      </w:pPr>
      <w:r>
        <w:rPr>
          <w:rFonts w:hint="eastAsia" w:ascii="宋体" w:hAnsi="宋体"/>
          <w:color w:val="auto"/>
          <w:sz w:val="28"/>
          <w:szCs w:val="28"/>
          <w:highlight w:val="none"/>
        </w:rPr>
        <w:t>第一部分格式：</w:t>
      </w:r>
    </w:p>
    <w:p w14:paraId="437300B8">
      <w:pPr>
        <w:tabs>
          <w:tab w:val="left" w:pos="1965"/>
        </w:tabs>
        <w:jc w:val="right"/>
        <w:rPr>
          <w:rFonts w:ascii="宋体" w:hAnsi="宋体"/>
          <w:color w:val="auto"/>
          <w:sz w:val="28"/>
          <w:szCs w:val="28"/>
          <w:highlight w:val="none"/>
        </w:rPr>
      </w:pPr>
      <w:r>
        <w:rPr>
          <w:rFonts w:hint="eastAsia" w:ascii="宋体" w:hAnsi="宋体"/>
          <w:color w:val="auto"/>
          <w:sz w:val="28"/>
          <w:szCs w:val="28"/>
          <w:highlight w:val="none"/>
        </w:rPr>
        <w:t>封面</w:t>
      </w:r>
    </w:p>
    <w:p w14:paraId="1FF35049">
      <w:pPr>
        <w:tabs>
          <w:tab w:val="left" w:pos="2020"/>
          <w:tab w:val="center" w:pos="4535"/>
        </w:tabs>
        <w:spacing w:line="400" w:lineRule="exact"/>
        <w:ind w:firstLine="280" w:firstLineChars="100"/>
        <w:rPr>
          <w:rFonts w:ascii="宋体" w:hAnsi="宋体"/>
          <w:color w:val="auto"/>
          <w:sz w:val="28"/>
          <w:szCs w:val="20"/>
          <w:highlight w:val="none"/>
        </w:rPr>
      </w:pPr>
    </w:p>
    <w:p w14:paraId="7DD21151">
      <w:pPr>
        <w:tabs>
          <w:tab w:val="left" w:pos="2020"/>
          <w:tab w:val="center" w:pos="4535"/>
        </w:tabs>
        <w:spacing w:line="400" w:lineRule="exact"/>
        <w:ind w:firstLine="280" w:firstLineChars="100"/>
        <w:rPr>
          <w:rFonts w:ascii="宋体" w:hAnsi="宋体"/>
          <w:color w:val="auto"/>
          <w:sz w:val="28"/>
          <w:szCs w:val="20"/>
          <w:highlight w:val="none"/>
        </w:rPr>
      </w:pPr>
    </w:p>
    <w:p w14:paraId="727B5E03">
      <w:pPr>
        <w:tabs>
          <w:tab w:val="left" w:pos="159"/>
        </w:tabs>
        <w:rPr>
          <w:rFonts w:ascii="宋体" w:hAnsi="宋体"/>
          <w:color w:val="auto"/>
          <w:sz w:val="28"/>
          <w:szCs w:val="28"/>
          <w:highlight w:val="none"/>
        </w:rPr>
      </w:pPr>
    </w:p>
    <w:p w14:paraId="6D2A90B6">
      <w:pPr>
        <w:spacing w:after="60" w:line="360" w:lineRule="auto"/>
        <w:ind w:left="2277" w:leftChars="171"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70CE2084">
      <w:pPr>
        <w:spacing w:after="60" w:line="360" w:lineRule="auto"/>
        <w:jc w:val="center"/>
        <w:rPr>
          <w:rFonts w:ascii="宋体" w:hAnsi="宋体"/>
          <w:b/>
          <w:bCs/>
          <w:color w:val="auto"/>
          <w:sz w:val="44"/>
          <w:szCs w:val="44"/>
          <w:highlight w:val="none"/>
        </w:rPr>
      </w:pPr>
    </w:p>
    <w:p w14:paraId="68EDAB27">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1E2714AB">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（资格审查文件）</w:t>
      </w:r>
    </w:p>
    <w:p w14:paraId="28164A63">
      <w:pPr>
        <w:spacing w:after="60"/>
        <w:jc w:val="center"/>
        <w:rPr>
          <w:rFonts w:ascii="宋体" w:hAnsi="宋体"/>
          <w:b/>
          <w:bCs/>
          <w:color w:val="auto"/>
          <w:sz w:val="72"/>
          <w:szCs w:val="72"/>
          <w:highlight w:val="none"/>
        </w:rPr>
      </w:pPr>
    </w:p>
    <w:p w14:paraId="7A307555">
      <w:pPr>
        <w:spacing w:after="60"/>
        <w:jc w:val="center"/>
        <w:rPr>
          <w:rFonts w:ascii="宋体" w:hAnsi="宋体"/>
          <w:b/>
          <w:bCs/>
          <w:color w:val="auto"/>
          <w:sz w:val="72"/>
          <w:szCs w:val="72"/>
          <w:highlight w:val="none"/>
        </w:rPr>
      </w:pPr>
    </w:p>
    <w:p w14:paraId="113E32C4">
      <w:pPr>
        <w:spacing w:after="60"/>
        <w:jc w:val="center"/>
        <w:rPr>
          <w:rFonts w:ascii="宋体" w:hAnsi="宋体"/>
          <w:b/>
          <w:bCs/>
          <w:color w:val="auto"/>
          <w:sz w:val="72"/>
          <w:szCs w:val="72"/>
          <w:highlight w:val="none"/>
        </w:rPr>
      </w:pPr>
    </w:p>
    <w:p w14:paraId="1E9E5A28">
      <w:pPr>
        <w:tabs>
          <w:tab w:val="left" w:pos="2020"/>
          <w:tab w:val="center" w:pos="4535"/>
        </w:tabs>
        <w:spacing w:line="400" w:lineRule="exact"/>
        <w:ind w:firstLine="280" w:firstLineChars="100"/>
        <w:rPr>
          <w:rFonts w:ascii="宋体" w:hAnsi="宋体"/>
          <w:color w:val="auto"/>
          <w:sz w:val="28"/>
          <w:szCs w:val="20"/>
          <w:highlight w:val="none"/>
        </w:rPr>
      </w:pPr>
    </w:p>
    <w:p w14:paraId="4E7BF683">
      <w:pPr>
        <w:tabs>
          <w:tab w:val="left" w:pos="2020"/>
          <w:tab w:val="center" w:pos="4535"/>
        </w:tabs>
        <w:spacing w:line="400" w:lineRule="exact"/>
        <w:ind w:firstLine="280" w:firstLineChars="100"/>
        <w:rPr>
          <w:rFonts w:ascii="宋体" w:hAnsi="宋体"/>
          <w:color w:val="auto"/>
          <w:sz w:val="28"/>
          <w:szCs w:val="20"/>
          <w:highlight w:val="none"/>
        </w:rPr>
      </w:pPr>
    </w:p>
    <w:p w14:paraId="3BB61E28">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46C6251B">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w:t>
      </w:r>
      <w:bookmarkStart w:id="25" w:name="_Hlk81344630"/>
      <w:r>
        <w:rPr>
          <w:rFonts w:hint="eastAsia" w:ascii="宋体" w:hAnsi="宋体"/>
          <w:b/>
          <w:color w:val="auto"/>
          <w:sz w:val="30"/>
          <w:szCs w:val="30"/>
          <w:highlight w:val="none"/>
        </w:rPr>
        <w:t>（或盖章）</w:t>
      </w:r>
      <w:bookmarkEnd w:id="25"/>
      <w:r>
        <w:rPr>
          <w:rFonts w:hint="eastAsia" w:ascii="宋体" w:hAnsi="宋体"/>
          <w:b/>
          <w:color w:val="auto"/>
          <w:sz w:val="30"/>
          <w:szCs w:val="30"/>
          <w:highlight w:val="none"/>
        </w:rPr>
        <w:t>：</w:t>
      </w:r>
      <w:r>
        <w:rPr>
          <w:rFonts w:hint="eastAsia" w:ascii="宋体" w:hAnsi="宋体"/>
          <w:b/>
          <w:color w:val="auto"/>
          <w:sz w:val="30"/>
          <w:szCs w:val="30"/>
          <w:highlight w:val="none"/>
          <w:u w:val="single"/>
        </w:rPr>
        <w:t xml:space="preserve">          </w:t>
      </w:r>
    </w:p>
    <w:p w14:paraId="494AB0CC">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6531BDA8">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一、关于资格文件的声明函</w:t>
      </w:r>
    </w:p>
    <w:p w14:paraId="36D6EABC">
      <w:pPr>
        <w:spacing w:line="360" w:lineRule="auto"/>
        <w:jc w:val="center"/>
        <w:rPr>
          <w:rFonts w:hint="eastAsia" w:ascii="宋体" w:hAnsi="宋体"/>
          <w:b/>
          <w:bCs/>
          <w:color w:val="auto"/>
          <w:sz w:val="28"/>
          <w:szCs w:val="28"/>
          <w:highlight w:val="none"/>
        </w:rPr>
      </w:pPr>
    </w:p>
    <w:p w14:paraId="62A58653">
      <w:pPr>
        <w:snapToGrid w:val="0"/>
        <w:spacing w:line="360" w:lineRule="auto"/>
        <w:rPr>
          <w:rFonts w:ascii="宋体" w:hAnsi="宋体"/>
          <w:color w:val="auto"/>
          <w:sz w:val="24"/>
          <w:highlight w:val="none"/>
          <w:u w:val="single"/>
        </w:rPr>
      </w:pPr>
      <w:r>
        <w:rPr>
          <w:rFonts w:hint="eastAsia" w:ascii="宋体" w:hAnsi="宋体"/>
          <w:color w:val="auto"/>
          <w:sz w:val="24"/>
          <w:highlight w:val="none"/>
          <w:u w:val="single"/>
        </w:rPr>
        <w:t>南通市通吕运河水利工程管理所</w:t>
      </w:r>
      <w:r>
        <w:rPr>
          <w:rFonts w:ascii="宋体" w:hAnsi="宋体"/>
          <w:color w:val="auto"/>
          <w:sz w:val="24"/>
          <w:highlight w:val="none"/>
          <w:u w:val="single"/>
        </w:rPr>
        <w:t>：</w:t>
      </w:r>
    </w:p>
    <w:p w14:paraId="167D65A1">
      <w:pPr>
        <w:overflowPunct w:val="0"/>
        <w:adjustRightInd w:val="0"/>
        <w:spacing w:line="360" w:lineRule="auto"/>
        <w:ind w:firstLine="660"/>
        <w:jc w:val="left"/>
        <w:textAlignment w:val="baseline"/>
        <w:rPr>
          <w:rFonts w:ascii="宋体" w:hAnsi="宋体"/>
          <w:color w:val="auto"/>
          <w:sz w:val="24"/>
          <w:highlight w:val="none"/>
        </w:rPr>
      </w:pPr>
      <w:r>
        <w:rPr>
          <w:rFonts w:ascii="宋体" w:hAnsi="宋体"/>
          <w:color w:val="auto"/>
          <w:sz w:val="24"/>
          <w:highlight w:val="none"/>
        </w:rPr>
        <w:t>本公司愿就由贵单位组织实施的</w:t>
      </w:r>
      <w:r>
        <w:rPr>
          <w:rFonts w:ascii="宋体" w:hAnsi="宋体"/>
          <w:color w:val="auto"/>
          <w:sz w:val="24"/>
          <w:highlight w:val="none"/>
          <w:u w:val="single"/>
        </w:rPr>
        <w:t xml:space="preserve">                        </w:t>
      </w:r>
      <w:r>
        <w:rPr>
          <w:rFonts w:ascii="宋体" w:hAnsi="宋体"/>
          <w:color w:val="auto"/>
          <w:sz w:val="24"/>
          <w:highlight w:val="none"/>
        </w:rPr>
        <w:t>（项目名称）的采购活动进行投标响应。本公司所提交的投标响应文件中所有关于资格响应的文件、证明和陈述均是真实的、准确的。若与真实情况不符，本公司愿意承担由此而产生的一切后果。</w:t>
      </w:r>
    </w:p>
    <w:p w14:paraId="0464935D">
      <w:pPr>
        <w:overflowPunct w:val="0"/>
        <w:adjustRightInd w:val="0"/>
        <w:spacing w:line="360" w:lineRule="auto"/>
        <w:ind w:firstLine="420"/>
        <w:jc w:val="left"/>
        <w:textAlignment w:val="baseline"/>
        <w:rPr>
          <w:rFonts w:ascii="宋体" w:hAnsi="宋体"/>
          <w:color w:val="auto"/>
          <w:sz w:val="24"/>
          <w:highlight w:val="none"/>
        </w:rPr>
      </w:pPr>
    </w:p>
    <w:p w14:paraId="4A9E3041">
      <w:pPr>
        <w:overflowPunct w:val="0"/>
        <w:adjustRightInd w:val="0"/>
        <w:spacing w:line="360" w:lineRule="auto"/>
        <w:ind w:firstLine="420"/>
        <w:jc w:val="left"/>
        <w:textAlignment w:val="baseline"/>
        <w:rPr>
          <w:rFonts w:ascii="宋体" w:hAnsi="宋体"/>
          <w:color w:val="auto"/>
          <w:sz w:val="24"/>
          <w:highlight w:val="none"/>
        </w:rPr>
      </w:pPr>
    </w:p>
    <w:p w14:paraId="21A6933A">
      <w:pPr>
        <w:snapToGrid w:val="0"/>
        <w:spacing w:line="360" w:lineRule="auto"/>
        <w:jc w:val="right"/>
        <w:rPr>
          <w:rFonts w:ascii="宋体" w:hAnsi="宋体"/>
          <w:color w:val="auto"/>
          <w:sz w:val="24"/>
          <w:highlight w:val="none"/>
        </w:rPr>
      </w:pPr>
      <w:r>
        <w:rPr>
          <w:rFonts w:ascii="宋体" w:hAnsi="宋体"/>
          <w:color w:val="auto"/>
          <w:sz w:val="24"/>
          <w:highlight w:val="none"/>
        </w:rPr>
        <w:t>投标单位：</w:t>
      </w:r>
      <w:r>
        <w:rPr>
          <w:rFonts w:ascii="宋体" w:hAnsi="宋体"/>
          <w:color w:val="auto"/>
          <w:sz w:val="24"/>
          <w:highlight w:val="none"/>
          <w:u w:val="single"/>
        </w:rPr>
        <w:t xml:space="preserve">                    </w:t>
      </w:r>
      <w:r>
        <w:rPr>
          <w:rFonts w:ascii="宋体" w:hAnsi="宋体"/>
          <w:color w:val="auto"/>
          <w:sz w:val="24"/>
          <w:highlight w:val="none"/>
        </w:rPr>
        <w:t>（加盖公章）</w:t>
      </w:r>
    </w:p>
    <w:p w14:paraId="0A0BC606">
      <w:pPr>
        <w:snapToGrid w:val="0"/>
        <w:spacing w:line="360" w:lineRule="auto"/>
        <w:ind w:firstLine="2400" w:firstLineChars="1000"/>
        <w:jc w:val="right"/>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012473C3">
      <w:pPr>
        <w:snapToGrid w:val="0"/>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年      月     日</w:t>
      </w:r>
    </w:p>
    <w:p w14:paraId="468E5050">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二、法定代表人身份证明</w:t>
      </w:r>
    </w:p>
    <w:p w14:paraId="3DBEF719">
      <w:pPr>
        <w:spacing w:line="360" w:lineRule="auto"/>
        <w:jc w:val="center"/>
        <w:rPr>
          <w:rFonts w:hint="eastAsia" w:ascii="宋体" w:hAnsi="宋体"/>
          <w:b/>
          <w:bCs/>
          <w:color w:val="auto"/>
          <w:sz w:val="28"/>
          <w:szCs w:val="28"/>
          <w:highlight w:val="none"/>
        </w:rPr>
      </w:pPr>
    </w:p>
    <w:p w14:paraId="3CC34BB4">
      <w:pPr>
        <w:spacing w:line="360" w:lineRule="auto"/>
        <w:rPr>
          <w:rFonts w:ascii="宋体" w:hAnsi="宋体"/>
          <w:color w:val="auto"/>
          <w:sz w:val="24"/>
          <w:highlight w:val="none"/>
        </w:rPr>
      </w:pPr>
      <w:r>
        <w:rPr>
          <w:rFonts w:hint="eastAsia" w:ascii="宋体" w:hAnsi="宋体"/>
          <w:color w:val="auto"/>
          <w:sz w:val="24"/>
          <w:highlight w:val="none"/>
          <w:u w:val="single"/>
        </w:rPr>
        <w:t>南通市通吕运河水利工程管理所</w:t>
      </w:r>
      <w:r>
        <w:rPr>
          <w:rFonts w:ascii="宋体" w:hAnsi="宋体"/>
          <w:color w:val="auto"/>
          <w:sz w:val="24"/>
          <w:highlight w:val="none"/>
        </w:rPr>
        <w:t xml:space="preserve">： </w:t>
      </w:r>
    </w:p>
    <w:p w14:paraId="32A4A4A5">
      <w:pPr>
        <w:spacing w:line="360" w:lineRule="auto"/>
        <w:ind w:firstLine="480" w:firstLineChars="200"/>
        <w:rPr>
          <w:rFonts w:ascii="宋体" w:hAnsi="宋体"/>
          <w:color w:val="auto"/>
          <w:sz w:val="24"/>
          <w:highlight w:val="none"/>
        </w:rPr>
      </w:pPr>
      <w:r>
        <w:rPr>
          <w:rFonts w:ascii="宋体" w:hAnsi="宋体"/>
          <w:color w:val="auto"/>
          <w:sz w:val="24"/>
          <w:highlight w:val="none"/>
        </w:rPr>
        <w:t>我公司法定代表人</w:t>
      </w:r>
      <w:r>
        <w:rPr>
          <w:rFonts w:ascii="宋体" w:hAnsi="宋体"/>
          <w:color w:val="auto"/>
          <w:sz w:val="24"/>
          <w:highlight w:val="none"/>
          <w:u w:val="single"/>
        </w:rPr>
        <w:t xml:space="preserve">     　　　   </w:t>
      </w:r>
      <w:r>
        <w:rPr>
          <w:rFonts w:ascii="宋体" w:hAnsi="宋体"/>
          <w:color w:val="auto"/>
          <w:sz w:val="24"/>
          <w:highlight w:val="none"/>
        </w:rPr>
        <w:t>参加贵单位组织的</w:t>
      </w:r>
      <w:r>
        <w:rPr>
          <w:rFonts w:ascii="宋体" w:hAnsi="宋体"/>
          <w:color w:val="auto"/>
          <w:sz w:val="24"/>
          <w:highlight w:val="none"/>
          <w:u w:val="single"/>
        </w:rPr>
        <w:t xml:space="preserve">     </w:t>
      </w:r>
      <w:r>
        <w:rPr>
          <w:rFonts w:ascii="宋体" w:hAnsi="宋体"/>
          <w:color w:val="auto"/>
          <w:sz w:val="24"/>
          <w:highlight w:val="none"/>
        </w:rPr>
        <w:t>（采购项目名称）项目公开招标采购活动，全权代表我公司处理投标的有关事宜。</w:t>
      </w:r>
    </w:p>
    <w:p w14:paraId="38012A2C">
      <w:pPr>
        <w:spacing w:line="360" w:lineRule="auto"/>
        <w:rPr>
          <w:rFonts w:ascii="宋体" w:hAnsi="宋体"/>
          <w:color w:val="auto"/>
          <w:sz w:val="24"/>
          <w:highlight w:val="none"/>
        </w:rPr>
      </w:pPr>
      <w:r>
        <w:rPr>
          <w:rFonts w:ascii="宋体" w:hAnsi="宋体"/>
          <w:color w:val="auto"/>
          <w:sz w:val="24"/>
          <w:highlight w:val="none"/>
        </w:rPr>
        <w:t>附：法定代表人情况：</w:t>
      </w:r>
    </w:p>
    <w:p w14:paraId="68B56AFA">
      <w:pPr>
        <w:spacing w:line="360" w:lineRule="auto"/>
        <w:rPr>
          <w:rFonts w:ascii="宋体" w:hAnsi="宋体"/>
          <w:color w:val="auto"/>
          <w:sz w:val="24"/>
          <w:highlight w:val="none"/>
          <w:u w:val="single"/>
        </w:rPr>
      </w:pP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 xml:space="preserve">          </w:t>
      </w:r>
    </w:p>
    <w:p w14:paraId="4DF2E750">
      <w:pPr>
        <w:spacing w:line="360" w:lineRule="auto"/>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2C3A3E24">
      <w:pPr>
        <w:spacing w:line="360" w:lineRule="auto"/>
        <w:rPr>
          <w:rFonts w:ascii="宋体" w:hAnsi="宋体"/>
          <w:color w:val="auto"/>
          <w:sz w:val="24"/>
          <w:highlight w:val="none"/>
        </w:rPr>
      </w:pPr>
      <w:r>
        <w:rPr>
          <w:rFonts w:ascii="宋体" w:hAnsi="宋体"/>
          <w:color w:val="auto"/>
          <w:sz w:val="24"/>
          <w:highlight w:val="none"/>
        </w:rPr>
        <w:t>手机：</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6024D4E0">
      <w:pPr>
        <w:spacing w:line="360" w:lineRule="auto"/>
        <w:rPr>
          <w:rFonts w:ascii="宋体" w:hAnsi="宋体"/>
          <w:color w:val="auto"/>
          <w:sz w:val="24"/>
          <w:highlight w:val="none"/>
        </w:rPr>
      </w:pPr>
    </w:p>
    <w:p w14:paraId="79BEE779">
      <w:pPr>
        <w:spacing w:line="360" w:lineRule="auto"/>
        <w:rPr>
          <w:rFonts w:ascii="宋体" w:hAnsi="宋体"/>
          <w:color w:val="auto"/>
          <w:sz w:val="24"/>
          <w:highlight w:val="none"/>
        </w:rPr>
      </w:pPr>
      <w:r>
        <w:rPr>
          <w:rFonts w:ascii="宋体" w:hAnsi="宋体"/>
          <w:color w:val="auto"/>
          <w:sz w:val="24"/>
          <w:highlight w:val="none"/>
        </w:rPr>
        <w:t xml:space="preserve">单位名称（公章）             法定代表人（签字或盖章） </w:t>
      </w:r>
    </w:p>
    <w:p w14:paraId="5D2D94AC">
      <w:pPr>
        <w:spacing w:line="360" w:lineRule="auto"/>
        <w:ind w:firstLine="1200" w:firstLineChars="500"/>
        <w:rPr>
          <w:rFonts w:ascii="宋体" w:hAnsi="宋体"/>
          <w:color w:val="auto"/>
          <w:sz w:val="24"/>
          <w:highlight w:val="none"/>
        </w:rPr>
      </w:pPr>
      <w:r>
        <w:rPr>
          <w:rFonts w:ascii="宋体" w:hAnsi="宋体"/>
          <w:color w:val="auto"/>
          <w:sz w:val="24"/>
          <w:highlight w:val="none"/>
        </w:rPr>
        <w:t xml:space="preserve">年   月   日                 年   月    日  </w:t>
      </w:r>
    </w:p>
    <w:p w14:paraId="77C4EF67">
      <w:pPr>
        <w:spacing w:line="360" w:lineRule="auto"/>
        <w:rPr>
          <w:rFonts w:ascii="宋体" w:hAnsi="宋体"/>
          <w:color w:val="auto"/>
          <w:sz w:val="24"/>
          <w:highlight w:val="none"/>
        </w:rPr>
      </w:pPr>
      <w:r>
        <w:rPr>
          <w:rFonts w:ascii="宋体" w:hAnsi="宋体"/>
          <w:color w:val="auto"/>
          <w:sz w:val="24"/>
          <w:highlight w:val="none"/>
        </w:rPr>
        <w:t>法定代表人身份证复印件</w:t>
      </w:r>
    </w:p>
    <w:p w14:paraId="1846D138">
      <w:pPr>
        <w:spacing w:line="360" w:lineRule="auto"/>
        <w:rPr>
          <w:rFonts w:ascii="宋体" w:hAnsi="宋体"/>
          <w:color w:val="auto"/>
          <w:sz w:val="24"/>
          <w:highlight w:val="none"/>
        </w:rPr>
      </w:pPr>
      <w:r>
        <w:rPr>
          <w:rFonts w:ascii="宋体" w:hAnsi="宋体"/>
          <w:color w:val="auto"/>
          <w:sz w:val="24"/>
          <w:highlight w:val="none"/>
        </w:rPr>
        <w:t xml:space="preserve"> </w:t>
      </w:r>
    </w:p>
    <w:p w14:paraId="641B5DC4">
      <w:pPr>
        <w:spacing w:line="360" w:lineRule="auto"/>
        <w:rPr>
          <w:rFonts w:ascii="宋体" w:hAnsi="宋体"/>
          <w:color w:val="auto"/>
          <w:sz w:val="24"/>
          <w:highlight w:val="none"/>
        </w:rPr>
      </w:pPr>
    </w:p>
    <w:p w14:paraId="5E5C58BE">
      <w:pPr>
        <w:spacing w:line="360" w:lineRule="auto"/>
        <w:ind w:firstLine="3120" w:firstLineChars="1300"/>
        <w:rPr>
          <w:rFonts w:ascii="宋体" w:hAnsi="宋体"/>
          <w:color w:val="auto"/>
          <w:sz w:val="24"/>
          <w:highlight w:val="none"/>
        </w:rPr>
      </w:pPr>
      <w:r>
        <w:rPr>
          <w:rFonts w:ascii="宋体" w:hAnsi="宋体"/>
          <w:color w:val="auto"/>
          <w:sz w:val="24"/>
          <w:highlight w:val="none"/>
        </w:rPr>
        <w:t>（粘贴此处）</w:t>
      </w:r>
    </w:p>
    <w:p w14:paraId="7E942317">
      <w:pPr>
        <w:spacing w:line="360" w:lineRule="auto"/>
        <w:ind w:firstLine="2280" w:firstLineChars="950"/>
        <w:rPr>
          <w:rFonts w:ascii="宋体" w:hAnsi="宋体"/>
          <w:b/>
          <w:bCs/>
          <w:color w:val="auto"/>
          <w:sz w:val="24"/>
          <w:highlight w:val="none"/>
        </w:rPr>
      </w:pPr>
    </w:p>
    <w:p w14:paraId="76B311AE">
      <w:pPr>
        <w:spacing w:line="360" w:lineRule="auto"/>
        <w:ind w:firstLine="2280" w:firstLineChars="950"/>
        <w:rPr>
          <w:rFonts w:ascii="宋体" w:hAnsi="宋体"/>
          <w:b/>
          <w:bCs/>
          <w:color w:val="auto"/>
          <w:sz w:val="24"/>
          <w:highlight w:val="none"/>
        </w:rPr>
      </w:pPr>
    </w:p>
    <w:p w14:paraId="174C8E8B">
      <w:pPr>
        <w:spacing w:line="360" w:lineRule="auto"/>
        <w:ind w:firstLine="480" w:firstLineChars="200"/>
        <w:rPr>
          <w:rFonts w:ascii="宋体" w:hAnsi="宋体"/>
          <w:b/>
          <w:bCs/>
          <w:color w:val="auto"/>
          <w:sz w:val="24"/>
          <w:highlight w:val="none"/>
        </w:rPr>
      </w:pPr>
      <w:r>
        <w:rPr>
          <w:rFonts w:ascii="宋体" w:hAnsi="宋体"/>
          <w:b/>
          <w:bCs/>
          <w:color w:val="auto"/>
          <w:sz w:val="24"/>
          <w:highlight w:val="none"/>
        </w:rPr>
        <w:t>注: 法定代表人参加投标时将身份证带至招标现场备查。</w:t>
      </w:r>
    </w:p>
    <w:p w14:paraId="7F60CFE6">
      <w:pPr>
        <w:spacing w:line="360" w:lineRule="auto"/>
        <w:rPr>
          <w:rFonts w:ascii="宋体" w:hAnsi="宋体"/>
          <w:b/>
          <w:bCs/>
          <w:color w:val="auto"/>
          <w:sz w:val="24"/>
          <w:highlight w:val="none"/>
        </w:rPr>
      </w:pPr>
    </w:p>
    <w:p w14:paraId="5C60DDFD">
      <w:pPr>
        <w:spacing w:line="360" w:lineRule="auto"/>
        <w:jc w:val="center"/>
        <w:rPr>
          <w:rFonts w:ascii="宋体" w:hAnsi="宋体"/>
          <w:b/>
          <w:bCs/>
          <w:color w:val="auto"/>
          <w:sz w:val="28"/>
          <w:szCs w:val="28"/>
          <w:highlight w:val="none"/>
        </w:rPr>
      </w:pPr>
      <w:r>
        <w:rPr>
          <w:rFonts w:ascii="宋体" w:hAnsi="宋体"/>
          <w:b/>
          <w:bCs/>
          <w:color w:val="auto"/>
          <w:sz w:val="24"/>
          <w:highlight w:val="none"/>
        </w:rPr>
        <w:br w:type="page"/>
      </w:r>
      <w:r>
        <w:rPr>
          <w:rFonts w:ascii="宋体" w:hAnsi="宋体"/>
          <w:b/>
          <w:bCs/>
          <w:color w:val="auto"/>
          <w:sz w:val="28"/>
          <w:szCs w:val="28"/>
          <w:highlight w:val="none"/>
        </w:rPr>
        <w:t>三、授权委托书</w:t>
      </w:r>
    </w:p>
    <w:p w14:paraId="6CB5B2EF">
      <w:pPr>
        <w:spacing w:line="360" w:lineRule="auto"/>
        <w:ind w:firstLine="480" w:firstLineChars="200"/>
        <w:jc w:val="left"/>
        <w:rPr>
          <w:rFonts w:ascii="宋体" w:hAnsi="宋体"/>
          <w:b/>
          <w:bCs/>
          <w:color w:val="auto"/>
          <w:sz w:val="24"/>
          <w:highlight w:val="none"/>
        </w:rPr>
      </w:pPr>
    </w:p>
    <w:p w14:paraId="7C10CB6A">
      <w:pPr>
        <w:spacing w:line="360" w:lineRule="auto"/>
        <w:rPr>
          <w:rFonts w:ascii="宋体" w:hAnsi="宋体"/>
          <w:color w:val="auto"/>
          <w:sz w:val="24"/>
          <w:highlight w:val="none"/>
        </w:rPr>
      </w:pPr>
      <w:r>
        <w:rPr>
          <w:rFonts w:hint="eastAsia" w:ascii="宋体" w:hAnsi="宋体"/>
          <w:color w:val="auto"/>
          <w:sz w:val="24"/>
          <w:highlight w:val="none"/>
          <w:u w:val="single"/>
        </w:rPr>
        <w:t>南通市通吕运河水利工程管理所</w:t>
      </w:r>
      <w:r>
        <w:rPr>
          <w:rFonts w:ascii="宋体" w:hAnsi="宋体"/>
          <w:color w:val="auto"/>
          <w:sz w:val="24"/>
          <w:highlight w:val="none"/>
        </w:rPr>
        <w:t xml:space="preserve">： </w:t>
      </w:r>
    </w:p>
    <w:p w14:paraId="3BF8E12C">
      <w:pPr>
        <w:spacing w:line="360" w:lineRule="auto"/>
        <w:ind w:firstLine="720" w:firstLineChars="300"/>
        <w:jc w:val="left"/>
        <w:rPr>
          <w:rFonts w:ascii="宋体" w:hAnsi="宋体"/>
          <w:color w:val="auto"/>
          <w:sz w:val="24"/>
          <w:highlight w:val="none"/>
        </w:rPr>
      </w:pPr>
      <w:r>
        <w:rPr>
          <w:rFonts w:ascii="宋体" w:hAnsi="宋体"/>
          <w:color w:val="auto"/>
          <w:sz w:val="24"/>
          <w:highlight w:val="none"/>
        </w:rPr>
        <w:t>兹授权</w:t>
      </w:r>
      <w:r>
        <w:rPr>
          <w:rFonts w:ascii="宋体" w:hAnsi="宋体"/>
          <w:color w:val="auto"/>
          <w:sz w:val="24"/>
          <w:highlight w:val="none"/>
          <w:u w:val="single"/>
        </w:rPr>
        <w:t xml:space="preserve">         </w:t>
      </w:r>
      <w:r>
        <w:rPr>
          <w:rFonts w:ascii="宋体" w:hAnsi="宋体"/>
          <w:color w:val="auto"/>
          <w:sz w:val="24"/>
          <w:highlight w:val="none"/>
        </w:rPr>
        <w:t>（被授权人的姓名）代表我公司参加</w:t>
      </w:r>
      <w:r>
        <w:rPr>
          <w:rFonts w:ascii="宋体" w:hAnsi="宋体"/>
          <w:color w:val="auto"/>
          <w:sz w:val="24"/>
          <w:highlight w:val="none"/>
          <w:u w:val="single"/>
        </w:rPr>
        <w:t xml:space="preserve">             </w:t>
      </w:r>
      <w:r>
        <w:rPr>
          <w:rFonts w:ascii="宋体" w:hAnsi="宋体"/>
          <w:color w:val="auto"/>
          <w:sz w:val="24"/>
          <w:highlight w:val="none"/>
        </w:rPr>
        <w:t>项目的政府采购活动，全权处理一切与该项目公开招标有关的事务。其在办理上述事宜过程中所签署的所有文件我公司均予以承认。</w:t>
      </w:r>
    </w:p>
    <w:p w14:paraId="63F82B1C">
      <w:pPr>
        <w:spacing w:line="360" w:lineRule="auto"/>
        <w:ind w:firstLine="720" w:firstLineChars="300"/>
        <w:jc w:val="left"/>
        <w:rPr>
          <w:rFonts w:ascii="宋体" w:hAnsi="宋体"/>
          <w:color w:val="auto"/>
          <w:sz w:val="24"/>
          <w:highlight w:val="none"/>
        </w:rPr>
      </w:pPr>
      <w:r>
        <w:rPr>
          <w:rFonts w:ascii="宋体" w:hAnsi="宋体"/>
          <w:color w:val="auto"/>
          <w:sz w:val="24"/>
          <w:highlight w:val="none"/>
        </w:rPr>
        <w:t xml:space="preserve">被授权人无转委托权。特此委托。  </w:t>
      </w:r>
    </w:p>
    <w:p w14:paraId="2605E2FE">
      <w:pPr>
        <w:snapToGrid w:val="0"/>
        <w:spacing w:line="360" w:lineRule="auto"/>
        <w:ind w:firstLine="480" w:firstLineChars="200"/>
        <w:rPr>
          <w:rFonts w:ascii="宋体" w:hAnsi="宋体"/>
          <w:color w:val="auto"/>
          <w:sz w:val="24"/>
          <w:highlight w:val="none"/>
        </w:rPr>
      </w:pPr>
    </w:p>
    <w:p w14:paraId="7F8EC0C8">
      <w:pPr>
        <w:spacing w:line="360" w:lineRule="auto"/>
        <w:rPr>
          <w:rFonts w:ascii="宋体" w:hAnsi="宋体"/>
          <w:color w:val="auto"/>
          <w:sz w:val="24"/>
          <w:highlight w:val="none"/>
        </w:rPr>
      </w:pPr>
      <w:r>
        <w:rPr>
          <w:rFonts w:ascii="宋体" w:hAnsi="宋体"/>
          <w:color w:val="auto"/>
          <w:sz w:val="24"/>
          <w:highlight w:val="none"/>
        </w:rPr>
        <w:t xml:space="preserve">附：被授权人情况：  </w:t>
      </w:r>
    </w:p>
    <w:p w14:paraId="4130DDFF">
      <w:pPr>
        <w:spacing w:line="360" w:lineRule="auto"/>
        <w:rPr>
          <w:rFonts w:ascii="宋体" w:hAnsi="宋体"/>
          <w:color w:val="auto"/>
          <w:sz w:val="24"/>
          <w:highlight w:val="none"/>
          <w:u w:val="single"/>
        </w:rPr>
      </w:pP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 xml:space="preserve">          </w:t>
      </w:r>
    </w:p>
    <w:p w14:paraId="156C252E">
      <w:pPr>
        <w:spacing w:line="360" w:lineRule="auto"/>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1F1FBB72">
      <w:pPr>
        <w:spacing w:line="360" w:lineRule="auto"/>
        <w:rPr>
          <w:rFonts w:ascii="宋体" w:hAnsi="宋体"/>
          <w:color w:val="auto"/>
          <w:sz w:val="24"/>
          <w:highlight w:val="none"/>
        </w:rPr>
      </w:pPr>
      <w:r>
        <w:rPr>
          <w:rFonts w:ascii="宋体" w:hAnsi="宋体"/>
          <w:color w:val="auto"/>
          <w:sz w:val="24"/>
          <w:highlight w:val="none"/>
        </w:rPr>
        <w:t>手机：</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1FAA56CD">
      <w:pPr>
        <w:spacing w:line="360" w:lineRule="auto"/>
        <w:rPr>
          <w:rFonts w:ascii="宋体" w:hAnsi="宋体"/>
          <w:color w:val="auto"/>
          <w:sz w:val="24"/>
          <w:highlight w:val="none"/>
        </w:rPr>
      </w:pPr>
    </w:p>
    <w:p w14:paraId="10971B92">
      <w:pPr>
        <w:spacing w:line="360" w:lineRule="auto"/>
        <w:rPr>
          <w:rFonts w:ascii="宋体" w:hAnsi="宋体"/>
          <w:color w:val="auto"/>
          <w:sz w:val="24"/>
          <w:highlight w:val="none"/>
        </w:rPr>
      </w:pPr>
      <w:r>
        <w:rPr>
          <w:rFonts w:ascii="宋体" w:hAnsi="宋体"/>
          <w:color w:val="auto"/>
          <w:sz w:val="24"/>
          <w:highlight w:val="none"/>
        </w:rPr>
        <w:t>单位名称（公章）             法定代表人（签字或盖章）</w:t>
      </w:r>
    </w:p>
    <w:p w14:paraId="15EC3B45">
      <w:pPr>
        <w:spacing w:line="360" w:lineRule="auto"/>
        <w:ind w:firstLine="1200" w:firstLineChars="500"/>
        <w:rPr>
          <w:rFonts w:ascii="宋体" w:hAnsi="宋体"/>
          <w:color w:val="auto"/>
          <w:sz w:val="24"/>
          <w:highlight w:val="none"/>
        </w:rPr>
      </w:pPr>
      <w:r>
        <w:rPr>
          <w:rFonts w:ascii="宋体" w:hAnsi="宋体"/>
          <w:color w:val="auto"/>
          <w:sz w:val="24"/>
          <w:highlight w:val="none"/>
        </w:rPr>
        <w:t xml:space="preserve">年   月   日                 年   月    日  </w:t>
      </w:r>
    </w:p>
    <w:p w14:paraId="7DC0082E">
      <w:pPr>
        <w:spacing w:line="360" w:lineRule="auto"/>
        <w:rPr>
          <w:rFonts w:ascii="宋体" w:hAnsi="宋体"/>
          <w:color w:val="auto"/>
          <w:sz w:val="24"/>
          <w:highlight w:val="none"/>
        </w:rPr>
      </w:pPr>
    </w:p>
    <w:p w14:paraId="657A1C90">
      <w:pPr>
        <w:spacing w:line="360" w:lineRule="auto"/>
        <w:rPr>
          <w:rFonts w:ascii="宋体" w:hAnsi="宋体"/>
          <w:color w:val="auto"/>
          <w:sz w:val="24"/>
          <w:highlight w:val="none"/>
        </w:rPr>
      </w:pPr>
      <w:r>
        <w:rPr>
          <w:rFonts w:ascii="宋体" w:hAnsi="宋体"/>
          <w:color w:val="auto"/>
          <w:sz w:val="24"/>
          <w:highlight w:val="none"/>
        </w:rPr>
        <w:t>法定代表人身份证复印件</w:t>
      </w:r>
    </w:p>
    <w:p w14:paraId="14B57782">
      <w:pPr>
        <w:spacing w:line="360" w:lineRule="auto"/>
        <w:rPr>
          <w:rFonts w:ascii="宋体" w:hAnsi="宋体"/>
          <w:color w:val="auto"/>
          <w:sz w:val="24"/>
          <w:highlight w:val="none"/>
        </w:rPr>
      </w:pPr>
    </w:p>
    <w:p w14:paraId="16E2EBD6">
      <w:pPr>
        <w:spacing w:line="360" w:lineRule="auto"/>
        <w:rPr>
          <w:rFonts w:hint="eastAsia" w:ascii="宋体" w:hAnsi="宋体"/>
          <w:color w:val="auto"/>
          <w:sz w:val="24"/>
          <w:highlight w:val="none"/>
        </w:rPr>
      </w:pPr>
    </w:p>
    <w:p w14:paraId="108B4EA0">
      <w:pPr>
        <w:spacing w:line="360" w:lineRule="auto"/>
        <w:rPr>
          <w:rFonts w:ascii="宋体" w:hAnsi="宋体"/>
          <w:color w:val="auto"/>
          <w:sz w:val="24"/>
          <w:highlight w:val="none"/>
        </w:rPr>
      </w:pPr>
      <w:r>
        <w:rPr>
          <w:rFonts w:ascii="宋体" w:hAnsi="宋体"/>
          <w:color w:val="auto"/>
          <w:sz w:val="24"/>
          <w:highlight w:val="none"/>
        </w:rPr>
        <w:t>被授权人身份证复印件</w:t>
      </w:r>
    </w:p>
    <w:p w14:paraId="655A05B1">
      <w:pPr>
        <w:spacing w:line="360" w:lineRule="auto"/>
        <w:ind w:firstLine="3120" w:firstLineChars="1300"/>
        <w:rPr>
          <w:rFonts w:ascii="宋体" w:hAnsi="宋体"/>
          <w:b/>
          <w:bCs/>
          <w:color w:val="auto"/>
          <w:sz w:val="24"/>
          <w:highlight w:val="none"/>
        </w:rPr>
      </w:pPr>
      <w:r>
        <w:rPr>
          <w:rFonts w:ascii="宋体" w:hAnsi="宋体"/>
          <w:color w:val="auto"/>
          <w:sz w:val="24"/>
          <w:highlight w:val="none"/>
        </w:rPr>
        <w:t>（粘贴此处）</w:t>
      </w:r>
    </w:p>
    <w:p w14:paraId="1452A7F7">
      <w:pPr>
        <w:spacing w:line="360" w:lineRule="auto"/>
        <w:ind w:firstLine="480" w:firstLineChars="200"/>
        <w:rPr>
          <w:rFonts w:hint="eastAsia" w:ascii="宋体" w:hAnsi="宋体"/>
          <w:b/>
          <w:bCs/>
          <w:color w:val="auto"/>
          <w:sz w:val="24"/>
          <w:highlight w:val="none"/>
        </w:rPr>
      </w:pPr>
    </w:p>
    <w:p w14:paraId="39405F64">
      <w:pPr>
        <w:spacing w:line="360" w:lineRule="auto"/>
        <w:ind w:firstLine="480" w:firstLineChars="200"/>
        <w:rPr>
          <w:rFonts w:ascii="宋体" w:hAnsi="宋体"/>
          <w:b/>
          <w:bCs/>
          <w:color w:val="auto"/>
          <w:sz w:val="24"/>
          <w:highlight w:val="none"/>
        </w:rPr>
      </w:pPr>
      <w:r>
        <w:rPr>
          <w:rFonts w:ascii="宋体" w:hAnsi="宋体"/>
          <w:b/>
          <w:bCs/>
          <w:color w:val="auto"/>
          <w:sz w:val="24"/>
          <w:highlight w:val="none"/>
        </w:rPr>
        <w:t>注: 被授权人参加投标时将本人身份证带至招标现场备查。</w:t>
      </w:r>
    </w:p>
    <w:p w14:paraId="1EB9A099">
      <w:pPr>
        <w:jc w:val="center"/>
        <w:rPr>
          <w:rFonts w:ascii="宋体" w:hAnsi="宋体" w:cs="宋体"/>
          <w:b/>
          <w:color w:val="auto"/>
          <w:sz w:val="24"/>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四、</w:t>
      </w:r>
      <w:r>
        <w:rPr>
          <w:rFonts w:hint="eastAsia" w:ascii="宋体" w:hAnsi="宋体"/>
          <w:b/>
          <w:bCs/>
          <w:color w:val="auto"/>
          <w:sz w:val="28"/>
          <w:szCs w:val="28"/>
          <w:highlight w:val="none"/>
        </w:rPr>
        <w:t>投标人符合《政府采购法》第二十二条规定条件的声明函</w:t>
      </w:r>
    </w:p>
    <w:p w14:paraId="6069EAC6">
      <w:pPr>
        <w:spacing w:line="460" w:lineRule="exact"/>
        <w:rPr>
          <w:rFonts w:ascii="宋体" w:hAnsi="宋体" w:cs="宋体"/>
          <w:b/>
          <w:bCs/>
          <w:color w:val="auto"/>
          <w:sz w:val="24"/>
          <w:highlight w:val="none"/>
        </w:rPr>
      </w:pPr>
    </w:p>
    <w:p w14:paraId="5B46F27B">
      <w:pPr>
        <w:spacing w:line="520" w:lineRule="exact"/>
        <w:ind w:firstLine="480" w:firstLineChars="200"/>
        <w:rPr>
          <w:rFonts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cs="宋体"/>
          <w:bCs/>
          <w:color w:val="auto"/>
          <w:sz w:val="24"/>
          <w:highlight w:val="none"/>
          <w:u w:val="single"/>
        </w:rPr>
        <w:t>________________ _</w:t>
      </w:r>
      <w:r>
        <w:rPr>
          <w:rFonts w:hint="eastAsia" w:ascii="宋体" w:hAnsi="宋体" w:cs="宋体"/>
          <w:bCs/>
          <w:color w:val="auto"/>
          <w:sz w:val="24"/>
          <w:highlight w:val="none"/>
        </w:rPr>
        <w:t>（项目名称）投标活动。针对《中华人民共和国政府采购法》第二十二条规定做出如下声明：</w:t>
      </w:r>
    </w:p>
    <w:p w14:paraId="1B1A2376">
      <w:pPr>
        <w:numPr>
          <w:ilvl w:val="0"/>
          <w:numId w:val="8"/>
        </w:numPr>
        <w:spacing w:line="520" w:lineRule="exact"/>
        <w:rPr>
          <w:rFonts w:ascii="宋体" w:hAnsi="宋体" w:cs="宋体"/>
          <w:color w:val="auto"/>
          <w:sz w:val="24"/>
          <w:highlight w:val="none"/>
        </w:rPr>
      </w:pPr>
      <w:r>
        <w:rPr>
          <w:rFonts w:hint="eastAsia" w:ascii="宋体" w:hAnsi="宋体" w:cs="宋体"/>
          <w:bCs/>
          <w:color w:val="auto"/>
          <w:sz w:val="24"/>
          <w:highlight w:val="none"/>
        </w:rPr>
        <w:t>我单位具有独立承担民事责任的能力；</w:t>
      </w:r>
    </w:p>
    <w:p w14:paraId="3CEF3342">
      <w:pPr>
        <w:numPr>
          <w:ilvl w:val="0"/>
          <w:numId w:val="8"/>
        </w:numPr>
        <w:spacing w:line="520" w:lineRule="exact"/>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14:paraId="6C994EC1">
      <w:pPr>
        <w:numPr>
          <w:ilvl w:val="0"/>
          <w:numId w:val="8"/>
        </w:numPr>
        <w:spacing w:line="520" w:lineRule="exact"/>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14:paraId="541BC83F">
      <w:pPr>
        <w:numPr>
          <w:ilvl w:val="0"/>
          <w:numId w:val="8"/>
        </w:numPr>
        <w:spacing w:line="520" w:lineRule="exact"/>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14:paraId="6FC199D7">
      <w:pPr>
        <w:numPr>
          <w:ilvl w:val="0"/>
          <w:numId w:val="8"/>
        </w:numPr>
        <w:spacing w:line="520" w:lineRule="exact"/>
        <w:rPr>
          <w:rFonts w:ascii="宋体" w:hAnsi="宋体" w:cs="宋体"/>
          <w:color w:val="auto"/>
          <w:sz w:val="24"/>
          <w:highlight w:val="none"/>
        </w:rPr>
      </w:pPr>
      <w:r>
        <w:rPr>
          <w:rFonts w:hint="eastAsia" w:ascii="宋体" w:hAnsi="宋体" w:cs="宋体"/>
          <w:color w:val="auto"/>
          <w:sz w:val="24"/>
          <w:highlight w:val="none"/>
        </w:rPr>
        <w:t>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AD6F27B">
      <w:pPr>
        <w:numPr>
          <w:ilvl w:val="0"/>
          <w:numId w:val="8"/>
        </w:numPr>
        <w:spacing w:line="520" w:lineRule="exact"/>
        <w:rPr>
          <w:rFonts w:ascii="宋体" w:hAnsi="宋体" w:cs="宋体"/>
          <w:color w:val="auto"/>
          <w:sz w:val="24"/>
          <w:highlight w:val="none"/>
        </w:rPr>
      </w:pPr>
      <w:r>
        <w:rPr>
          <w:rFonts w:hint="eastAsia" w:ascii="宋体" w:hAnsi="宋体" w:cs="宋体"/>
          <w:color w:val="auto"/>
          <w:sz w:val="24"/>
          <w:highlight w:val="none"/>
        </w:rPr>
        <w:t>我单位满足法律、行政法规规定的其他条件。</w:t>
      </w:r>
    </w:p>
    <w:p w14:paraId="564FE9C1">
      <w:pPr>
        <w:spacing w:line="360" w:lineRule="auto"/>
        <w:ind w:firstLine="480" w:firstLineChars="200"/>
        <w:rPr>
          <w:rFonts w:ascii="宋体" w:hAnsi="宋体"/>
          <w:color w:val="auto"/>
          <w:sz w:val="24"/>
          <w:highlight w:val="none"/>
        </w:rPr>
      </w:pPr>
    </w:p>
    <w:p w14:paraId="22317F97">
      <w:pPr>
        <w:spacing w:line="360" w:lineRule="auto"/>
        <w:ind w:firstLine="200" w:firstLineChars="200"/>
        <w:rPr>
          <w:rFonts w:ascii="宋体" w:hAnsi="宋体"/>
          <w:color w:val="auto"/>
          <w:sz w:val="10"/>
          <w:szCs w:val="10"/>
          <w:highlight w:val="none"/>
        </w:rPr>
      </w:pPr>
    </w:p>
    <w:p w14:paraId="633C6149">
      <w:pPr>
        <w:spacing w:line="360" w:lineRule="auto"/>
        <w:ind w:firstLine="1920" w:firstLineChars="800"/>
        <w:rPr>
          <w:rFonts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（加盖公章）</w:t>
      </w:r>
    </w:p>
    <w:p w14:paraId="0CA9192C">
      <w:pPr>
        <w:spacing w:line="360" w:lineRule="auto"/>
        <w:ind w:firstLine="1920" w:firstLineChars="800"/>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7DD8FC49">
      <w:pPr>
        <w:spacing w:line="360" w:lineRule="auto"/>
        <w:ind w:firstLine="4320" w:firstLineChars="1800"/>
        <w:rPr>
          <w:rFonts w:ascii="宋体" w:hAnsi="宋体"/>
          <w:color w:val="auto"/>
          <w:sz w:val="24"/>
          <w:highlight w:val="none"/>
        </w:rPr>
      </w:pPr>
      <w:r>
        <w:rPr>
          <w:rFonts w:ascii="宋体" w:hAnsi="宋体"/>
          <w:color w:val="auto"/>
          <w:sz w:val="24"/>
          <w:highlight w:val="none"/>
        </w:rPr>
        <w:t>年  月  日</w:t>
      </w:r>
    </w:p>
    <w:p w14:paraId="5558DE42">
      <w:pPr>
        <w:snapToGrid w:val="0"/>
        <w:spacing w:line="360" w:lineRule="auto"/>
        <w:jc w:val="center"/>
        <w:outlineLvl w:val="1"/>
        <w:rPr>
          <w:rFonts w:ascii="宋体" w:hAnsi="宋体" w:cs="宋体"/>
          <w:b/>
          <w:color w:val="auto"/>
          <w:kern w:val="0"/>
          <w:sz w:val="24"/>
          <w:highlight w:val="none"/>
        </w:rPr>
      </w:pPr>
      <w:r>
        <w:rPr>
          <w:rFonts w:ascii="宋体" w:hAnsi="宋体"/>
          <w:b/>
          <w:bCs/>
          <w:color w:val="auto"/>
          <w:sz w:val="28"/>
          <w:szCs w:val="28"/>
          <w:highlight w:val="none"/>
        </w:rPr>
        <w:br w:type="page"/>
      </w:r>
      <w:r>
        <w:rPr>
          <w:rFonts w:hint="eastAsia" w:ascii="宋体" w:hAnsi="宋体"/>
          <w:b/>
          <w:bCs/>
          <w:color w:val="auto"/>
          <w:sz w:val="28"/>
          <w:szCs w:val="28"/>
          <w:highlight w:val="none"/>
          <w:lang w:val="en-US" w:eastAsia="zh-CN"/>
        </w:rPr>
        <w:t>五、</w:t>
      </w:r>
      <w:r>
        <w:rPr>
          <w:rFonts w:hint="eastAsia" w:ascii="宋体" w:hAnsi="宋体"/>
          <w:b/>
          <w:color w:val="auto"/>
          <w:sz w:val="28"/>
          <w:highlight w:val="none"/>
        </w:rPr>
        <w:t>中小企业声明函</w:t>
      </w:r>
    </w:p>
    <w:p w14:paraId="4601D2F8">
      <w:pPr>
        <w:pStyle w:val="199"/>
        <w:spacing w:line="520" w:lineRule="exact"/>
        <w:ind w:firstLine="480"/>
        <w:rPr>
          <w:color w:val="auto"/>
          <w:highlight w:val="none"/>
          <w:lang w:bidi="zh-CN"/>
        </w:rPr>
      </w:pPr>
      <w:r>
        <w:rPr>
          <w:rFonts w:hint="eastAsia"/>
          <w:color w:val="auto"/>
          <w:highlight w:val="none"/>
          <w:lang w:bidi="zh-CN"/>
        </w:rPr>
        <w:t>本公司（联合体）郑重声明，根据《政府采购促进中小企业发展管理办法》（财库﹝2020﹞46 号）的规定，本公司（联合体）参加</w:t>
      </w:r>
      <w:r>
        <w:rPr>
          <w:rFonts w:hint="eastAsia"/>
          <w:color w:val="auto"/>
          <w:highlight w:val="none"/>
          <w:u w:val="single"/>
          <w:lang w:bidi="zh-CN"/>
        </w:rPr>
        <w:t>（单位名称）</w:t>
      </w:r>
      <w:r>
        <w:rPr>
          <w:rFonts w:hint="eastAsia"/>
          <w:color w:val="auto"/>
          <w:highlight w:val="none"/>
          <w:lang w:bidi="zh-CN"/>
        </w:rPr>
        <w:t>的</w:t>
      </w:r>
      <w:r>
        <w:rPr>
          <w:rFonts w:hint="eastAsia"/>
          <w:color w:val="auto"/>
          <w:highlight w:val="none"/>
          <w:u w:val="single"/>
          <w:lang w:bidi="zh-CN"/>
        </w:rPr>
        <w:t>（项目名称）</w:t>
      </w:r>
      <w:r>
        <w:rPr>
          <w:rFonts w:hint="eastAsia"/>
          <w:color w:val="auto"/>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346B0B65">
      <w:pPr>
        <w:pStyle w:val="199"/>
        <w:spacing w:line="520" w:lineRule="exact"/>
        <w:ind w:firstLine="480"/>
        <w:rPr>
          <w:color w:val="auto"/>
          <w:highlight w:val="none"/>
          <w:lang w:bidi="zh-CN"/>
        </w:rPr>
      </w:pPr>
      <w:r>
        <w:rPr>
          <w:rFonts w:hint="eastAsia"/>
          <w:color w:val="auto"/>
          <w:highlight w:val="none"/>
          <w:lang w:bidi="zh-CN"/>
        </w:rPr>
        <w:t>1.</w:t>
      </w:r>
      <w:r>
        <w:rPr>
          <w:rFonts w:hint="eastAsia"/>
          <w:color w:val="auto"/>
          <w:highlight w:val="none"/>
          <w:u w:val="single"/>
          <w:lang w:bidi="zh-CN"/>
        </w:rPr>
        <w:t>（标的名称）</w:t>
      </w:r>
      <w:r>
        <w:rPr>
          <w:rFonts w:hint="eastAsia"/>
          <w:color w:val="auto"/>
          <w:highlight w:val="none"/>
          <w:lang w:bidi="zh-CN"/>
        </w:rPr>
        <w:t>，属于（</w:t>
      </w:r>
      <w:r>
        <w:rPr>
          <w:rFonts w:hint="eastAsia"/>
          <w:color w:val="auto"/>
          <w:highlight w:val="none"/>
          <w:u w:val="single"/>
          <w:lang w:bidi="zh-CN"/>
        </w:rPr>
        <w:t>采购文件中明确的所属行业）</w:t>
      </w:r>
      <w:r>
        <w:rPr>
          <w:rFonts w:hint="eastAsia"/>
          <w:color w:val="auto"/>
          <w:highlight w:val="none"/>
          <w:lang w:bidi="zh-CN"/>
        </w:rPr>
        <w:t>；承建（承接）企业为</w:t>
      </w:r>
      <w:r>
        <w:rPr>
          <w:rFonts w:hint="eastAsia"/>
          <w:color w:val="auto"/>
          <w:highlight w:val="none"/>
          <w:u w:val="single"/>
          <w:lang w:bidi="zh-CN"/>
        </w:rPr>
        <w:t>（企业名称）</w:t>
      </w:r>
      <w:r>
        <w:rPr>
          <w:rFonts w:hint="eastAsia"/>
          <w:color w:val="auto"/>
          <w:highlight w:val="none"/>
          <w:lang w:bidi="zh-CN"/>
        </w:rPr>
        <w:t>，从业人员</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人，营业收入为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万元，资产总额为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万元，属于</w:t>
      </w:r>
      <w:r>
        <w:rPr>
          <w:rFonts w:hint="eastAsia"/>
          <w:color w:val="auto"/>
          <w:highlight w:val="none"/>
          <w:u w:val="single"/>
          <w:lang w:bidi="zh-CN"/>
        </w:rPr>
        <w:t>（中型企业、小型企业、微型企业）</w:t>
      </w:r>
      <w:r>
        <w:rPr>
          <w:rFonts w:hint="eastAsia"/>
          <w:color w:val="auto"/>
          <w:highlight w:val="none"/>
          <w:lang w:bidi="zh-CN"/>
        </w:rPr>
        <w:t>；</w:t>
      </w:r>
    </w:p>
    <w:p w14:paraId="009748A4">
      <w:pPr>
        <w:pStyle w:val="199"/>
        <w:spacing w:line="520" w:lineRule="exact"/>
        <w:ind w:firstLine="480"/>
        <w:rPr>
          <w:color w:val="auto"/>
          <w:highlight w:val="none"/>
          <w:lang w:bidi="zh-CN"/>
        </w:rPr>
      </w:pPr>
      <w:r>
        <w:rPr>
          <w:rFonts w:hint="eastAsia"/>
          <w:color w:val="auto"/>
          <w:highlight w:val="none"/>
          <w:lang w:bidi="zh-CN"/>
        </w:rPr>
        <w:t>2.</w:t>
      </w:r>
      <w:r>
        <w:rPr>
          <w:rFonts w:hint="eastAsia"/>
          <w:color w:val="auto"/>
          <w:highlight w:val="none"/>
          <w:u w:val="single"/>
          <w:lang w:bidi="zh-CN"/>
        </w:rPr>
        <w:t>（标的名称）</w:t>
      </w:r>
      <w:r>
        <w:rPr>
          <w:rFonts w:hint="eastAsia"/>
          <w:color w:val="auto"/>
          <w:highlight w:val="none"/>
          <w:lang w:bidi="zh-CN"/>
        </w:rPr>
        <w:t>，属于（</w:t>
      </w:r>
      <w:r>
        <w:rPr>
          <w:rFonts w:hint="eastAsia"/>
          <w:color w:val="auto"/>
          <w:highlight w:val="none"/>
          <w:u w:val="single"/>
          <w:lang w:bidi="zh-CN"/>
        </w:rPr>
        <w:t>采购文件中明确的所属行业）</w:t>
      </w:r>
      <w:r>
        <w:rPr>
          <w:rFonts w:hint="eastAsia"/>
          <w:color w:val="auto"/>
          <w:highlight w:val="none"/>
          <w:lang w:bidi="zh-CN"/>
        </w:rPr>
        <w:t>；承建（承接）企业为</w:t>
      </w:r>
      <w:r>
        <w:rPr>
          <w:rFonts w:hint="eastAsia"/>
          <w:color w:val="auto"/>
          <w:highlight w:val="none"/>
          <w:u w:val="single"/>
          <w:lang w:bidi="zh-CN"/>
        </w:rPr>
        <w:t>（企业名称）</w:t>
      </w:r>
      <w:r>
        <w:rPr>
          <w:rFonts w:hint="eastAsia"/>
          <w:color w:val="auto"/>
          <w:highlight w:val="none"/>
          <w:lang w:bidi="zh-CN"/>
        </w:rPr>
        <w:t>，从业人员</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人，营业收入为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万元，资产总额为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万元，属于</w:t>
      </w:r>
      <w:r>
        <w:rPr>
          <w:rFonts w:hint="eastAsia"/>
          <w:color w:val="auto"/>
          <w:highlight w:val="none"/>
          <w:u w:val="single"/>
          <w:lang w:bidi="zh-CN"/>
        </w:rPr>
        <w:t>（中型企业、小型企业、微型企业）</w:t>
      </w:r>
      <w:r>
        <w:rPr>
          <w:rFonts w:hint="eastAsia"/>
          <w:color w:val="auto"/>
          <w:highlight w:val="none"/>
          <w:lang w:bidi="zh-CN"/>
        </w:rPr>
        <w:t>；</w:t>
      </w:r>
    </w:p>
    <w:p w14:paraId="5FF20217">
      <w:pPr>
        <w:pStyle w:val="199"/>
        <w:spacing w:line="520" w:lineRule="exact"/>
        <w:ind w:firstLine="480"/>
        <w:rPr>
          <w:color w:val="auto"/>
          <w:highlight w:val="none"/>
          <w:lang w:bidi="zh-CN"/>
        </w:rPr>
      </w:pPr>
      <w:r>
        <w:rPr>
          <w:rFonts w:hint="eastAsia"/>
          <w:color w:val="auto"/>
          <w:highlight w:val="none"/>
          <w:lang w:bidi="zh-CN"/>
        </w:rPr>
        <w:t>……</w:t>
      </w:r>
    </w:p>
    <w:p w14:paraId="137339D1">
      <w:pPr>
        <w:pStyle w:val="199"/>
        <w:spacing w:line="520" w:lineRule="exact"/>
        <w:ind w:firstLine="480"/>
        <w:rPr>
          <w:color w:val="auto"/>
          <w:highlight w:val="none"/>
          <w:lang w:bidi="zh-CN"/>
        </w:rPr>
      </w:pPr>
      <w:r>
        <w:rPr>
          <w:rFonts w:hint="eastAsia"/>
          <w:color w:val="auto"/>
          <w:highlight w:val="none"/>
          <w:lang w:bidi="zh-CN"/>
        </w:rPr>
        <w:t>以上企业，不属于大企业的分支机构，不存在控股股东为大企业的情形，也不存在与大企业的负责人为同一人的情形。</w:t>
      </w:r>
    </w:p>
    <w:p w14:paraId="0F269B25">
      <w:pPr>
        <w:pStyle w:val="199"/>
        <w:spacing w:line="520" w:lineRule="exact"/>
        <w:ind w:firstLine="480"/>
        <w:rPr>
          <w:color w:val="auto"/>
          <w:highlight w:val="none"/>
          <w:lang w:bidi="zh-CN"/>
        </w:rPr>
      </w:pPr>
      <w:r>
        <w:rPr>
          <w:rFonts w:hint="eastAsia"/>
          <w:color w:val="auto"/>
          <w:highlight w:val="none"/>
          <w:lang w:bidi="zh-CN"/>
        </w:rPr>
        <w:t>本企业对上述声明内容的真实性负责。如有虚假，将依法承担相应责任。</w:t>
      </w:r>
    </w:p>
    <w:p w14:paraId="548F5C20">
      <w:pPr>
        <w:spacing w:line="500" w:lineRule="exact"/>
        <w:ind w:firstLine="480" w:firstLineChars="200"/>
        <w:rPr>
          <w:rFonts w:cs="宋体" w:asciiTheme="majorEastAsia" w:hAnsiTheme="majorEastAsia" w:eastAsiaTheme="majorEastAsia"/>
          <w:color w:val="auto"/>
          <w:sz w:val="24"/>
          <w:highlight w:val="none"/>
        </w:rPr>
      </w:pPr>
    </w:p>
    <w:p w14:paraId="6102FF1C">
      <w:pPr>
        <w:spacing w:line="500" w:lineRule="exact"/>
        <w:ind w:right="1200" w:firstLine="480" w:firstLineChars="200"/>
        <w:jc w:val="right"/>
        <w:rPr>
          <w:rFonts w:cs="宋体" w:asciiTheme="majorEastAsia" w:hAnsiTheme="majorEastAsia" w:eastAsiaTheme="majorEastAsia"/>
          <w:color w:val="auto"/>
          <w:sz w:val="24"/>
          <w:highlight w:val="none"/>
        </w:rPr>
      </w:pPr>
    </w:p>
    <w:p w14:paraId="147C4D00">
      <w:pPr>
        <w:spacing w:line="500" w:lineRule="exact"/>
        <w:ind w:right="1200" w:firstLine="480" w:firstLineChars="200"/>
        <w:jc w:val="right"/>
        <w:rPr>
          <w:rFonts w:cs="宋体" w:asciiTheme="majorEastAsia" w:hAnsiTheme="majorEastAsia" w:eastAsiaTheme="majorEastAsia"/>
          <w:color w:val="auto"/>
          <w:sz w:val="24"/>
          <w:highlight w:val="none"/>
        </w:rPr>
      </w:pPr>
    </w:p>
    <w:p w14:paraId="1232808B">
      <w:pPr>
        <w:spacing w:line="500" w:lineRule="exact"/>
        <w:ind w:right="1200" w:firstLine="480" w:firstLineChars="200"/>
        <w:jc w:val="righ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企业名称（盖章）：                         </w:t>
      </w:r>
    </w:p>
    <w:p w14:paraId="2E3B3303">
      <w:pPr>
        <w:spacing w:line="500" w:lineRule="exact"/>
        <w:ind w:right="96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日 期：</w:t>
      </w:r>
    </w:p>
    <w:p w14:paraId="22AEE7BA">
      <w:pPr>
        <w:spacing w:line="500" w:lineRule="exact"/>
        <w:ind w:firstLine="480" w:firstLineChars="200"/>
        <w:rPr>
          <w:rFonts w:cs="宋体" w:asciiTheme="majorEastAsia" w:hAnsiTheme="majorEastAsia" w:eastAsiaTheme="majorEastAsia"/>
          <w:color w:val="auto"/>
          <w:sz w:val="24"/>
          <w:highlight w:val="none"/>
        </w:rPr>
      </w:pPr>
    </w:p>
    <w:p w14:paraId="114E7B90">
      <w:pPr>
        <w:spacing w:line="50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（注：从业人员、营业收入、资产总额填报上一年度数据，无上一年度数据的新成立企业可不填报。）</w:t>
      </w:r>
    </w:p>
    <w:p w14:paraId="135BA4F3">
      <w:pPr>
        <w:widowControl/>
        <w:spacing w:line="360" w:lineRule="auto"/>
        <w:ind w:firstLine="480" w:firstLineChars="200"/>
        <w:jc w:val="left"/>
        <w:rPr>
          <w:rFonts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sz w:val="24"/>
          <w:highlight w:val="none"/>
        </w:rPr>
        <w:t>（备注：供应商如不提供上述声明函，价格将不做相应扣除）</w:t>
      </w:r>
      <w:r>
        <w:rPr>
          <w:rFonts w:hint="eastAsia" w:cs="宋体" w:asciiTheme="majorEastAsia" w:hAnsiTheme="majorEastAsia" w:eastAsiaTheme="majorEastAsia"/>
          <w:color w:val="auto"/>
          <w:kern w:val="0"/>
          <w:sz w:val="24"/>
          <w:highlight w:val="none"/>
        </w:rPr>
        <w:t>。</w:t>
      </w:r>
    </w:p>
    <w:p w14:paraId="19F3BBAD">
      <w:pPr>
        <w:spacing w:after="145" w:afterLines="50" w:line="360" w:lineRule="auto"/>
        <w:rPr>
          <w:rFonts w:ascii="宋体" w:hAnsi="宋体" w:cs="宋体"/>
          <w:color w:val="auto"/>
          <w:sz w:val="24"/>
          <w:highlight w:val="none"/>
        </w:rPr>
      </w:pPr>
    </w:p>
    <w:p w14:paraId="56B75533">
      <w:pPr>
        <w:snapToGrid w:val="0"/>
        <w:spacing w:line="360" w:lineRule="auto"/>
        <w:jc w:val="center"/>
        <w:outlineLvl w:val="1"/>
        <w:rPr>
          <w:rStyle w:val="80"/>
          <w:rFonts w:hint="eastAsia" w:ascii="宋体" w:hAnsi="宋体" w:eastAsia="宋体" w:cs="Times New Roman"/>
          <w:color w:val="auto"/>
          <w:sz w:val="28"/>
          <w:szCs w:val="28"/>
          <w:highlight w:val="none"/>
          <w:lang w:eastAsia="zh-CN"/>
        </w:rPr>
      </w:pPr>
      <w:r>
        <w:rPr>
          <w:rFonts w:ascii="宋体" w:hAnsi="宋体"/>
          <w:b/>
          <w:color w:val="auto"/>
          <w:sz w:val="32"/>
          <w:szCs w:val="32"/>
          <w:highlight w:val="none"/>
        </w:rPr>
        <w:br w:type="page"/>
      </w:r>
      <w:r>
        <w:rPr>
          <w:rFonts w:ascii="宋体" w:hAnsi="宋体"/>
          <w:b/>
          <w:color w:val="auto"/>
          <w:sz w:val="28"/>
          <w:highlight w:val="none"/>
        </w:rPr>
        <w:t>残疾人福利性单位声明函</w:t>
      </w:r>
      <w:r>
        <w:rPr>
          <w:rFonts w:hint="eastAsia" w:ascii="宋体" w:hAnsi="宋体"/>
          <w:b/>
          <w:color w:val="auto"/>
          <w:sz w:val="28"/>
          <w:highlight w:val="none"/>
          <w:lang w:eastAsia="zh-CN"/>
        </w:rPr>
        <w:t>（</w:t>
      </w:r>
      <w:r>
        <w:rPr>
          <w:rFonts w:hint="eastAsia" w:ascii="宋体" w:hAnsi="宋体"/>
          <w:b/>
          <w:color w:val="auto"/>
          <w:sz w:val="28"/>
          <w:highlight w:val="none"/>
          <w:lang w:val="en-US" w:eastAsia="zh-CN"/>
        </w:rPr>
        <w:t>如有</w:t>
      </w:r>
      <w:r>
        <w:rPr>
          <w:rFonts w:hint="eastAsia" w:ascii="宋体" w:hAnsi="宋体"/>
          <w:b/>
          <w:color w:val="auto"/>
          <w:sz w:val="28"/>
          <w:highlight w:val="none"/>
          <w:lang w:eastAsia="zh-CN"/>
        </w:rPr>
        <w:t>）</w:t>
      </w:r>
    </w:p>
    <w:p w14:paraId="677873C7">
      <w:pPr>
        <w:spacing w:line="4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单位的</w:t>
      </w:r>
      <w:r>
        <w:rPr>
          <w:rFonts w:hint="eastAsia" w:cs="宋体" w:asciiTheme="majorEastAsia" w:hAnsiTheme="majorEastAsia" w:eastAsiaTheme="majorEastAsia"/>
          <w:color w:val="auto"/>
          <w:sz w:val="24"/>
          <w:highlight w:val="none"/>
          <w:u w:val="single"/>
        </w:rPr>
        <w:t xml:space="preserve">     （采购项目名称）      </w:t>
      </w:r>
      <w:r>
        <w:rPr>
          <w:rFonts w:hint="eastAsia" w:cs="宋体" w:asciiTheme="majorEastAsia" w:hAnsiTheme="majorEastAsia" w:eastAsiaTheme="majorEastAsia"/>
          <w:color w:val="auto"/>
          <w:sz w:val="24"/>
          <w:highlight w:val="none"/>
        </w:rPr>
        <w:t>的项目采购活动提供本单位制造的货物（由本单位承担工程/提供服务），或者提供其他残疾人福利性单位制造的货物（不包括使用非残疾人福利性单位注册商标的货物）。</w:t>
      </w:r>
    </w:p>
    <w:p w14:paraId="6CC56FDB">
      <w:pPr>
        <w:spacing w:line="4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本单位对上述声明的真实性负责。如有虚假，将依法承担相应责任。</w:t>
      </w:r>
    </w:p>
    <w:p w14:paraId="4DF9DF35">
      <w:pPr>
        <w:spacing w:line="440" w:lineRule="exact"/>
        <w:ind w:firstLine="480" w:firstLineChars="200"/>
        <w:rPr>
          <w:rFonts w:cs="宋体" w:asciiTheme="majorEastAsia" w:hAnsiTheme="majorEastAsia" w:eastAsiaTheme="majorEastAsia"/>
          <w:color w:val="auto"/>
          <w:sz w:val="24"/>
          <w:highlight w:val="none"/>
        </w:rPr>
      </w:pPr>
    </w:p>
    <w:p w14:paraId="4B00C9A0">
      <w:pPr>
        <w:spacing w:line="4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（备注：1、供应商如不提供此声明函，价格将不做相应扣除。2、中标人为残疾人福利单位的，此声明函将随成交结果同时公告，接受社会监督）</w:t>
      </w:r>
    </w:p>
    <w:p w14:paraId="7DBDE527">
      <w:pPr>
        <w:spacing w:line="440" w:lineRule="exact"/>
        <w:ind w:firstLine="504" w:firstLineChars="200"/>
        <w:rPr>
          <w:rFonts w:cs="宋体" w:asciiTheme="majorEastAsia" w:hAnsiTheme="majorEastAsia" w:eastAsiaTheme="majorEastAsia"/>
          <w:color w:val="auto"/>
          <w:spacing w:val="6"/>
          <w:sz w:val="24"/>
          <w:highlight w:val="none"/>
        </w:rPr>
      </w:pPr>
    </w:p>
    <w:p w14:paraId="3C1AC469">
      <w:pPr>
        <w:tabs>
          <w:tab w:val="left" w:pos="4860"/>
        </w:tabs>
        <w:spacing w:line="440" w:lineRule="exact"/>
        <w:ind w:right="156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w:t>
      </w:r>
    </w:p>
    <w:p w14:paraId="47EE2ADD">
      <w:pPr>
        <w:tabs>
          <w:tab w:val="left" w:pos="4860"/>
        </w:tabs>
        <w:spacing w:line="440" w:lineRule="exact"/>
        <w:ind w:right="1560" w:firstLine="480" w:firstLineChars="200"/>
        <w:jc w:val="center"/>
        <w:rPr>
          <w:rFonts w:cs="宋体" w:asciiTheme="majorEastAsia" w:hAnsiTheme="majorEastAsia" w:eastAsiaTheme="majorEastAsia"/>
          <w:color w:val="auto"/>
          <w:sz w:val="24"/>
          <w:highlight w:val="none"/>
        </w:rPr>
      </w:pPr>
    </w:p>
    <w:p w14:paraId="6BA6ACB0">
      <w:pPr>
        <w:tabs>
          <w:tab w:val="left" w:pos="4860"/>
        </w:tabs>
        <w:spacing w:line="440" w:lineRule="exact"/>
        <w:ind w:right="156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供应商全称（盖章）：</w:t>
      </w:r>
    </w:p>
    <w:p w14:paraId="3E09A34B">
      <w:pPr>
        <w:tabs>
          <w:tab w:val="left" w:pos="4860"/>
        </w:tabs>
        <w:spacing w:line="440" w:lineRule="exact"/>
        <w:ind w:right="156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日  期：</w:t>
      </w:r>
    </w:p>
    <w:p w14:paraId="5881217A">
      <w:pPr>
        <w:widowControl/>
        <w:jc w:val="left"/>
        <w:rPr>
          <w:rFonts w:cs="宋体" w:asciiTheme="majorEastAsia" w:hAnsiTheme="majorEastAsia" w:eastAsiaTheme="majorEastAsia"/>
          <w:color w:val="auto"/>
          <w:kern w:val="0"/>
          <w:sz w:val="24"/>
          <w:highlight w:val="none"/>
        </w:rPr>
      </w:pPr>
      <w:r>
        <w:rPr>
          <w:rFonts w:cs="宋体" w:asciiTheme="majorEastAsia" w:hAnsiTheme="majorEastAsia" w:eastAsiaTheme="majorEastAsia"/>
          <w:color w:val="auto"/>
          <w:kern w:val="0"/>
          <w:sz w:val="24"/>
          <w:highlight w:val="none"/>
        </w:rPr>
        <w:br w:type="page"/>
      </w:r>
    </w:p>
    <w:p w14:paraId="06456CB0">
      <w:pPr>
        <w:snapToGrid w:val="0"/>
        <w:spacing w:line="360" w:lineRule="auto"/>
        <w:jc w:val="center"/>
        <w:outlineLvl w:val="1"/>
        <w:rPr>
          <w:rFonts w:ascii="宋体" w:hAnsi="宋体"/>
          <w:b/>
          <w:color w:val="auto"/>
          <w:sz w:val="28"/>
          <w:highlight w:val="none"/>
        </w:rPr>
      </w:pPr>
      <w:r>
        <w:rPr>
          <w:rFonts w:hint="eastAsia" w:ascii="宋体" w:hAnsi="宋体"/>
          <w:b/>
          <w:color w:val="auto"/>
          <w:sz w:val="28"/>
          <w:highlight w:val="none"/>
        </w:rPr>
        <w:t>监狱企业的证明</w:t>
      </w:r>
    </w:p>
    <w:p w14:paraId="52800805">
      <w:pPr>
        <w:snapToGrid w:val="0"/>
        <w:spacing w:line="420" w:lineRule="exact"/>
        <w:ind w:firstLine="424" w:firstLineChars="177"/>
        <w:jc w:val="center"/>
        <w:rPr>
          <w:color w:val="auto"/>
          <w:sz w:val="24"/>
          <w:highlight w:val="none"/>
        </w:rPr>
      </w:pPr>
      <w:r>
        <w:rPr>
          <w:rFonts w:hint="eastAsia"/>
          <w:color w:val="auto"/>
          <w:sz w:val="24"/>
          <w:highlight w:val="none"/>
        </w:rPr>
        <w:t>（格式自拟）</w:t>
      </w:r>
    </w:p>
    <w:p w14:paraId="441974AC">
      <w:pPr>
        <w:snapToGrid w:val="0"/>
        <w:spacing w:line="420" w:lineRule="exact"/>
        <w:ind w:firstLine="566" w:firstLineChars="236"/>
        <w:rPr>
          <w:color w:val="auto"/>
          <w:sz w:val="24"/>
          <w:highlight w:val="none"/>
        </w:rPr>
      </w:pPr>
      <w:r>
        <w:rPr>
          <w:rFonts w:hint="eastAsia"/>
          <w:color w:val="auto"/>
          <w:sz w:val="24"/>
          <w:highlight w:val="none"/>
        </w:rPr>
        <w:t>根据《财政部司法部关于政府采购支持监狱企业发展有关问题的通知》（财库〔</w:t>
      </w:r>
      <w:r>
        <w:rPr>
          <w:color w:val="auto"/>
          <w:sz w:val="24"/>
          <w:highlight w:val="none"/>
        </w:rPr>
        <w:t>2014</w:t>
      </w:r>
      <w:r>
        <w:rPr>
          <w:rFonts w:hint="eastAsia"/>
          <w:color w:val="auto"/>
          <w:sz w:val="24"/>
          <w:highlight w:val="none"/>
        </w:rPr>
        <w:t>〕</w:t>
      </w:r>
      <w:r>
        <w:rPr>
          <w:color w:val="auto"/>
          <w:sz w:val="24"/>
          <w:highlight w:val="none"/>
        </w:rPr>
        <w:t>68</w:t>
      </w:r>
      <w:r>
        <w:rPr>
          <w:rFonts w:hint="eastAsia"/>
          <w:color w:val="auto"/>
          <w:sz w:val="24"/>
          <w:highlight w:val="none"/>
        </w:rPr>
        <w:t>号），监狱企业参加政府采购活动时，应当提供由省级以上监狱管理局、戒毒管理局（含新疆生产建设兵团）出具的，供应商属于监狱企业的证明文件。</w:t>
      </w:r>
    </w:p>
    <w:p w14:paraId="63B4F762">
      <w:pPr>
        <w:spacing w:line="360" w:lineRule="auto"/>
        <w:ind w:firstLine="480" w:firstLineChars="200"/>
        <w:jc w:val="left"/>
        <w:rPr>
          <w:rFonts w:ascii="宋体" w:hAnsi="宋体"/>
          <w:color w:val="auto"/>
          <w:sz w:val="24"/>
          <w:highlight w:val="none"/>
        </w:rPr>
      </w:pPr>
    </w:p>
    <w:p w14:paraId="1084DA01">
      <w:pPr>
        <w:spacing w:line="360" w:lineRule="auto"/>
        <w:jc w:val="center"/>
        <w:rPr>
          <w:rFonts w:hint="eastAsia" w:ascii="宋体" w:hAnsi="宋体"/>
          <w:b/>
          <w:bCs/>
          <w:color w:val="auto"/>
          <w:sz w:val="28"/>
          <w:szCs w:val="28"/>
          <w:highlight w:val="none"/>
          <w:lang w:val="en-US" w:eastAsia="zh-CN"/>
        </w:rPr>
      </w:pPr>
    </w:p>
    <w:p w14:paraId="05152FBB">
      <w:pP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br w:type="page"/>
      </w:r>
    </w:p>
    <w:p w14:paraId="4F70FD21">
      <w:pPr>
        <w:spacing w:line="360" w:lineRule="auto"/>
        <w:jc w:val="center"/>
        <w:rPr>
          <w:rFonts w:ascii="宋体"/>
          <w:color w:val="auto"/>
          <w:highlight w:val="none"/>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、应附的其他材料</w:t>
      </w:r>
    </w:p>
    <w:p w14:paraId="3C074024">
      <w:pPr>
        <w:tabs>
          <w:tab w:val="left" w:pos="2020"/>
          <w:tab w:val="center" w:pos="4535"/>
        </w:tabs>
        <w:spacing w:line="400" w:lineRule="exact"/>
        <w:ind w:firstLine="210" w:firstLineChars="100"/>
        <w:rPr>
          <w:rFonts w:ascii="宋体" w:hAnsi="宋体"/>
          <w:color w:val="auto"/>
          <w:sz w:val="28"/>
          <w:szCs w:val="20"/>
          <w:highlight w:val="none"/>
        </w:rPr>
      </w:pPr>
      <w:r>
        <w:rPr>
          <w:rFonts w:ascii="宋体" w:hAnsi="宋体"/>
          <w:color w:val="auto"/>
          <w:highlight w:val="none"/>
        </w:rPr>
        <w:br w:type="page"/>
      </w:r>
      <w:r>
        <w:rPr>
          <w:rFonts w:hint="eastAsia" w:ascii="宋体" w:hAnsi="宋体"/>
          <w:color w:val="auto"/>
          <w:sz w:val="28"/>
          <w:szCs w:val="28"/>
          <w:highlight w:val="none"/>
        </w:rPr>
        <w:t>第二部分格式：</w:t>
      </w:r>
    </w:p>
    <w:p w14:paraId="6C6F57F1">
      <w:pPr>
        <w:tabs>
          <w:tab w:val="left" w:pos="2020"/>
          <w:tab w:val="center" w:pos="4535"/>
        </w:tabs>
        <w:spacing w:line="400" w:lineRule="exact"/>
        <w:ind w:firstLine="280" w:firstLineChars="100"/>
        <w:rPr>
          <w:rFonts w:ascii="宋体" w:hAnsi="宋体"/>
          <w:color w:val="auto"/>
          <w:sz w:val="28"/>
          <w:szCs w:val="20"/>
          <w:highlight w:val="none"/>
        </w:rPr>
      </w:pPr>
    </w:p>
    <w:p w14:paraId="0FC60DDE">
      <w:pPr>
        <w:tabs>
          <w:tab w:val="left" w:pos="159"/>
        </w:tabs>
        <w:rPr>
          <w:rFonts w:ascii="宋体" w:hAnsi="宋体"/>
          <w:color w:val="auto"/>
          <w:sz w:val="28"/>
          <w:szCs w:val="28"/>
          <w:highlight w:val="none"/>
        </w:rPr>
      </w:pPr>
    </w:p>
    <w:p w14:paraId="34DE74FE">
      <w:pPr>
        <w:spacing w:after="60" w:line="360" w:lineRule="auto"/>
        <w:ind w:left="2277" w:leftChars="171"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7D16D5D4">
      <w:pPr>
        <w:spacing w:after="60" w:line="360" w:lineRule="auto"/>
        <w:jc w:val="center"/>
        <w:rPr>
          <w:rFonts w:ascii="宋体" w:hAnsi="宋体"/>
          <w:b/>
          <w:bCs/>
          <w:color w:val="auto"/>
          <w:sz w:val="44"/>
          <w:szCs w:val="44"/>
          <w:highlight w:val="none"/>
        </w:rPr>
      </w:pPr>
    </w:p>
    <w:p w14:paraId="3DEE52BA">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34BEDDF1">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（商务技术文件）</w:t>
      </w:r>
    </w:p>
    <w:p w14:paraId="6A5A698A">
      <w:pPr>
        <w:spacing w:after="60"/>
        <w:jc w:val="center"/>
        <w:rPr>
          <w:rFonts w:ascii="宋体" w:hAnsi="宋体"/>
          <w:b/>
          <w:bCs/>
          <w:color w:val="auto"/>
          <w:sz w:val="72"/>
          <w:szCs w:val="72"/>
          <w:highlight w:val="none"/>
        </w:rPr>
      </w:pPr>
    </w:p>
    <w:p w14:paraId="713C29B6">
      <w:pPr>
        <w:spacing w:after="60"/>
        <w:jc w:val="center"/>
        <w:rPr>
          <w:rFonts w:ascii="宋体" w:hAnsi="宋体"/>
          <w:b/>
          <w:bCs/>
          <w:color w:val="auto"/>
          <w:sz w:val="72"/>
          <w:szCs w:val="72"/>
          <w:highlight w:val="none"/>
        </w:rPr>
      </w:pPr>
    </w:p>
    <w:p w14:paraId="3A0E456C">
      <w:pPr>
        <w:spacing w:after="60"/>
        <w:jc w:val="center"/>
        <w:rPr>
          <w:rFonts w:ascii="宋体" w:hAnsi="宋体"/>
          <w:b/>
          <w:bCs/>
          <w:color w:val="auto"/>
          <w:sz w:val="72"/>
          <w:szCs w:val="72"/>
          <w:highlight w:val="none"/>
        </w:rPr>
      </w:pPr>
    </w:p>
    <w:p w14:paraId="05F96129">
      <w:pPr>
        <w:tabs>
          <w:tab w:val="left" w:pos="2020"/>
          <w:tab w:val="center" w:pos="4535"/>
        </w:tabs>
        <w:spacing w:line="400" w:lineRule="exact"/>
        <w:ind w:firstLine="280" w:firstLineChars="100"/>
        <w:rPr>
          <w:rFonts w:ascii="宋体" w:hAnsi="宋体"/>
          <w:color w:val="auto"/>
          <w:sz w:val="28"/>
          <w:szCs w:val="20"/>
          <w:highlight w:val="none"/>
        </w:rPr>
      </w:pPr>
    </w:p>
    <w:p w14:paraId="4D08F4AA">
      <w:pPr>
        <w:tabs>
          <w:tab w:val="left" w:pos="2020"/>
          <w:tab w:val="center" w:pos="4535"/>
        </w:tabs>
        <w:spacing w:line="400" w:lineRule="exact"/>
        <w:ind w:firstLine="280" w:firstLineChars="100"/>
        <w:rPr>
          <w:rFonts w:ascii="宋体" w:hAnsi="宋体"/>
          <w:color w:val="auto"/>
          <w:sz w:val="28"/>
          <w:szCs w:val="20"/>
          <w:highlight w:val="none"/>
        </w:rPr>
      </w:pPr>
    </w:p>
    <w:p w14:paraId="09230A86">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70DF652A">
      <w:pPr>
        <w:ind w:left="1508" w:leftChars="171" w:hanging="1149" w:hangingChars="383"/>
        <w:rPr>
          <w:rFonts w:ascii="宋体" w:hAnsi="宋体"/>
          <w:b/>
          <w:color w:val="auto"/>
          <w:sz w:val="30"/>
          <w:szCs w:val="30"/>
          <w:highlight w:val="none"/>
        </w:rPr>
      </w:pPr>
    </w:p>
    <w:p w14:paraId="3FD3DCE1">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法定代表人（或委托授权代表）签字（或盖章）：</w:t>
      </w:r>
      <w:r>
        <w:rPr>
          <w:rFonts w:hint="eastAsia" w:ascii="宋体" w:hAnsi="宋体"/>
          <w:b/>
          <w:color w:val="auto"/>
          <w:sz w:val="30"/>
          <w:szCs w:val="30"/>
          <w:highlight w:val="none"/>
          <w:u w:val="single"/>
        </w:rPr>
        <w:t xml:space="preserve">                    </w:t>
      </w:r>
    </w:p>
    <w:p w14:paraId="06224542">
      <w:pPr>
        <w:spacing w:line="360" w:lineRule="auto"/>
        <w:ind w:firstLine="594" w:firstLineChars="198"/>
        <w:rPr>
          <w:rFonts w:ascii="宋体" w:hAnsi="宋体"/>
          <w:b/>
          <w:color w:val="auto"/>
          <w:sz w:val="30"/>
          <w:szCs w:val="30"/>
          <w:highlight w:val="none"/>
        </w:rPr>
      </w:pPr>
    </w:p>
    <w:p w14:paraId="674766BA">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283EAD91">
      <w:pPr>
        <w:pStyle w:val="63"/>
        <w:rPr>
          <w:color w:val="auto"/>
          <w:highlight w:val="none"/>
        </w:rPr>
      </w:pPr>
      <w:r>
        <w:rPr>
          <w:color w:val="auto"/>
          <w:highlight w:val="none"/>
        </w:rPr>
        <w:br w:type="page"/>
      </w:r>
    </w:p>
    <w:p w14:paraId="50492BDE">
      <w:pPr>
        <w:spacing w:line="360" w:lineRule="auto"/>
        <w:jc w:val="center"/>
        <w:rPr>
          <w:rFonts w:hint="eastAsia" w:ascii="宋体" w:hAnsi="宋体"/>
          <w:b/>
          <w:bCs/>
          <w:color w:val="auto"/>
          <w:sz w:val="28"/>
          <w:szCs w:val="28"/>
          <w:highlight w:val="none"/>
        </w:rPr>
      </w:pPr>
      <w:bookmarkStart w:id="26" w:name="_Toc50449309"/>
      <w:bookmarkStart w:id="27" w:name="_Toc8649"/>
      <w:bookmarkStart w:id="28" w:name="_Toc398111726"/>
      <w:r>
        <w:rPr>
          <w:rFonts w:hint="eastAsia" w:ascii="宋体" w:hAnsi="宋体"/>
          <w:b/>
          <w:bCs/>
          <w:color w:val="auto"/>
          <w:sz w:val="28"/>
          <w:szCs w:val="28"/>
          <w:highlight w:val="none"/>
        </w:rPr>
        <w:t>拟派人员一览表</w:t>
      </w:r>
      <w:bookmarkEnd w:id="26"/>
      <w:bookmarkEnd w:id="27"/>
      <w:bookmarkEnd w:id="28"/>
    </w:p>
    <w:tbl>
      <w:tblPr>
        <w:tblStyle w:val="65"/>
        <w:tblW w:w="8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860"/>
        <w:gridCol w:w="737"/>
        <w:gridCol w:w="775"/>
        <w:gridCol w:w="1266"/>
        <w:gridCol w:w="1276"/>
        <w:gridCol w:w="1417"/>
        <w:gridCol w:w="709"/>
      </w:tblGrid>
      <w:tr w14:paraId="67230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1512" w:type="dxa"/>
            <w:vMerge w:val="restart"/>
            <w:vAlign w:val="center"/>
          </w:tcPr>
          <w:p w14:paraId="32D4F5C9">
            <w:pPr>
              <w:spacing w:line="400" w:lineRule="exact"/>
              <w:jc w:val="center"/>
              <w:rPr>
                <w:rFonts w:hint="eastAsia" w:ascii="宋体" w:hAnsi="宋体"/>
                <w:color w:val="auto"/>
                <w:szCs w:val="21"/>
                <w:highlight w:val="none"/>
              </w:rPr>
            </w:pPr>
            <w:r>
              <w:rPr>
                <w:rFonts w:hint="eastAsia" w:ascii="宋体" w:hAnsi="宋体"/>
                <w:color w:val="auto"/>
                <w:szCs w:val="21"/>
                <w:highlight w:val="none"/>
              </w:rPr>
              <w:t>拟任岗位</w:t>
            </w:r>
          </w:p>
        </w:tc>
        <w:tc>
          <w:tcPr>
            <w:tcW w:w="860" w:type="dxa"/>
            <w:vMerge w:val="restart"/>
            <w:vAlign w:val="center"/>
          </w:tcPr>
          <w:p w14:paraId="4BCE0A79">
            <w:pPr>
              <w:spacing w:line="400" w:lineRule="exact"/>
              <w:jc w:val="center"/>
              <w:rPr>
                <w:rFonts w:hint="eastAsia" w:ascii="宋体" w:hAnsi="宋体"/>
                <w:color w:val="auto"/>
                <w:szCs w:val="21"/>
                <w:highlight w:val="none"/>
              </w:rPr>
            </w:pPr>
            <w:r>
              <w:rPr>
                <w:rFonts w:hint="eastAsia" w:ascii="宋体" w:hAnsi="宋体"/>
                <w:color w:val="auto"/>
                <w:szCs w:val="21"/>
                <w:highlight w:val="none"/>
              </w:rPr>
              <w:t>姓名</w:t>
            </w:r>
          </w:p>
        </w:tc>
        <w:tc>
          <w:tcPr>
            <w:tcW w:w="737" w:type="dxa"/>
            <w:vMerge w:val="restart"/>
            <w:vAlign w:val="center"/>
          </w:tcPr>
          <w:p w14:paraId="541CEFEA">
            <w:pPr>
              <w:spacing w:line="400" w:lineRule="exact"/>
              <w:jc w:val="center"/>
              <w:rPr>
                <w:rFonts w:hint="eastAsia" w:ascii="宋体" w:hAnsi="宋体"/>
                <w:color w:val="auto"/>
                <w:szCs w:val="21"/>
                <w:highlight w:val="none"/>
              </w:rPr>
            </w:pPr>
            <w:r>
              <w:rPr>
                <w:rFonts w:hint="eastAsia" w:ascii="宋体" w:hAnsi="宋体"/>
                <w:color w:val="auto"/>
                <w:szCs w:val="21"/>
                <w:highlight w:val="none"/>
              </w:rPr>
              <w:t>年龄</w:t>
            </w:r>
          </w:p>
        </w:tc>
        <w:tc>
          <w:tcPr>
            <w:tcW w:w="775" w:type="dxa"/>
            <w:vMerge w:val="restart"/>
            <w:vAlign w:val="center"/>
          </w:tcPr>
          <w:p w14:paraId="6AD59670">
            <w:pPr>
              <w:spacing w:line="400" w:lineRule="exact"/>
              <w:jc w:val="center"/>
              <w:rPr>
                <w:rFonts w:hint="eastAsia" w:ascii="宋体" w:hAnsi="宋体"/>
                <w:color w:val="auto"/>
                <w:szCs w:val="21"/>
                <w:highlight w:val="none"/>
              </w:rPr>
            </w:pPr>
            <w:r>
              <w:rPr>
                <w:rFonts w:hint="eastAsia" w:ascii="宋体" w:hAnsi="宋体"/>
                <w:color w:val="auto"/>
                <w:szCs w:val="21"/>
                <w:highlight w:val="none"/>
              </w:rPr>
              <w:t>职称</w:t>
            </w:r>
          </w:p>
        </w:tc>
        <w:tc>
          <w:tcPr>
            <w:tcW w:w="1266" w:type="dxa"/>
            <w:vMerge w:val="restart"/>
            <w:vAlign w:val="center"/>
          </w:tcPr>
          <w:p w14:paraId="57431A3A">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工作年限</w:t>
            </w:r>
          </w:p>
        </w:tc>
        <w:tc>
          <w:tcPr>
            <w:tcW w:w="3402" w:type="dxa"/>
            <w:gridSpan w:val="3"/>
            <w:vAlign w:val="center"/>
          </w:tcPr>
          <w:p w14:paraId="636F89BD">
            <w:pPr>
              <w:spacing w:line="400" w:lineRule="exact"/>
              <w:jc w:val="center"/>
              <w:rPr>
                <w:rFonts w:hint="eastAsia" w:ascii="宋体" w:hAnsi="宋体"/>
                <w:color w:val="auto"/>
                <w:szCs w:val="21"/>
                <w:highlight w:val="none"/>
              </w:rPr>
            </w:pPr>
            <w:r>
              <w:rPr>
                <w:rFonts w:hint="eastAsia" w:ascii="宋体" w:hAnsi="宋体"/>
                <w:color w:val="auto"/>
                <w:szCs w:val="21"/>
                <w:highlight w:val="none"/>
              </w:rPr>
              <w:t>执业或职业资格证书</w:t>
            </w:r>
          </w:p>
        </w:tc>
      </w:tr>
      <w:tr w14:paraId="5261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6278123C">
            <w:pPr>
              <w:spacing w:line="400" w:lineRule="exact"/>
              <w:jc w:val="center"/>
              <w:rPr>
                <w:rFonts w:hint="eastAsia" w:ascii="宋体" w:hAnsi="宋体"/>
                <w:color w:val="auto"/>
                <w:szCs w:val="21"/>
                <w:highlight w:val="none"/>
              </w:rPr>
            </w:pPr>
          </w:p>
        </w:tc>
        <w:tc>
          <w:tcPr>
            <w:tcW w:w="860" w:type="dxa"/>
            <w:vMerge w:val="continue"/>
            <w:vAlign w:val="center"/>
          </w:tcPr>
          <w:p w14:paraId="5DD58BED">
            <w:pPr>
              <w:spacing w:line="400" w:lineRule="exact"/>
              <w:jc w:val="center"/>
              <w:rPr>
                <w:rFonts w:hint="eastAsia" w:ascii="宋体" w:hAnsi="宋体"/>
                <w:color w:val="auto"/>
                <w:szCs w:val="21"/>
                <w:highlight w:val="none"/>
              </w:rPr>
            </w:pPr>
          </w:p>
        </w:tc>
        <w:tc>
          <w:tcPr>
            <w:tcW w:w="737" w:type="dxa"/>
            <w:vMerge w:val="continue"/>
            <w:vAlign w:val="center"/>
          </w:tcPr>
          <w:p w14:paraId="06CBD0F9">
            <w:pPr>
              <w:spacing w:line="400" w:lineRule="exact"/>
              <w:jc w:val="center"/>
              <w:rPr>
                <w:rFonts w:hint="eastAsia" w:ascii="宋体" w:hAnsi="宋体"/>
                <w:color w:val="auto"/>
                <w:szCs w:val="21"/>
                <w:highlight w:val="none"/>
              </w:rPr>
            </w:pPr>
          </w:p>
        </w:tc>
        <w:tc>
          <w:tcPr>
            <w:tcW w:w="775" w:type="dxa"/>
            <w:vMerge w:val="continue"/>
            <w:vAlign w:val="center"/>
          </w:tcPr>
          <w:p w14:paraId="48658EAB">
            <w:pPr>
              <w:spacing w:line="400" w:lineRule="exact"/>
              <w:jc w:val="center"/>
              <w:rPr>
                <w:rFonts w:hint="eastAsia" w:ascii="宋体" w:hAnsi="宋体"/>
                <w:color w:val="auto"/>
                <w:szCs w:val="21"/>
                <w:highlight w:val="none"/>
              </w:rPr>
            </w:pPr>
          </w:p>
        </w:tc>
        <w:tc>
          <w:tcPr>
            <w:tcW w:w="1266" w:type="dxa"/>
            <w:vMerge w:val="continue"/>
            <w:vAlign w:val="center"/>
          </w:tcPr>
          <w:p w14:paraId="19E8A41A">
            <w:pPr>
              <w:spacing w:line="400" w:lineRule="exact"/>
              <w:jc w:val="center"/>
              <w:rPr>
                <w:rFonts w:hint="eastAsia" w:ascii="宋体" w:hAnsi="宋体"/>
                <w:color w:val="auto"/>
                <w:szCs w:val="21"/>
                <w:highlight w:val="none"/>
              </w:rPr>
            </w:pPr>
          </w:p>
        </w:tc>
        <w:tc>
          <w:tcPr>
            <w:tcW w:w="1276" w:type="dxa"/>
            <w:vAlign w:val="center"/>
          </w:tcPr>
          <w:p w14:paraId="78F16A2B">
            <w:pPr>
              <w:spacing w:line="400" w:lineRule="exact"/>
              <w:jc w:val="center"/>
              <w:rPr>
                <w:rFonts w:hint="eastAsia" w:ascii="宋体" w:hAnsi="宋体"/>
                <w:color w:val="auto"/>
                <w:szCs w:val="21"/>
                <w:highlight w:val="none"/>
              </w:rPr>
            </w:pPr>
            <w:r>
              <w:rPr>
                <w:rFonts w:hint="eastAsia" w:ascii="宋体" w:hAnsi="宋体"/>
                <w:color w:val="auto"/>
                <w:szCs w:val="21"/>
                <w:highlight w:val="none"/>
              </w:rPr>
              <w:t>证书名称</w:t>
            </w:r>
          </w:p>
        </w:tc>
        <w:tc>
          <w:tcPr>
            <w:tcW w:w="1417" w:type="dxa"/>
            <w:vAlign w:val="center"/>
          </w:tcPr>
          <w:p w14:paraId="59F554C2">
            <w:pPr>
              <w:spacing w:line="400" w:lineRule="exact"/>
              <w:jc w:val="center"/>
              <w:rPr>
                <w:rFonts w:hint="eastAsia" w:ascii="宋体" w:hAnsi="宋体"/>
                <w:color w:val="auto"/>
                <w:szCs w:val="21"/>
                <w:highlight w:val="none"/>
              </w:rPr>
            </w:pPr>
            <w:r>
              <w:rPr>
                <w:rFonts w:hint="eastAsia" w:ascii="宋体" w:hAnsi="宋体"/>
                <w:color w:val="auto"/>
                <w:szCs w:val="21"/>
                <w:highlight w:val="none"/>
              </w:rPr>
              <w:t>证书编号</w:t>
            </w:r>
          </w:p>
        </w:tc>
        <w:tc>
          <w:tcPr>
            <w:tcW w:w="709" w:type="dxa"/>
            <w:vAlign w:val="center"/>
          </w:tcPr>
          <w:p w14:paraId="782B65AA">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专业</w:t>
            </w:r>
          </w:p>
        </w:tc>
      </w:tr>
      <w:tr w14:paraId="66E6A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68F1161B">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860" w:type="dxa"/>
            <w:vAlign w:val="center"/>
          </w:tcPr>
          <w:p w14:paraId="013063C8">
            <w:pPr>
              <w:spacing w:line="400" w:lineRule="exact"/>
              <w:jc w:val="center"/>
              <w:rPr>
                <w:rFonts w:hint="eastAsia" w:ascii="宋体" w:hAnsi="宋体"/>
                <w:color w:val="auto"/>
                <w:szCs w:val="21"/>
                <w:highlight w:val="none"/>
              </w:rPr>
            </w:pPr>
          </w:p>
        </w:tc>
        <w:tc>
          <w:tcPr>
            <w:tcW w:w="737" w:type="dxa"/>
            <w:vAlign w:val="center"/>
          </w:tcPr>
          <w:p w14:paraId="463BA326">
            <w:pPr>
              <w:spacing w:line="400" w:lineRule="exact"/>
              <w:jc w:val="center"/>
              <w:rPr>
                <w:rFonts w:hint="eastAsia" w:ascii="宋体" w:hAnsi="宋体"/>
                <w:color w:val="auto"/>
                <w:szCs w:val="21"/>
                <w:highlight w:val="none"/>
              </w:rPr>
            </w:pPr>
          </w:p>
        </w:tc>
        <w:tc>
          <w:tcPr>
            <w:tcW w:w="775" w:type="dxa"/>
            <w:vAlign w:val="center"/>
          </w:tcPr>
          <w:p w14:paraId="54D651D0">
            <w:pPr>
              <w:spacing w:line="400" w:lineRule="exact"/>
              <w:jc w:val="center"/>
              <w:rPr>
                <w:rFonts w:hint="eastAsia" w:ascii="宋体" w:hAnsi="宋体"/>
                <w:color w:val="auto"/>
                <w:szCs w:val="21"/>
                <w:highlight w:val="none"/>
              </w:rPr>
            </w:pPr>
          </w:p>
        </w:tc>
        <w:tc>
          <w:tcPr>
            <w:tcW w:w="1266" w:type="dxa"/>
            <w:vAlign w:val="center"/>
          </w:tcPr>
          <w:p w14:paraId="619EDD19">
            <w:pPr>
              <w:spacing w:line="400" w:lineRule="exact"/>
              <w:jc w:val="center"/>
              <w:rPr>
                <w:rFonts w:hint="eastAsia" w:ascii="宋体" w:hAnsi="宋体"/>
                <w:color w:val="auto"/>
                <w:szCs w:val="21"/>
                <w:highlight w:val="none"/>
              </w:rPr>
            </w:pPr>
          </w:p>
        </w:tc>
        <w:tc>
          <w:tcPr>
            <w:tcW w:w="1276" w:type="dxa"/>
            <w:vAlign w:val="center"/>
          </w:tcPr>
          <w:p w14:paraId="736CE84D">
            <w:pPr>
              <w:spacing w:line="400" w:lineRule="exact"/>
              <w:jc w:val="center"/>
              <w:rPr>
                <w:rFonts w:hint="eastAsia" w:ascii="宋体" w:hAnsi="宋体"/>
                <w:color w:val="auto"/>
                <w:szCs w:val="21"/>
                <w:highlight w:val="none"/>
              </w:rPr>
            </w:pPr>
          </w:p>
        </w:tc>
        <w:tc>
          <w:tcPr>
            <w:tcW w:w="1417" w:type="dxa"/>
            <w:vAlign w:val="center"/>
          </w:tcPr>
          <w:p w14:paraId="223053F7">
            <w:pPr>
              <w:spacing w:line="400" w:lineRule="exact"/>
              <w:jc w:val="center"/>
              <w:rPr>
                <w:rFonts w:hint="eastAsia" w:ascii="宋体" w:hAnsi="宋体"/>
                <w:color w:val="auto"/>
                <w:szCs w:val="21"/>
                <w:highlight w:val="none"/>
              </w:rPr>
            </w:pPr>
          </w:p>
        </w:tc>
        <w:tc>
          <w:tcPr>
            <w:tcW w:w="709" w:type="dxa"/>
            <w:vAlign w:val="center"/>
          </w:tcPr>
          <w:p w14:paraId="4767EEE0">
            <w:pPr>
              <w:spacing w:line="400" w:lineRule="exact"/>
              <w:jc w:val="center"/>
              <w:rPr>
                <w:rFonts w:hint="eastAsia" w:ascii="宋体" w:hAnsi="宋体"/>
                <w:color w:val="auto"/>
                <w:szCs w:val="21"/>
                <w:highlight w:val="none"/>
              </w:rPr>
            </w:pPr>
          </w:p>
        </w:tc>
      </w:tr>
      <w:tr w14:paraId="1C6BB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16549BBC">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技术负责人</w:t>
            </w:r>
          </w:p>
        </w:tc>
        <w:tc>
          <w:tcPr>
            <w:tcW w:w="860" w:type="dxa"/>
            <w:vAlign w:val="center"/>
          </w:tcPr>
          <w:p w14:paraId="2C5A6888">
            <w:pPr>
              <w:spacing w:line="400" w:lineRule="exact"/>
              <w:jc w:val="center"/>
              <w:rPr>
                <w:rFonts w:hint="eastAsia" w:ascii="宋体" w:hAnsi="宋体"/>
                <w:color w:val="auto"/>
                <w:szCs w:val="21"/>
                <w:highlight w:val="none"/>
              </w:rPr>
            </w:pPr>
          </w:p>
        </w:tc>
        <w:tc>
          <w:tcPr>
            <w:tcW w:w="737" w:type="dxa"/>
            <w:vAlign w:val="center"/>
          </w:tcPr>
          <w:p w14:paraId="442B0D45">
            <w:pPr>
              <w:spacing w:line="400" w:lineRule="exact"/>
              <w:jc w:val="center"/>
              <w:rPr>
                <w:rFonts w:hint="eastAsia" w:ascii="宋体" w:hAnsi="宋体"/>
                <w:color w:val="auto"/>
                <w:szCs w:val="21"/>
                <w:highlight w:val="none"/>
              </w:rPr>
            </w:pPr>
          </w:p>
        </w:tc>
        <w:tc>
          <w:tcPr>
            <w:tcW w:w="775" w:type="dxa"/>
            <w:vAlign w:val="center"/>
          </w:tcPr>
          <w:p w14:paraId="6DD13E17">
            <w:pPr>
              <w:spacing w:line="400" w:lineRule="exact"/>
              <w:jc w:val="center"/>
              <w:rPr>
                <w:rFonts w:hint="eastAsia" w:ascii="宋体" w:hAnsi="宋体"/>
                <w:color w:val="auto"/>
                <w:szCs w:val="21"/>
                <w:highlight w:val="none"/>
              </w:rPr>
            </w:pPr>
          </w:p>
        </w:tc>
        <w:tc>
          <w:tcPr>
            <w:tcW w:w="1266" w:type="dxa"/>
            <w:vAlign w:val="center"/>
          </w:tcPr>
          <w:p w14:paraId="75EFA205">
            <w:pPr>
              <w:spacing w:line="400" w:lineRule="exact"/>
              <w:jc w:val="center"/>
              <w:rPr>
                <w:rFonts w:hint="eastAsia" w:ascii="宋体" w:hAnsi="宋体"/>
                <w:color w:val="auto"/>
                <w:szCs w:val="21"/>
                <w:highlight w:val="none"/>
              </w:rPr>
            </w:pPr>
          </w:p>
        </w:tc>
        <w:tc>
          <w:tcPr>
            <w:tcW w:w="1276" w:type="dxa"/>
            <w:vAlign w:val="center"/>
          </w:tcPr>
          <w:p w14:paraId="34E8981C">
            <w:pPr>
              <w:spacing w:line="400" w:lineRule="exact"/>
              <w:jc w:val="center"/>
              <w:rPr>
                <w:rFonts w:hint="eastAsia" w:ascii="宋体" w:hAnsi="宋体"/>
                <w:color w:val="auto"/>
                <w:szCs w:val="21"/>
                <w:highlight w:val="none"/>
              </w:rPr>
            </w:pPr>
          </w:p>
        </w:tc>
        <w:tc>
          <w:tcPr>
            <w:tcW w:w="1417" w:type="dxa"/>
            <w:vAlign w:val="center"/>
          </w:tcPr>
          <w:p w14:paraId="7B08E203">
            <w:pPr>
              <w:spacing w:line="400" w:lineRule="exact"/>
              <w:jc w:val="center"/>
              <w:rPr>
                <w:rFonts w:hint="eastAsia" w:ascii="宋体" w:hAnsi="宋体"/>
                <w:color w:val="auto"/>
                <w:szCs w:val="21"/>
                <w:highlight w:val="none"/>
              </w:rPr>
            </w:pPr>
          </w:p>
        </w:tc>
        <w:tc>
          <w:tcPr>
            <w:tcW w:w="709" w:type="dxa"/>
            <w:vAlign w:val="center"/>
          </w:tcPr>
          <w:p w14:paraId="4666D376">
            <w:pPr>
              <w:spacing w:line="400" w:lineRule="exact"/>
              <w:jc w:val="center"/>
              <w:rPr>
                <w:rFonts w:hint="eastAsia" w:ascii="宋体" w:hAnsi="宋体"/>
                <w:color w:val="auto"/>
                <w:szCs w:val="21"/>
                <w:highlight w:val="none"/>
              </w:rPr>
            </w:pPr>
          </w:p>
        </w:tc>
      </w:tr>
      <w:tr w14:paraId="3207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vAlign w:val="center"/>
          </w:tcPr>
          <w:p w14:paraId="4E5FC648">
            <w:pPr>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技术人员</w:t>
            </w:r>
          </w:p>
        </w:tc>
        <w:tc>
          <w:tcPr>
            <w:tcW w:w="860" w:type="dxa"/>
            <w:tcBorders>
              <w:bottom w:val="single" w:color="auto" w:sz="4" w:space="0"/>
            </w:tcBorders>
            <w:vAlign w:val="center"/>
          </w:tcPr>
          <w:p w14:paraId="08B003CE">
            <w:pPr>
              <w:spacing w:line="400" w:lineRule="exact"/>
              <w:jc w:val="center"/>
              <w:rPr>
                <w:rFonts w:hint="eastAsia" w:ascii="宋体" w:hAnsi="宋体"/>
                <w:color w:val="auto"/>
                <w:szCs w:val="21"/>
                <w:highlight w:val="none"/>
              </w:rPr>
            </w:pPr>
          </w:p>
        </w:tc>
        <w:tc>
          <w:tcPr>
            <w:tcW w:w="737" w:type="dxa"/>
            <w:tcBorders>
              <w:bottom w:val="single" w:color="auto" w:sz="4" w:space="0"/>
            </w:tcBorders>
            <w:vAlign w:val="center"/>
          </w:tcPr>
          <w:p w14:paraId="6A6EF17C">
            <w:pPr>
              <w:spacing w:line="400" w:lineRule="exact"/>
              <w:jc w:val="center"/>
              <w:rPr>
                <w:rFonts w:hint="eastAsia" w:ascii="宋体" w:hAnsi="宋体"/>
                <w:color w:val="auto"/>
                <w:szCs w:val="21"/>
                <w:highlight w:val="none"/>
              </w:rPr>
            </w:pPr>
          </w:p>
        </w:tc>
        <w:tc>
          <w:tcPr>
            <w:tcW w:w="775" w:type="dxa"/>
            <w:tcBorders>
              <w:bottom w:val="single" w:color="auto" w:sz="4" w:space="0"/>
            </w:tcBorders>
            <w:vAlign w:val="center"/>
          </w:tcPr>
          <w:p w14:paraId="317A55DB">
            <w:pPr>
              <w:spacing w:line="400" w:lineRule="exact"/>
              <w:jc w:val="center"/>
              <w:rPr>
                <w:rFonts w:hint="eastAsia" w:ascii="宋体" w:hAnsi="宋体"/>
                <w:color w:val="auto"/>
                <w:szCs w:val="21"/>
                <w:highlight w:val="none"/>
              </w:rPr>
            </w:pPr>
          </w:p>
        </w:tc>
        <w:tc>
          <w:tcPr>
            <w:tcW w:w="1266" w:type="dxa"/>
            <w:tcBorders>
              <w:bottom w:val="single" w:color="auto" w:sz="4" w:space="0"/>
            </w:tcBorders>
            <w:vAlign w:val="center"/>
          </w:tcPr>
          <w:p w14:paraId="04768CC7">
            <w:pPr>
              <w:spacing w:line="400" w:lineRule="exact"/>
              <w:jc w:val="center"/>
              <w:rPr>
                <w:rFonts w:hint="eastAsia" w:ascii="宋体" w:hAnsi="宋体"/>
                <w:color w:val="auto"/>
                <w:szCs w:val="21"/>
                <w:highlight w:val="none"/>
              </w:rPr>
            </w:pPr>
          </w:p>
        </w:tc>
        <w:tc>
          <w:tcPr>
            <w:tcW w:w="1276" w:type="dxa"/>
            <w:tcBorders>
              <w:bottom w:val="single" w:color="auto" w:sz="4" w:space="0"/>
            </w:tcBorders>
            <w:vAlign w:val="center"/>
          </w:tcPr>
          <w:p w14:paraId="70610119">
            <w:pPr>
              <w:spacing w:line="400" w:lineRule="exact"/>
              <w:jc w:val="center"/>
              <w:rPr>
                <w:rFonts w:hint="eastAsia" w:ascii="宋体" w:hAnsi="宋体"/>
                <w:color w:val="auto"/>
                <w:szCs w:val="21"/>
                <w:highlight w:val="none"/>
              </w:rPr>
            </w:pPr>
          </w:p>
        </w:tc>
        <w:tc>
          <w:tcPr>
            <w:tcW w:w="1417" w:type="dxa"/>
            <w:tcBorders>
              <w:bottom w:val="single" w:color="auto" w:sz="4" w:space="0"/>
            </w:tcBorders>
            <w:vAlign w:val="center"/>
          </w:tcPr>
          <w:p w14:paraId="1D29AD57">
            <w:pPr>
              <w:spacing w:line="400" w:lineRule="exact"/>
              <w:jc w:val="center"/>
              <w:rPr>
                <w:rFonts w:hint="eastAsia" w:ascii="宋体" w:hAnsi="宋体"/>
                <w:color w:val="auto"/>
                <w:szCs w:val="21"/>
                <w:highlight w:val="none"/>
              </w:rPr>
            </w:pPr>
          </w:p>
        </w:tc>
        <w:tc>
          <w:tcPr>
            <w:tcW w:w="709" w:type="dxa"/>
            <w:tcBorders>
              <w:bottom w:val="single" w:color="auto" w:sz="4" w:space="0"/>
            </w:tcBorders>
            <w:vAlign w:val="center"/>
          </w:tcPr>
          <w:p w14:paraId="20EAA70A">
            <w:pPr>
              <w:spacing w:line="400" w:lineRule="exact"/>
              <w:jc w:val="center"/>
              <w:rPr>
                <w:rFonts w:hint="eastAsia" w:ascii="宋体" w:hAnsi="宋体"/>
                <w:color w:val="auto"/>
                <w:szCs w:val="21"/>
                <w:highlight w:val="none"/>
              </w:rPr>
            </w:pPr>
          </w:p>
        </w:tc>
      </w:tr>
      <w:tr w14:paraId="0C3B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85A3166">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46AEE146">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75255AC3">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F78E043">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63258B67">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FC02F9A">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15B5F36">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B54C642">
            <w:pPr>
              <w:spacing w:line="400" w:lineRule="exact"/>
              <w:jc w:val="center"/>
              <w:rPr>
                <w:rFonts w:hint="eastAsia" w:ascii="宋体" w:hAnsi="宋体"/>
                <w:color w:val="auto"/>
                <w:szCs w:val="21"/>
                <w:highlight w:val="none"/>
              </w:rPr>
            </w:pPr>
          </w:p>
        </w:tc>
      </w:tr>
      <w:tr w14:paraId="446F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4B5FD82D">
            <w:pPr>
              <w:spacing w:line="400" w:lineRule="exact"/>
              <w:jc w:val="center"/>
              <w:rPr>
                <w:color w:val="auto"/>
                <w:szCs w:val="21"/>
                <w:highlight w:val="none"/>
              </w:rPr>
            </w:pPr>
          </w:p>
          <w:p w14:paraId="48D6B538">
            <w:pPr>
              <w:pStyle w:val="64"/>
              <w:rPr>
                <w:color w:val="auto"/>
                <w:sz w:val="21"/>
                <w:szCs w:val="21"/>
                <w:highlight w:val="none"/>
              </w:rPr>
            </w:pPr>
          </w:p>
        </w:tc>
        <w:tc>
          <w:tcPr>
            <w:tcW w:w="860" w:type="dxa"/>
            <w:tcBorders>
              <w:top w:val="single" w:color="auto" w:sz="4" w:space="0"/>
              <w:bottom w:val="single" w:color="auto" w:sz="4" w:space="0"/>
            </w:tcBorders>
            <w:vAlign w:val="center"/>
          </w:tcPr>
          <w:p w14:paraId="695C0643">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08AA8A2B">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68402D37">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23746836">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7A534305">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F5CDE97">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C6B23B7">
            <w:pPr>
              <w:spacing w:line="400" w:lineRule="exact"/>
              <w:jc w:val="center"/>
              <w:rPr>
                <w:rFonts w:hint="eastAsia" w:ascii="宋体" w:hAnsi="宋体"/>
                <w:color w:val="auto"/>
                <w:szCs w:val="21"/>
                <w:highlight w:val="none"/>
              </w:rPr>
            </w:pPr>
          </w:p>
        </w:tc>
      </w:tr>
      <w:tr w14:paraId="28215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5644F34">
            <w:pPr>
              <w:pStyle w:val="64"/>
              <w:rPr>
                <w:color w:val="auto"/>
                <w:sz w:val="21"/>
                <w:szCs w:val="21"/>
                <w:highlight w:val="none"/>
              </w:rPr>
            </w:pPr>
          </w:p>
        </w:tc>
        <w:tc>
          <w:tcPr>
            <w:tcW w:w="860" w:type="dxa"/>
            <w:tcBorders>
              <w:top w:val="single" w:color="auto" w:sz="4" w:space="0"/>
              <w:bottom w:val="single" w:color="auto" w:sz="4" w:space="0"/>
            </w:tcBorders>
            <w:vAlign w:val="center"/>
          </w:tcPr>
          <w:p w14:paraId="3B496F90">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7347883C">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D898AB3">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476BFCBE">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6906D7B8">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57CE5441">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F70E257">
            <w:pPr>
              <w:spacing w:line="400" w:lineRule="exact"/>
              <w:jc w:val="center"/>
              <w:rPr>
                <w:rFonts w:hint="eastAsia" w:ascii="宋体" w:hAnsi="宋体"/>
                <w:color w:val="auto"/>
                <w:szCs w:val="21"/>
                <w:highlight w:val="none"/>
              </w:rPr>
            </w:pPr>
          </w:p>
        </w:tc>
      </w:tr>
      <w:tr w14:paraId="03C6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208086C0">
            <w:pPr>
              <w:pStyle w:val="64"/>
              <w:rPr>
                <w:color w:val="auto"/>
                <w:sz w:val="21"/>
                <w:szCs w:val="21"/>
                <w:highlight w:val="none"/>
              </w:rPr>
            </w:pPr>
          </w:p>
        </w:tc>
        <w:tc>
          <w:tcPr>
            <w:tcW w:w="860" w:type="dxa"/>
            <w:tcBorders>
              <w:top w:val="single" w:color="auto" w:sz="4" w:space="0"/>
              <w:bottom w:val="single" w:color="auto" w:sz="4" w:space="0"/>
            </w:tcBorders>
            <w:vAlign w:val="center"/>
          </w:tcPr>
          <w:p w14:paraId="644BBCB6">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1D983DF">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92E1FF2">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432EEB4">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0E77653F">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3753D5B">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691D16E4">
            <w:pPr>
              <w:spacing w:line="400" w:lineRule="exact"/>
              <w:jc w:val="center"/>
              <w:rPr>
                <w:rFonts w:hint="eastAsia" w:ascii="宋体" w:hAnsi="宋体"/>
                <w:color w:val="auto"/>
                <w:szCs w:val="21"/>
                <w:highlight w:val="none"/>
              </w:rPr>
            </w:pPr>
          </w:p>
        </w:tc>
      </w:tr>
      <w:tr w14:paraId="12CE6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F97CB1E">
            <w:pPr>
              <w:pStyle w:val="64"/>
              <w:rPr>
                <w:color w:val="auto"/>
                <w:sz w:val="21"/>
                <w:szCs w:val="21"/>
                <w:highlight w:val="none"/>
              </w:rPr>
            </w:pPr>
          </w:p>
        </w:tc>
        <w:tc>
          <w:tcPr>
            <w:tcW w:w="860" w:type="dxa"/>
            <w:tcBorders>
              <w:top w:val="single" w:color="auto" w:sz="4" w:space="0"/>
              <w:bottom w:val="single" w:color="auto" w:sz="4" w:space="0"/>
            </w:tcBorders>
            <w:vAlign w:val="center"/>
          </w:tcPr>
          <w:p w14:paraId="7AFCBE33">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2F47E8D5">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79E172C">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67847B1">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2B995132">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6A559C6D">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17E007AE">
            <w:pPr>
              <w:spacing w:line="400" w:lineRule="exact"/>
              <w:jc w:val="center"/>
              <w:rPr>
                <w:rFonts w:hint="eastAsia" w:ascii="宋体" w:hAnsi="宋体"/>
                <w:color w:val="auto"/>
                <w:szCs w:val="21"/>
                <w:highlight w:val="none"/>
              </w:rPr>
            </w:pPr>
          </w:p>
        </w:tc>
      </w:tr>
      <w:tr w14:paraId="463E3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2C47B45D">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57CC38EE">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D01CA42">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5A590159">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1AA7FC7C">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6488DB1D">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76D2E4D0">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1F4AA6A0">
            <w:pPr>
              <w:spacing w:line="400" w:lineRule="exact"/>
              <w:jc w:val="center"/>
              <w:rPr>
                <w:rFonts w:hint="eastAsia" w:ascii="宋体" w:hAnsi="宋体"/>
                <w:color w:val="auto"/>
                <w:szCs w:val="21"/>
                <w:highlight w:val="none"/>
              </w:rPr>
            </w:pPr>
          </w:p>
        </w:tc>
      </w:tr>
      <w:tr w14:paraId="1BC89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16091A0">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7B433573">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4D4F83DF">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718F3066">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67796417">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B74736C">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D8D9DF8">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07390F77">
            <w:pPr>
              <w:spacing w:line="400" w:lineRule="exact"/>
              <w:jc w:val="center"/>
              <w:rPr>
                <w:rFonts w:hint="eastAsia" w:ascii="宋体" w:hAnsi="宋体"/>
                <w:color w:val="auto"/>
                <w:szCs w:val="21"/>
                <w:highlight w:val="none"/>
              </w:rPr>
            </w:pPr>
          </w:p>
        </w:tc>
      </w:tr>
      <w:tr w14:paraId="2DB6F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4719304">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64795DD9">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4D0879C0">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1D0645BD">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39FEB9C">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19F6C582">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636ED36E">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5974F4AF">
            <w:pPr>
              <w:spacing w:line="400" w:lineRule="exact"/>
              <w:jc w:val="center"/>
              <w:rPr>
                <w:rFonts w:hint="eastAsia" w:ascii="宋体" w:hAnsi="宋体"/>
                <w:color w:val="auto"/>
                <w:szCs w:val="21"/>
                <w:highlight w:val="none"/>
              </w:rPr>
            </w:pPr>
          </w:p>
        </w:tc>
      </w:tr>
      <w:tr w14:paraId="32BBE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8F49C4F">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4996CA23">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6982F006">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0703458">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A0B6726">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02027CA3">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1E11EB2D">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397A72F7">
            <w:pPr>
              <w:spacing w:line="400" w:lineRule="exact"/>
              <w:jc w:val="center"/>
              <w:rPr>
                <w:rFonts w:hint="eastAsia" w:ascii="宋体" w:hAnsi="宋体"/>
                <w:color w:val="auto"/>
                <w:szCs w:val="21"/>
                <w:highlight w:val="none"/>
              </w:rPr>
            </w:pPr>
          </w:p>
        </w:tc>
      </w:tr>
      <w:tr w14:paraId="7DDB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58151467">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15DEE3FB">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5D4B28F">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73771F1E">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D4EC8A9">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3960055">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E547A88">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29ED7121">
            <w:pPr>
              <w:spacing w:line="400" w:lineRule="exact"/>
              <w:jc w:val="center"/>
              <w:rPr>
                <w:rFonts w:hint="eastAsia" w:ascii="宋体" w:hAnsi="宋体"/>
                <w:color w:val="auto"/>
                <w:szCs w:val="21"/>
                <w:highlight w:val="none"/>
              </w:rPr>
            </w:pPr>
          </w:p>
        </w:tc>
      </w:tr>
    </w:tbl>
    <w:p w14:paraId="7E3431F9">
      <w:pPr>
        <w:jc w:val="center"/>
        <w:rPr>
          <w:rFonts w:hint="eastAsia" w:ascii="宋体" w:hAnsi="宋体" w:eastAsia="宋体" w:cs="Times New Roman"/>
          <w:b/>
          <w:color w:val="auto"/>
          <w:kern w:val="2"/>
          <w:sz w:val="30"/>
          <w:szCs w:val="30"/>
          <w:highlight w:val="none"/>
          <w:lang w:val="en-US" w:eastAsia="zh-CN" w:bidi="ar-SA"/>
        </w:rPr>
      </w:pPr>
      <w:r>
        <w:rPr>
          <w:rFonts w:hint="eastAsia" w:ascii="宋体" w:hAnsi="宋体" w:eastAsia="宋体" w:cs="Times New Roman"/>
          <w:b/>
          <w:color w:val="auto"/>
          <w:kern w:val="2"/>
          <w:sz w:val="30"/>
          <w:szCs w:val="30"/>
          <w:highlight w:val="none"/>
          <w:lang w:val="en-US" w:eastAsia="zh-CN" w:bidi="ar-SA"/>
        </w:rPr>
        <w:br w:type="page"/>
      </w:r>
    </w:p>
    <w:p w14:paraId="42637517">
      <w:pPr>
        <w:pStyle w:val="63"/>
        <w:rPr>
          <w:rFonts w:hint="eastAsia" w:ascii="宋体" w:hAnsi="宋体" w:eastAsia="宋体" w:cs="Times New Roman"/>
          <w:b/>
          <w:color w:val="auto"/>
          <w:kern w:val="2"/>
          <w:sz w:val="30"/>
          <w:szCs w:val="30"/>
          <w:highlight w:val="none"/>
          <w:lang w:val="en-US" w:eastAsia="zh-CN" w:bidi="ar-SA"/>
        </w:rPr>
      </w:pPr>
      <w:r>
        <w:rPr>
          <w:rFonts w:hint="eastAsia" w:ascii="宋体" w:hAnsi="宋体" w:eastAsia="宋体" w:cs="Times New Roman"/>
          <w:b/>
          <w:color w:val="auto"/>
          <w:kern w:val="2"/>
          <w:sz w:val="30"/>
          <w:szCs w:val="30"/>
          <w:highlight w:val="none"/>
          <w:lang w:val="en-US" w:eastAsia="zh-CN" w:bidi="ar-SA"/>
        </w:rPr>
        <w:t>商务技术评分需要提供的材料（按评分顺序提供并自行拟定目录）</w:t>
      </w:r>
    </w:p>
    <w:p w14:paraId="61E0EAB8">
      <w:pPr>
        <w:widowControl/>
        <w:jc w:val="left"/>
        <w:rPr>
          <w:rFonts w:ascii="宋体" w:hAnsi="宋体"/>
          <w:b/>
          <w:color w:val="auto"/>
          <w:sz w:val="36"/>
          <w:szCs w:val="36"/>
          <w:highlight w:val="none"/>
        </w:rPr>
      </w:pPr>
      <w:bookmarkStart w:id="29" w:name="_Toc425960677"/>
      <w:bookmarkStart w:id="30" w:name="_Toc420058377"/>
      <w:r>
        <w:rPr>
          <w:rFonts w:ascii="宋体" w:hAnsi="宋体"/>
          <w:b/>
          <w:color w:val="auto"/>
          <w:sz w:val="36"/>
          <w:szCs w:val="36"/>
          <w:highlight w:val="none"/>
        </w:rPr>
        <w:br w:type="page"/>
      </w:r>
    </w:p>
    <w:p w14:paraId="682B6132">
      <w:pPr>
        <w:tabs>
          <w:tab w:val="left" w:pos="1965"/>
        </w:tabs>
        <w:rPr>
          <w:rFonts w:ascii="宋体" w:hAnsi="宋体"/>
          <w:color w:val="auto"/>
          <w:sz w:val="28"/>
          <w:szCs w:val="28"/>
          <w:highlight w:val="none"/>
        </w:rPr>
      </w:pPr>
      <w:r>
        <w:rPr>
          <w:rFonts w:hint="eastAsia" w:ascii="宋体" w:hAnsi="宋体"/>
          <w:color w:val="auto"/>
          <w:sz w:val="28"/>
          <w:szCs w:val="28"/>
          <w:highlight w:val="none"/>
        </w:rPr>
        <w:t>第三部分格式：</w:t>
      </w:r>
    </w:p>
    <w:p w14:paraId="48521E02">
      <w:pPr>
        <w:tabs>
          <w:tab w:val="left" w:pos="2020"/>
          <w:tab w:val="center" w:pos="4535"/>
        </w:tabs>
        <w:spacing w:line="400" w:lineRule="exact"/>
        <w:ind w:firstLine="280" w:firstLineChars="100"/>
        <w:rPr>
          <w:rFonts w:ascii="宋体" w:hAnsi="宋体"/>
          <w:color w:val="auto"/>
          <w:sz w:val="28"/>
          <w:szCs w:val="20"/>
          <w:highlight w:val="none"/>
        </w:rPr>
      </w:pPr>
    </w:p>
    <w:p w14:paraId="4FFBAC02">
      <w:pPr>
        <w:tabs>
          <w:tab w:val="left" w:pos="2020"/>
          <w:tab w:val="center" w:pos="4535"/>
        </w:tabs>
        <w:spacing w:line="400" w:lineRule="exact"/>
        <w:ind w:firstLine="280" w:firstLineChars="100"/>
        <w:rPr>
          <w:rFonts w:ascii="宋体" w:hAnsi="宋体"/>
          <w:color w:val="auto"/>
          <w:sz w:val="28"/>
          <w:szCs w:val="20"/>
          <w:highlight w:val="none"/>
        </w:rPr>
      </w:pPr>
    </w:p>
    <w:p w14:paraId="650D4166">
      <w:pPr>
        <w:tabs>
          <w:tab w:val="left" w:pos="159"/>
        </w:tabs>
        <w:rPr>
          <w:rFonts w:ascii="宋体" w:hAnsi="宋体"/>
          <w:color w:val="auto"/>
          <w:sz w:val="28"/>
          <w:szCs w:val="28"/>
          <w:highlight w:val="none"/>
        </w:rPr>
      </w:pPr>
    </w:p>
    <w:p w14:paraId="57D1011D">
      <w:pPr>
        <w:spacing w:after="60" w:line="360" w:lineRule="auto"/>
        <w:ind w:left="2277" w:leftChars="171"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06FDFDBB">
      <w:pPr>
        <w:spacing w:after="60" w:line="360" w:lineRule="auto"/>
        <w:jc w:val="center"/>
        <w:rPr>
          <w:rFonts w:ascii="宋体" w:hAnsi="宋体"/>
          <w:b/>
          <w:bCs/>
          <w:color w:val="auto"/>
          <w:sz w:val="44"/>
          <w:szCs w:val="44"/>
          <w:highlight w:val="none"/>
        </w:rPr>
      </w:pPr>
    </w:p>
    <w:p w14:paraId="4AF914E4">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4B300D02">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（价格文件）</w:t>
      </w:r>
    </w:p>
    <w:p w14:paraId="1D53C20C">
      <w:pPr>
        <w:spacing w:after="60"/>
        <w:jc w:val="center"/>
        <w:rPr>
          <w:rFonts w:ascii="宋体" w:hAnsi="宋体"/>
          <w:b/>
          <w:bCs/>
          <w:color w:val="auto"/>
          <w:sz w:val="72"/>
          <w:szCs w:val="72"/>
          <w:highlight w:val="none"/>
        </w:rPr>
      </w:pPr>
    </w:p>
    <w:p w14:paraId="34F47AA7">
      <w:pPr>
        <w:spacing w:after="60"/>
        <w:jc w:val="center"/>
        <w:rPr>
          <w:rFonts w:ascii="宋体" w:hAnsi="宋体"/>
          <w:b/>
          <w:bCs/>
          <w:color w:val="auto"/>
          <w:sz w:val="72"/>
          <w:szCs w:val="72"/>
          <w:highlight w:val="none"/>
        </w:rPr>
      </w:pPr>
    </w:p>
    <w:p w14:paraId="2BF97135">
      <w:pPr>
        <w:spacing w:after="60"/>
        <w:jc w:val="center"/>
        <w:rPr>
          <w:rFonts w:ascii="宋体" w:hAnsi="宋体"/>
          <w:b/>
          <w:bCs/>
          <w:color w:val="auto"/>
          <w:sz w:val="72"/>
          <w:szCs w:val="72"/>
          <w:highlight w:val="none"/>
        </w:rPr>
      </w:pPr>
    </w:p>
    <w:p w14:paraId="0A0CBD33">
      <w:pPr>
        <w:tabs>
          <w:tab w:val="left" w:pos="2020"/>
          <w:tab w:val="center" w:pos="4535"/>
        </w:tabs>
        <w:spacing w:line="400" w:lineRule="exact"/>
        <w:ind w:firstLine="280" w:firstLineChars="100"/>
        <w:rPr>
          <w:rFonts w:ascii="宋体" w:hAnsi="宋体"/>
          <w:color w:val="auto"/>
          <w:sz w:val="28"/>
          <w:szCs w:val="20"/>
          <w:highlight w:val="none"/>
        </w:rPr>
      </w:pPr>
    </w:p>
    <w:p w14:paraId="06D08F7E">
      <w:pPr>
        <w:tabs>
          <w:tab w:val="left" w:pos="2020"/>
          <w:tab w:val="center" w:pos="4535"/>
        </w:tabs>
        <w:spacing w:line="400" w:lineRule="exact"/>
        <w:ind w:firstLine="280" w:firstLineChars="100"/>
        <w:rPr>
          <w:rFonts w:ascii="宋体" w:hAnsi="宋体"/>
          <w:color w:val="auto"/>
          <w:sz w:val="28"/>
          <w:szCs w:val="20"/>
          <w:highlight w:val="none"/>
        </w:rPr>
      </w:pPr>
    </w:p>
    <w:p w14:paraId="385CBCEE">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390100C3">
      <w:pPr>
        <w:ind w:left="1508" w:leftChars="171" w:hanging="1149" w:hangingChars="383"/>
        <w:rPr>
          <w:rFonts w:ascii="宋体" w:hAnsi="宋体"/>
          <w:b/>
          <w:color w:val="auto"/>
          <w:sz w:val="30"/>
          <w:szCs w:val="30"/>
          <w:highlight w:val="none"/>
        </w:rPr>
      </w:pPr>
    </w:p>
    <w:p w14:paraId="0DFB0FB8">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w:t>
      </w:r>
      <w:bookmarkStart w:id="31" w:name="_Hlk81344726"/>
      <w:r>
        <w:rPr>
          <w:rFonts w:hint="eastAsia" w:ascii="宋体" w:hAnsi="宋体"/>
          <w:b/>
          <w:color w:val="auto"/>
          <w:sz w:val="30"/>
          <w:szCs w:val="30"/>
          <w:highlight w:val="none"/>
        </w:rPr>
        <w:t>（或盖章）</w:t>
      </w:r>
      <w:bookmarkEnd w:id="31"/>
      <w:r>
        <w:rPr>
          <w:rFonts w:hint="eastAsia" w:ascii="宋体" w:hAnsi="宋体"/>
          <w:b/>
          <w:color w:val="auto"/>
          <w:sz w:val="30"/>
          <w:szCs w:val="30"/>
          <w:highlight w:val="none"/>
        </w:rPr>
        <w:t>：</w:t>
      </w:r>
      <w:r>
        <w:rPr>
          <w:rFonts w:hint="eastAsia" w:ascii="宋体" w:hAnsi="宋体"/>
          <w:b/>
          <w:color w:val="auto"/>
          <w:sz w:val="30"/>
          <w:szCs w:val="30"/>
          <w:highlight w:val="none"/>
          <w:u w:val="single"/>
        </w:rPr>
        <w:t xml:space="preserve">                    </w:t>
      </w:r>
    </w:p>
    <w:p w14:paraId="77070683">
      <w:pPr>
        <w:spacing w:line="360" w:lineRule="auto"/>
        <w:ind w:firstLine="594" w:firstLineChars="198"/>
        <w:rPr>
          <w:rFonts w:ascii="宋体" w:hAnsi="宋体"/>
          <w:b/>
          <w:color w:val="auto"/>
          <w:sz w:val="30"/>
          <w:szCs w:val="30"/>
          <w:highlight w:val="none"/>
        </w:rPr>
      </w:pPr>
    </w:p>
    <w:p w14:paraId="3DC473F9">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6D0EF97D">
      <w:pPr>
        <w:widowControl/>
        <w:adjustRightInd w:val="0"/>
        <w:snapToGrid w:val="0"/>
        <w:spacing w:before="100" w:beforeAutospacing="1" w:after="100" w:afterAutospacing="1" w:line="360" w:lineRule="auto"/>
        <w:ind w:firstLine="480"/>
        <w:jc w:val="center"/>
        <w:textAlignment w:val="center"/>
        <w:rPr>
          <w:rFonts w:ascii="宋体" w:hAnsi="宋体"/>
          <w:b/>
          <w:bCs/>
          <w:color w:val="auto"/>
          <w:sz w:val="24"/>
          <w:highlight w:val="none"/>
        </w:rPr>
      </w:pPr>
    </w:p>
    <w:p w14:paraId="7F0D15AB">
      <w:pPr>
        <w:spacing w:after="60" w:line="360" w:lineRule="auto"/>
        <w:ind w:left="1851" w:leftChars="171" w:hanging="1492" w:hangingChars="533"/>
        <w:rPr>
          <w:rStyle w:val="80"/>
          <w:rFonts w:ascii="宋体" w:hAnsi="宋体" w:cs="Times New Roman"/>
          <w:color w:val="auto"/>
          <w:sz w:val="28"/>
          <w:szCs w:val="28"/>
          <w:highlight w:val="none"/>
        </w:rPr>
      </w:pPr>
    </w:p>
    <w:p w14:paraId="1AE53C45">
      <w:pPr>
        <w:widowControl/>
        <w:jc w:val="left"/>
        <w:rPr>
          <w:rStyle w:val="80"/>
          <w:rFonts w:ascii="宋体" w:hAnsi="宋体" w:cs="宋体"/>
          <w:color w:val="auto"/>
          <w:sz w:val="24"/>
          <w:szCs w:val="24"/>
          <w:highlight w:val="none"/>
        </w:rPr>
      </w:pPr>
      <w:r>
        <w:rPr>
          <w:rStyle w:val="80"/>
          <w:rFonts w:ascii="宋体" w:hAnsi="宋体" w:cs="宋体"/>
          <w:color w:val="auto"/>
          <w:sz w:val="24"/>
          <w:szCs w:val="24"/>
          <w:highlight w:val="none"/>
        </w:rPr>
        <w:br w:type="page"/>
      </w:r>
    </w:p>
    <w:p w14:paraId="74045179">
      <w:pPr>
        <w:snapToGrid w:val="0"/>
        <w:spacing w:line="360" w:lineRule="auto"/>
        <w:jc w:val="center"/>
        <w:outlineLvl w:val="1"/>
        <w:rPr>
          <w:rFonts w:ascii="宋体" w:hAnsi="宋体"/>
          <w:b/>
          <w:color w:val="auto"/>
          <w:sz w:val="28"/>
          <w:highlight w:val="none"/>
        </w:rPr>
      </w:pPr>
      <w:r>
        <w:rPr>
          <w:rFonts w:hint="eastAsia" w:ascii="宋体" w:hAnsi="宋体"/>
          <w:b/>
          <w:color w:val="auto"/>
          <w:sz w:val="28"/>
          <w:highlight w:val="none"/>
        </w:rPr>
        <w:t>一</w:t>
      </w:r>
      <w:r>
        <w:rPr>
          <w:rFonts w:ascii="宋体" w:hAnsi="宋体"/>
          <w:b/>
          <w:color w:val="auto"/>
          <w:sz w:val="28"/>
          <w:highlight w:val="none"/>
        </w:rPr>
        <w:t>、</w:t>
      </w:r>
      <w:bookmarkEnd w:id="29"/>
      <w:bookmarkEnd w:id="30"/>
      <w:r>
        <w:rPr>
          <w:rFonts w:ascii="宋体" w:hAnsi="宋体"/>
          <w:b/>
          <w:color w:val="auto"/>
          <w:sz w:val="28"/>
          <w:highlight w:val="none"/>
        </w:rPr>
        <w:t>开标一览表</w:t>
      </w:r>
    </w:p>
    <w:p w14:paraId="1143BA5A">
      <w:pPr>
        <w:pStyle w:val="34"/>
        <w:spacing w:line="360" w:lineRule="auto"/>
        <w:rPr>
          <w:rFonts w:hAnsi="宋体"/>
          <w:color w:val="auto"/>
          <w:highlight w:val="none"/>
          <w:u w:val="single"/>
        </w:rPr>
      </w:pPr>
    </w:p>
    <w:p w14:paraId="740D4571">
      <w:pPr>
        <w:spacing w:line="360" w:lineRule="auto"/>
        <w:ind w:firstLine="480" w:firstLineChars="200"/>
        <w:rPr>
          <w:rFonts w:ascii="宋体" w:hAnsi="宋体"/>
          <w:color w:val="auto"/>
          <w:sz w:val="24"/>
          <w:highlight w:val="none"/>
        </w:rPr>
      </w:pP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4"/>
        <w:gridCol w:w="6696"/>
      </w:tblGrid>
      <w:tr w14:paraId="7E2A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trPr>
        <w:tc>
          <w:tcPr>
            <w:tcW w:w="1396" w:type="pct"/>
            <w:vAlign w:val="center"/>
          </w:tcPr>
          <w:p w14:paraId="71D953DE">
            <w:pPr>
              <w:adjustRightInd w:val="0"/>
              <w:snapToGrid w:val="0"/>
              <w:spacing w:line="300" w:lineRule="auto"/>
              <w:rPr>
                <w:rFonts w:ascii="宋体" w:hAnsi="宋体"/>
                <w:color w:val="auto"/>
                <w:sz w:val="24"/>
                <w:highlight w:val="none"/>
              </w:rPr>
            </w:pPr>
            <w:r>
              <w:rPr>
                <w:rFonts w:ascii="宋体" w:hAnsi="宋体"/>
                <w:color w:val="auto"/>
                <w:sz w:val="24"/>
                <w:highlight w:val="none"/>
              </w:rPr>
              <w:t xml:space="preserve"> 投标货物、服务名称</w:t>
            </w:r>
          </w:p>
        </w:tc>
        <w:tc>
          <w:tcPr>
            <w:tcW w:w="3604" w:type="pct"/>
            <w:vAlign w:val="center"/>
          </w:tcPr>
          <w:p w14:paraId="2CAFC5B5">
            <w:pPr>
              <w:rPr>
                <w:rFonts w:ascii="宋体" w:hAnsi="宋体"/>
                <w:color w:val="auto"/>
                <w:sz w:val="24"/>
                <w:highlight w:val="none"/>
              </w:rPr>
            </w:pPr>
            <w:r>
              <w:rPr>
                <w:rFonts w:ascii="宋体" w:hAnsi="宋体"/>
                <w:color w:val="auto"/>
                <w:sz w:val="24"/>
                <w:highlight w:val="none"/>
              </w:rPr>
              <w:t xml:space="preserve">                      投标总报价</w:t>
            </w:r>
          </w:p>
        </w:tc>
      </w:tr>
      <w:tr w14:paraId="0D67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55B1E14A">
            <w:pPr>
              <w:adjustRightInd w:val="0"/>
              <w:snapToGrid w:val="0"/>
              <w:spacing w:line="30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2026年度通吕运河水利枢纽安全监测项目</w:t>
            </w:r>
          </w:p>
        </w:tc>
        <w:tc>
          <w:tcPr>
            <w:tcW w:w="3604" w:type="pct"/>
            <w:vAlign w:val="center"/>
          </w:tcPr>
          <w:p w14:paraId="41CE1AC4">
            <w:pPr>
              <w:adjustRightInd w:val="0"/>
              <w:snapToGrid w:val="0"/>
              <w:spacing w:line="300" w:lineRule="auto"/>
              <w:rPr>
                <w:rFonts w:ascii="宋体" w:hAnsi="宋体"/>
                <w:color w:val="auto"/>
                <w:sz w:val="24"/>
                <w:highlight w:val="none"/>
              </w:rPr>
            </w:pPr>
            <w:r>
              <w:rPr>
                <w:rFonts w:ascii="宋体" w:hAnsi="宋体"/>
                <w:bCs/>
                <w:color w:val="auto"/>
                <w:sz w:val="24"/>
                <w:highlight w:val="none"/>
              </w:rPr>
              <w:t>合计</w:t>
            </w:r>
            <w:r>
              <w:rPr>
                <w:rFonts w:ascii="宋体" w:hAnsi="宋体"/>
                <w:color w:val="auto"/>
                <w:sz w:val="24"/>
                <w:highlight w:val="none"/>
              </w:rPr>
              <w:t>：大写：</w:t>
            </w:r>
            <w:r>
              <w:rPr>
                <w:rFonts w:ascii="宋体" w:hAnsi="宋体"/>
                <w:color w:val="auto"/>
                <w:sz w:val="24"/>
                <w:highlight w:val="none"/>
                <w:u w:val="single"/>
              </w:rPr>
              <w:t xml:space="preserve">                            </w:t>
            </w:r>
            <w:r>
              <w:rPr>
                <w:rFonts w:ascii="宋体" w:hAnsi="宋体"/>
                <w:color w:val="auto"/>
                <w:sz w:val="24"/>
                <w:highlight w:val="none"/>
              </w:rPr>
              <w:t>，</w:t>
            </w:r>
          </w:p>
          <w:p w14:paraId="596C9957">
            <w:pPr>
              <w:adjustRightInd w:val="0"/>
              <w:snapToGrid w:val="0"/>
              <w:spacing w:line="300" w:lineRule="auto"/>
              <w:ind w:firstLine="720" w:firstLineChars="300"/>
              <w:rPr>
                <w:rFonts w:ascii="宋体" w:hAnsi="宋体"/>
                <w:color w:val="auto"/>
                <w:highlight w:val="none"/>
                <w:u w:val="single"/>
              </w:rPr>
            </w:pPr>
            <w:r>
              <w:rPr>
                <w:rFonts w:ascii="宋体" w:hAnsi="宋体"/>
                <w:color w:val="auto"/>
                <w:kern w:val="0"/>
                <w:sz w:val="24"/>
                <w:highlight w:val="none"/>
              </w:rPr>
              <w:t>小写：</w:t>
            </w:r>
            <w:r>
              <w:rPr>
                <w:rFonts w:ascii="宋体" w:hAnsi="宋体"/>
                <w:color w:val="auto"/>
                <w:kern w:val="0"/>
                <w:sz w:val="24"/>
                <w:highlight w:val="none"/>
                <w:u w:val="single"/>
              </w:rPr>
              <w:t xml:space="preserve">              </w:t>
            </w:r>
            <w:r>
              <w:rPr>
                <w:rFonts w:ascii="宋体" w:hAnsi="宋体"/>
                <w:color w:val="auto"/>
                <w:kern w:val="0"/>
                <w:sz w:val="24"/>
                <w:highlight w:val="none"/>
              </w:rPr>
              <w:t>元（人民币）</w:t>
            </w:r>
          </w:p>
        </w:tc>
      </w:tr>
    </w:tbl>
    <w:p w14:paraId="45B9442C">
      <w:pPr>
        <w:snapToGrid w:val="0"/>
        <w:spacing w:line="360" w:lineRule="auto"/>
        <w:ind w:firstLine="2400" w:firstLineChars="1000"/>
        <w:jc w:val="right"/>
        <w:rPr>
          <w:rFonts w:ascii="宋体" w:hAnsi="宋体"/>
          <w:color w:val="auto"/>
          <w:sz w:val="24"/>
          <w:highlight w:val="none"/>
        </w:rPr>
      </w:pPr>
    </w:p>
    <w:p w14:paraId="77D351EC">
      <w:pPr>
        <w:spacing w:line="360" w:lineRule="auto"/>
        <w:ind w:firstLine="3840" w:firstLineChars="1600"/>
        <w:rPr>
          <w:rFonts w:ascii="宋体" w:hAnsi="宋体"/>
          <w:color w:val="auto"/>
          <w:sz w:val="24"/>
          <w:highlight w:val="none"/>
        </w:rPr>
      </w:pPr>
      <w:r>
        <w:rPr>
          <w:rFonts w:ascii="宋体" w:hAnsi="宋体"/>
          <w:color w:val="auto"/>
          <w:sz w:val="24"/>
          <w:highlight w:val="none"/>
        </w:rPr>
        <w:t>投标人全称（加盖公章）：</w:t>
      </w:r>
    </w:p>
    <w:p w14:paraId="7D6A48F0">
      <w:pPr>
        <w:snapToGrid w:val="0"/>
        <w:spacing w:line="360" w:lineRule="auto"/>
        <w:ind w:firstLine="2400" w:firstLineChars="1000"/>
        <w:jc w:val="right"/>
        <w:rPr>
          <w:rFonts w:ascii="宋体" w:hAnsi="宋体"/>
          <w:color w:val="auto"/>
          <w:sz w:val="24"/>
          <w:highlight w:val="none"/>
        </w:rPr>
      </w:pPr>
    </w:p>
    <w:p w14:paraId="20B5F55E">
      <w:pPr>
        <w:snapToGrid w:val="0"/>
        <w:spacing w:line="360" w:lineRule="auto"/>
        <w:ind w:firstLine="2400" w:firstLineChars="1000"/>
        <w:jc w:val="right"/>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37F2F657">
      <w:pPr>
        <w:rPr>
          <w:rFonts w:ascii="宋体" w:hAnsi="宋体"/>
          <w:color w:val="auto"/>
          <w:sz w:val="24"/>
          <w:highlight w:val="none"/>
        </w:rPr>
      </w:pPr>
    </w:p>
    <w:p w14:paraId="2EBE882A">
      <w:pPr>
        <w:spacing w:line="360" w:lineRule="auto"/>
        <w:ind w:firstLine="480"/>
        <w:rPr>
          <w:rFonts w:ascii="宋体" w:hAnsi="宋体"/>
          <w:color w:val="auto"/>
          <w:sz w:val="24"/>
          <w:highlight w:val="none"/>
        </w:rPr>
      </w:pPr>
      <w:r>
        <w:rPr>
          <w:rFonts w:ascii="宋体" w:hAnsi="宋体"/>
          <w:color w:val="auto"/>
          <w:sz w:val="24"/>
          <w:highlight w:val="none"/>
        </w:rPr>
        <w:t xml:space="preserve">                                      日期：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6CF0745A">
      <w:pPr>
        <w:spacing w:line="360" w:lineRule="auto"/>
        <w:ind w:firstLine="480"/>
        <w:rPr>
          <w:rFonts w:ascii="宋体" w:hAnsi="宋体"/>
          <w:color w:val="auto"/>
          <w:sz w:val="24"/>
          <w:highlight w:val="none"/>
        </w:rPr>
      </w:pPr>
      <w:r>
        <w:rPr>
          <w:rFonts w:ascii="宋体" w:hAnsi="宋体"/>
          <w:color w:val="auto"/>
          <w:sz w:val="24"/>
          <w:highlight w:val="none"/>
        </w:rPr>
        <w:t>填写说明：</w:t>
      </w:r>
    </w:p>
    <w:p w14:paraId="2A14094F">
      <w:pPr>
        <w:spacing w:line="360" w:lineRule="auto"/>
        <w:ind w:firstLine="480" w:firstLineChars="200"/>
        <w:rPr>
          <w:rFonts w:ascii="宋体" w:hAnsi="宋体"/>
          <w:bCs/>
          <w:iCs/>
          <w:color w:val="auto"/>
          <w:sz w:val="24"/>
          <w:highlight w:val="none"/>
        </w:rPr>
      </w:pPr>
      <w:r>
        <w:rPr>
          <w:rFonts w:ascii="宋体" w:hAnsi="宋体"/>
          <w:bCs/>
          <w:iCs/>
          <w:color w:val="auto"/>
          <w:sz w:val="24"/>
          <w:highlight w:val="none"/>
        </w:rPr>
        <w:t>1、</w:t>
      </w:r>
      <w:r>
        <w:rPr>
          <w:rFonts w:hint="eastAsia" w:ascii="宋体" w:hAnsi="宋体"/>
          <w:bCs/>
          <w:iCs/>
          <w:color w:val="auto"/>
          <w:sz w:val="24"/>
          <w:highlight w:val="none"/>
        </w:rPr>
        <w:t>开标一览表中不得填报有选择性报价方案，采购人仅接受一个价格。</w:t>
      </w:r>
    </w:p>
    <w:p w14:paraId="635D03C2">
      <w:pPr>
        <w:spacing w:line="360" w:lineRule="auto"/>
        <w:ind w:firstLine="480" w:firstLineChars="200"/>
        <w:rPr>
          <w:rFonts w:ascii="宋体" w:hAnsi="宋体"/>
          <w:bCs/>
          <w:color w:val="auto"/>
          <w:sz w:val="24"/>
          <w:szCs w:val="21"/>
          <w:highlight w:val="none"/>
        </w:rPr>
      </w:pPr>
      <w:r>
        <w:rPr>
          <w:rFonts w:ascii="宋体" w:hAnsi="宋体"/>
          <w:color w:val="auto"/>
          <w:sz w:val="24"/>
          <w:highlight w:val="none"/>
        </w:rPr>
        <w:t>2、</w:t>
      </w:r>
      <w:r>
        <w:rPr>
          <w:rFonts w:ascii="宋体" w:hAnsi="宋体"/>
          <w:bCs/>
          <w:iCs/>
          <w:color w:val="auto"/>
          <w:sz w:val="24"/>
          <w:highlight w:val="none"/>
        </w:rPr>
        <w:t>开标一览表和分项报价表必须加盖投标单位公章</w:t>
      </w:r>
      <w:r>
        <w:rPr>
          <w:rFonts w:ascii="宋体" w:hAnsi="宋体"/>
          <w:color w:val="auto"/>
          <w:sz w:val="24"/>
          <w:highlight w:val="none"/>
        </w:rPr>
        <w:t>。</w:t>
      </w:r>
    </w:p>
    <w:p w14:paraId="1F136B7C">
      <w:pPr>
        <w:spacing w:line="360" w:lineRule="auto"/>
        <w:rPr>
          <w:rFonts w:ascii="宋体" w:hAnsi="宋体"/>
          <w:color w:val="auto"/>
          <w:sz w:val="24"/>
          <w:highlight w:val="none"/>
        </w:rPr>
      </w:pPr>
      <w:r>
        <w:rPr>
          <w:rFonts w:ascii="宋体" w:hAnsi="宋体"/>
          <w:color w:val="auto"/>
          <w:sz w:val="24"/>
          <w:highlight w:val="none"/>
        </w:rPr>
        <w:t xml:space="preserve">    </w:t>
      </w:r>
    </w:p>
    <w:p w14:paraId="1E129EAB">
      <w:pPr>
        <w:snapToGrid w:val="0"/>
        <w:spacing w:line="360" w:lineRule="auto"/>
        <w:jc w:val="center"/>
        <w:outlineLvl w:val="1"/>
        <w:rPr>
          <w:rFonts w:hint="eastAsia" w:ascii="宋体" w:hAnsi="宋体"/>
          <w:b/>
          <w:bCs/>
          <w:color w:val="auto"/>
          <w:sz w:val="28"/>
          <w:szCs w:val="28"/>
          <w:highlight w:val="none"/>
        </w:rPr>
      </w:pPr>
      <w:r>
        <w:rPr>
          <w:rFonts w:ascii="宋体" w:hAnsi="宋体"/>
          <w:b/>
          <w:color w:val="auto"/>
          <w:sz w:val="24"/>
          <w:highlight w:val="none"/>
        </w:rPr>
        <w:br w:type="page"/>
      </w:r>
      <w:r>
        <w:rPr>
          <w:rFonts w:hint="eastAsia" w:ascii="宋体" w:hAnsi="宋体"/>
          <w:b/>
          <w:color w:val="auto"/>
          <w:sz w:val="28"/>
          <w:highlight w:val="none"/>
        </w:rPr>
        <w:t>二</w:t>
      </w:r>
      <w:r>
        <w:rPr>
          <w:rFonts w:ascii="宋体" w:hAnsi="宋体"/>
          <w:b/>
          <w:color w:val="auto"/>
          <w:sz w:val="28"/>
          <w:highlight w:val="none"/>
        </w:rPr>
        <w:t>、分项报价明细表</w:t>
      </w:r>
    </w:p>
    <w:p w14:paraId="4E4FF341">
      <w:pPr>
        <w:spacing w:line="44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2026年度通吕运河水利枢纽安全监测项目</w:t>
      </w:r>
    </w:p>
    <w:tbl>
      <w:tblPr>
        <w:tblStyle w:val="65"/>
        <w:tblW w:w="9298" w:type="dxa"/>
        <w:tblInd w:w="0" w:type="dxa"/>
        <w:tblLayout w:type="autofit"/>
        <w:tblCellMar>
          <w:top w:w="0" w:type="dxa"/>
          <w:left w:w="108" w:type="dxa"/>
          <w:bottom w:w="0" w:type="dxa"/>
          <w:right w:w="108" w:type="dxa"/>
        </w:tblCellMar>
      </w:tblPr>
      <w:tblGrid>
        <w:gridCol w:w="680"/>
        <w:gridCol w:w="1134"/>
        <w:gridCol w:w="1701"/>
        <w:gridCol w:w="680"/>
        <w:gridCol w:w="680"/>
        <w:gridCol w:w="907"/>
        <w:gridCol w:w="964"/>
        <w:gridCol w:w="1191"/>
        <w:gridCol w:w="1361"/>
      </w:tblGrid>
      <w:tr w14:paraId="6972EB11">
        <w:tblPrEx>
          <w:tblCellMar>
            <w:top w:w="0" w:type="dxa"/>
            <w:left w:w="108" w:type="dxa"/>
            <w:bottom w:w="0" w:type="dxa"/>
            <w:right w:w="108" w:type="dxa"/>
          </w:tblCellMar>
        </w:tblPrEx>
        <w:trPr>
          <w:trHeight w:val="799"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3D7FF">
            <w:pPr>
              <w:widowControl/>
              <w:jc w:val="center"/>
              <w:rPr>
                <w:rFonts w:ascii="Times New Roman" w:hAnsi="Times New Roman" w:eastAsia="仿宋" w:cs="Times New Roman"/>
                <w:b/>
                <w:bCs/>
                <w:color w:val="auto"/>
                <w:kern w:val="0"/>
                <w:szCs w:val="21"/>
                <w:highlight w:val="none"/>
              </w:rPr>
            </w:pPr>
            <w:r>
              <w:rPr>
                <w:rFonts w:ascii="Times New Roman" w:hAnsi="Times New Roman" w:eastAsia="仿宋" w:cs="Times New Roman"/>
                <w:b/>
                <w:bCs/>
                <w:color w:val="auto"/>
                <w:kern w:val="0"/>
                <w:szCs w:val="21"/>
                <w:highlight w:val="none"/>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F80F333">
            <w:pPr>
              <w:widowControl/>
              <w:jc w:val="center"/>
              <w:rPr>
                <w:rFonts w:ascii="Times New Roman" w:hAnsi="Times New Roman" w:eastAsia="仿宋" w:cs="Times New Roman"/>
                <w:b/>
                <w:bCs/>
                <w:color w:val="auto"/>
                <w:kern w:val="0"/>
                <w:szCs w:val="21"/>
                <w:highlight w:val="none"/>
              </w:rPr>
            </w:pPr>
            <w:r>
              <w:rPr>
                <w:rFonts w:ascii="Times New Roman" w:hAnsi="Times New Roman" w:eastAsia="仿宋" w:cs="Times New Roman"/>
                <w:b/>
                <w:bCs/>
                <w:color w:val="auto"/>
                <w:kern w:val="0"/>
                <w:szCs w:val="21"/>
                <w:highlight w:val="none"/>
              </w:rPr>
              <w:t>名称</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1C872AE">
            <w:pPr>
              <w:widowControl/>
              <w:jc w:val="center"/>
              <w:rPr>
                <w:rFonts w:ascii="Times New Roman" w:hAnsi="Times New Roman" w:eastAsia="仿宋" w:cs="Times New Roman"/>
                <w:b/>
                <w:bCs/>
                <w:color w:val="auto"/>
                <w:kern w:val="0"/>
                <w:szCs w:val="21"/>
                <w:highlight w:val="none"/>
              </w:rPr>
            </w:pPr>
            <w:r>
              <w:rPr>
                <w:rFonts w:ascii="Times New Roman" w:hAnsi="Times New Roman" w:eastAsia="仿宋" w:cs="Times New Roman"/>
                <w:b/>
                <w:bCs/>
                <w:color w:val="auto"/>
                <w:kern w:val="0"/>
                <w:szCs w:val="21"/>
                <w:highlight w:val="none"/>
              </w:rPr>
              <w:t>观测内容</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0CDF73D3">
            <w:pPr>
              <w:widowControl/>
              <w:jc w:val="center"/>
              <w:rPr>
                <w:rFonts w:ascii="Times New Roman" w:hAnsi="Times New Roman" w:eastAsia="仿宋" w:cs="Times New Roman"/>
                <w:b/>
                <w:bCs/>
                <w:color w:val="auto"/>
                <w:kern w:val="0"/>
                <w:szCs w:val="21"/>
                <w:highlight w:val="none"/>
              </w:rPr>
            </w:pPr>
            <w:r>
              <w:rPr>
                <w:rFonts w:ascii="Times New Roman" w:hAnsi="Times New Roman" w:eastAsia="仿宋" w:cs="Times New Roman"/>
                <w:b/>
                <w:bCs/>
                <w:color w:val="auto"/>
                <w:kern w:val="0"/>
                <w:szCs w:val="21"/>
                <w:highlight w:val="none"/>
              </w:rPr>
              <w:t>数量</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2060D6C8">
            <w:pPr>
              <w:widowControl/>
              <w:jc w:val="center"/>
              <w:rPr>
                <w:rFonts w:ascii="Times New Roman" w:hAnsi="Times New Roman" w:eastAsia="仿宋" w:cs="Times New Roman"/>
                <w:b/>
                <w:bCs/>
                <w:color w:val="auto"/>
                <w:kern w:val="0"/>
                <w:szCs w:val="21"/>
                <w:highlight w:val="none"/>
              </w:rPr>
            </w:pPr>
            <w:r>
              <w:rPr>
                <w:rFonts w:ascii="Times New Roman" w:hAnsi="Times New Roman" w:eastAsia="仿宋" w:cs="Times New Roman"/>
                <w:b/>
                <w:bCs/>
                <w:color w:val="auto"/>
                <w:kern w:val="0"/>
                <w:szCs w:val="21"/>
                <w:highlight w:val="none"/>
              </w:rPr>
              <w:t>次数</w:t>
            </w:r>
          </w:p>
        </w:tc>
        <w:tc>
          <w:tcPr>
            <w:tcW w:w="907" w:type="dxa"/>
            <w:tcBorders>
              <w:top w:val="single" w:color="auto" w:sz="4" w:space="0"/>
              <w:left w:val="nil"/>
              <w:bottom w:val="single" w:color="auto" w:sz="4" w:space="0"/>
              <w:right w:val="single" w:color="auto" w:sz="4" w:space="0"/>
            </w:tcBorders>
            <w:shd w:val="clear" w:color="auto" w:fill="auto"/>
            <w:vAlign w:val="center"/>
          </w:tcPr>
          <w:p w14:paraId="0CA4381A">
            <w:pPr>
              <w:widowControl/>
              <w:jc w:val="center"/>
              <w:rPr>
                <w:rFonts w:ascii="Times New Roman" w:hAnsi="Times New Roman" w:eastAsia="仿宋" w:cs="Times New Roman"/>
                <w:b/>
                <w:bCs/>
                <w:color w:val="auto"/>
                <w:kern w:val="0"/>
                <w:szCs w:val="21"/>
                <w:highlight w:val="none"/>
              </w:rPr>
            </w:pPr>
            <w:r>
              <w:rPr>
                <w:rFonts w:ascii="Times New Roman" w:hAnsi="Times New Roman" w:eastAsia="仿宋" w:cs="Times New Roman"/>
                <w:b/>
                <w:bCs/>
                <w:color w:val="auto"/>
                <w:kern w:val="0"/>
                <w:szCs w:val="21"/>
                <w:highlight w:val="none"/>
              </w:rPr>
              <w:t>单价</w:t>
            </w:r>
            <w:r>
              <w:rPr>
                <w:rFonts w:ascii="Times New Roman" w:hAnsi="Times New Roman" w:eastAsia="仿宋" w:cs="Times New Roman"/>
                <w:b/>
                <w:bCs/>
                <w:color w:val="auto"/>
                <w:kern w:val="0"/>
                <w:szCs w:val="21"/>
                <w:highlight w:val="none"/>
              </w:rPr>
              <w:br w:type="textWrapping"/>
            </w:r>
            <w:r>
              <w:rPr>
                <w:rFonts w:ascii="Times New Roman" w:hAnsi="Times New Roman" w:eastAsia="仿宋" w:cs="Times New Roman"/>
                <w:b/>
                <w:bCs/>
                <w:color w:val="auto"/>
                <w:kern w:val="0"/>
                <w:szCs w:val="21"/>
                <w:highlight w:val="none"/>
              </w:rPr>
              <w:t>（元）</w:t>
            </w:r>
          </w:p>
        </w:tc>
        <w:tc>
          <w:tcPr>
            <w:tcW w:w="964" w:type="dxa"/>
            <w:tcBorders>
              <w:top w:val="single" w:color="auto" w:sz="4" w:space="0"/>
              <w:left w:val="nil"/>
              <w:bottom w:val="single" w:color="auto" w:sz="4" w:space="0"/>
              <w:right w:val="single" w:color="auto" w:sz="4" w:space="0"/>
            </w:tcBorders>
            <w:shd w:val="clear" w:color="auto" w:fill="auto"/>
            <w:vAlign w:val="center"/>
          </w:tcPr>
          <w:p w14:paraId="10763577">
            <w:pPr>
              <w:widowControl/>
              <w:jc w:val="center"/>
              <w:rPr>
                <w:rFonts w:ascii="Times New Roman" w:hAnsi="Times New Roman" w:eastAsia="仿宋" w:cs="Times New Roman"/>
                <w:b/>
                <w:bCs/>
                <w:color w:val="auto"/>
                <w:kern w:val="0"/>
                <w:szCs w:val="21"/>
                <w:highlight w:val="none"/>
              </w:rPr>
            </w:pPr>
            <w:r>
              <w:rPr>
                <w:rFonts w:ascii="Times New Roman" w:hAnsi="Times New Roman" w:eastAsia="仿宋" w:cs="Times New Roman"/>
                <w:b/>
                <w:bCs/>
                <w:color w:val="auto"/>
                <w:kern w:val="0"/>
                <w:szCs w:val="21"/>
                <w:highlight w:val="none"/>
              </w:rPr>
              <w:t>合计</w:t>
            </w:r>
            <w:r>
              <w:rPr>
                <w:rFonts w:ascii="Times New Roman" w:hAnsi="Times New Roman" w:eastAsia="仿宋" w:cs="Times New Roman"/>
                <w:b/>
                <w:bCs/>
                <w:color w:val="auto"/>
                <w:kern w:val="0"/>
                <w:szCs w:val="21"/>
                <w:highlight w:val="none"/>
              </w:rPr>
              <w:br w:type="textWrapping"/>
            </w:r>
            <w:r>
              <w:rPr>
                <w:rFonts w:ascii="Times New Roman" w:hAnsi="Times New Roman" w:eastAsia="仿宋" w:cs="Times New Roman"/>
                <w:b/>
                <w:bCs/>
                <w:color w:val="auto"/>
                <w:kern w:val="0"/>
                <w:szCs w:val="21"/>
                <w:highlight w:val="none"/>
              </w:rPr>
              <w:t>（元）</w:t>
            </w:r>
          </w:p>
        </w:tc>
        <w:tc>
          <w:tcPr>
            <w:tcW w:w="1191" w:type="dxa"/>
            <w:tcBorders>
              <w:top w:val="single" w:color="auto" w:sz="4" w:space="0"/>
              <w:left w:val="nil"/>
              <w:bottom w:val="single" w:color="auto" w:sz="4" w:space="0"/>
              <w:right w:val="single" w:color="auto" w:sz="4" w:space="0"/>
            </w:tcBorders>
            <w:shd w:val="clear" w:color="auto" w:fill="auto"/>
            <w:noWrap/>
            <w:vAlign w:val="center"/>
          </w:tcPr>
          <w:p w14:paraId="6C3031C1">
            <w:pPr>
              <w:widowControl/>
              <w:jc w:val="center"/>
              <w:rPr>
                <w:rFonts w:ascii="Times New Roman" w:hAnsi="Times New Roman" w:eastAsia="仿宋" w:cs="Times New Roman"/>
                <w:b/>
                <w:bCs/>
                <w:color w:val="auto"/>
                <w:kern w:val="0"/>
                <w:szCs w:val="21"/>
                <w:highlight w:val="none"/>
              </w:rPr>
            </w:pPr>
            <w:r>
              <w:rPr>
                <w:rFonts w:ascii="Times New Roman" w:hAnsi="Times New Roman" w:eastAsia="仿宋" w:cs="Times New Roman"/>
                <w:b/>
                <w:bCs/>
                <w:color w:val="auto"/>
                <w:kern w:val="0"/>
                <w:szCs w:val="21"/>
                <w:highlight w:val="none"/>
              </w:rPr>
              <w:t>观测周期</w:t>
            </w:r>
          </w:p>
        </w:tc>
        <w:tc>
          <w:tcPr>
            <w:tcW w:w="1361" w:type="dxa"/>
            <w:tcBorders>
              <w:top w:val="single" w:color="auto" w:sz="4" w:space="0"/>
              <w:left w:val="nil"/>
              <w:bottom w:val="single" w:color="auto" w:sz="4" w:space="0"/>
              <w:right w:val="single" w:color="auto" w:sz="4" w:space="0"/>
            </w:tcBorders>
            <w:shd w:val="clear" w:color="auto" w:fill="auto"/>
            <w:noWrap/>
            <w:vAlign w:val="center"/>
          </w:tcPr>
          <w:p w14:paraId="30FC82AB">
            <w:pPr>
              <w:widowControl/>
              <w:jc w:val="center"/>
              <w:rPr>
                <w:rFonts w:ascii="Times New Roman" w:hAnsi="Times New Roman" w:eastAsia="仿宋" w:cs="Times New Roman"/>
                <w:b/>
                <w:bCs/>
                <w:color w:val="auto"/>
                <w:kern w:val="0"/>
                <w:szCs w:val="21"/>
                <w:highlight w:val="none"/>
              </w:rPr>
            </w:pPr>
            <w:r>
              <w:rPr>
                <w:rFonts w:ascii="Times New Roman" w:hAnsi="Times New Roman" w:eastAsia="仿宋" w:cs="Times New Roman"/>
                <w:b/>
                <w:bCs/>
                <w:color w:val="auto"/>
                <w:kern w:val="0"/>
                <w:szCs w:val="21"/>
                <w:highlight w:val="none"/>
              </w:rPr>
              <w:t>备注</w:t>
            </w:r>
          </w:p>
        </w:tc>
      </w:tr>
      <w:tr w14:paraId="15EB0277">
        <w:tblPrEx>
          <w:tblCellMar>
            <w:top w:w="0" w:type="dxa"/>
            <w:left w:w="108" w:type="dxa"/>
            <w:bottom w:w="0" w:type="dxa"/>
            <w:right w:w="108" w:type="dxa"/>
          </w:tblCellMar>
        </w:tblPrEx>
        <w:trPr>
          <w:trHeight w:val="680" w:hRule="atLeast"/>
        </w:trPr>
        <w:tc>
          <w:tcPr>
            <w:tcW w:w="680" w:type="dxa"/>
            <w:vMerge w:val="restart"/>
            <w:tcBorders>
              <w:top w:val="nil"/>
              <w:left w:val="single" w:color="auto" w:sz="4" w:space="0"/>
              <w:bottom w:val="single" w:color="000000" w:sz="4" w:space="0"/>
              <w:right w:val="single" w:color="auto" w:sz="4" w:space="0"/>
            </w:tcBorders>
            <w:shd w:val="clear" w:color="auto" w:fill="auto"/>
            <w:noWrap/>
            <w:vAlign w:val="center"/>
          </w:tcPr>
          <w:p w14:paraId="5F81BCAF">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w:t>
            </w: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14:paraId="534F0AA7">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沉降观测</w:t>
            </w:r>
          </w:p>
        </w:tc>
        <w:tc>
          <w:tcPr>
            <w:tcW w:w="1701" w:type="dxa"/>
            <w:tcBorders>
              <w:top w:val="nil"/>
              <w:left w:val="nil"/>
              <w:bottom w:val="single" w:color="auto" w:sz="4" w:space="0"/>
              <w:right w:val="single" w:color="auto" w:sz="4" w:space="0"/>
            </w:tcBorders>
            <w:shd w:val="clear" w:color="auto" w:fill="auto"/>
            <w:noWrap/>
            <w:vAlign w:val="center"/>
          </w:tcPr>
          <w:p w14:paraId="6007A55F">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工作基点考证</w:t>
            </w:r>
          </w:p>
        </w:tc>
        <w:tc>
          <w:tcPr>
            <w:tcW w:w="680" w:type="dxa"/>
            <w:tcBorders>
              <w:top w:val="nil"/>
              <w:left w:val="nil"/>
              <w:bottom w:val="single" w:color="auto" w:sz="4" w:space="0"/>
              <w:right w:val="single" w:color="auto" w:sz="4" w:space="0"/>
            </w:tcBorders>
            <w:shd w:val="clear" w:color="auto" w:fill="auto"/>
            <w:noWrap/>
            <w:vAlign w:val="center"/>
          </w:tcPr>
          <w:p w14:paraId="08E6F7A3">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w:t>
            </w:r>
          </w:p>
        </w:tc>
        <w:tc>
          <w:tcPr>
            <w:tcW w:w="680" w:type="dxa"/>
            <w:tcBorders>
              <w:top w:val="nil"/>
              <w:left w:val="nil"/>
              <w:bottom w:val="single" w:color="auto" w:sz="4" w:space="0"/>
              <w:right w:val="single" w:color="auto" w:sz="4" w:space="0"/>
            </w:tcBorders>
            <w:shd w:val="clear" w:color="auto" w:fill="auto"/>
            <w:noWrap/>
            <w:vAlign w:val="center"/>
          </w:tcPr>
          <w:p w14:paraId="716380BB">
            <w:pPr>
              <w:widowControl/>
              <w:jc w:val="center"/>
              <w:rPr>
                <w:rFonts w:hint="eastAsia"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val="en-US" w:eastAsia="zh-CN"/>
              </w:rPr>
              <w:t>4</w:t>
            </w:r>
          </w:p>
        </w:tc>
        <w:tc>
          <w:tcPr>
            <w:tcW w:w="907" w:type="dxa"/>
            <w:tcBorders>
              <w:top w:val="nil"/>
              <w:left w:val="nil"/>
              <w:bottom w:val="single" w:color="auto" w:sz="4" w:space="0"/>
              <w:right w:val="single" w:color="auto" w:sz="4" w:space="0"/>
            </w:tcBorders>
            <w:shd w:val="clear" w:color="auto" w:fill="auto"/>
            <w:noWrap/>
            <w:vAlign w:val="center"/>
          </w:tcPr>
          <w:p w14:paraId="1790B8DF">
            <w:pPr>
              <w:widowControl/>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7E219AEF">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5E514A90">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w:t>
            </w:r>
            <w:r>
              <w:rPr>
                <w:rFonts w:hint="eastAsia" w:cs="Times New Roman"/>
                <w:color w:val="auto"/>
                <w:kern w:val="0"/>
                <w:szCs w:val="21"/>
                <w:highlight w:val="none"/>
                <w:lang w:val="en-US" w:eastAsia="zh-CN"/>
              </w:rPr>
              <w:t>4</w:t>
            </w:r>
            <w:r>
              <w:rPr>
                <w:rFonts w:ascii="Times New Roman" w:hAnsi="Times New Roman" w:eastAsia="宋体" w:cs="Times New Roman"/>
                <w:color w:val="auto"/>
                <w:kern w:val="0"/>
                <w:szCs w:val="21"/>
                <w:highlight w:val="none"/>
              </w:rPr>
              <w:t>次</w:t>
            </w:r>
          </w:p>
        </w:tc>
        <w:tc>
          <w:tcPr>
            <w:tcW w:w="1361" w:type="dxa"/>
            <w:vMerge w:val="restart"/>
            <w:tcBorders>
              <w:top w:val="nil"/>
              <w:left w:val="single" w:color="auto" w:sz="4" w:space="0"/>
              <w:bottom w:val="single" w:color="000000" w:sz="4" w:space="0"/>
              <w:right w:val="single" w:color="auto" w:sz="4" w:space="0"/>
            </w:tcBorders>
            <w:shd w:val="clear" w:color="auto" w:fill="auto"/>
            <w:vAlign w:val="center"/>
          </w:tcPr>
          <w:p w14:paraId="49BC3D5E">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含资料分析、出具相关报告</w:t>
            </w:r>
          </w:p>
        </w:tc>
      </w:tr>
      <w:tr w14:paraId="484D13E4">
        <w:tblPrEx>
          <w:tblCellMar>
            <w:top w:w="0" w:type="dxa"/>
            <w:left w:w="108" w:type="dxa"/>
            <w:bottom w:w="0" w:type="dxa"/>
            <w:right w:w="108" w:type="dxa"/>
          </w:tblCellMar>
        </w:tblPrEx>
        <w:trPr>
          <w:trHeight w:val="680" w:hRule="atLeast"/>
        </w:trPr>
        <w:tc>
          <w:tcPr>
            <w:tcW w:w="680" w:type="dxa"/>
            <w:vMerge w:val="continue"/>
            <w:tcBorders>
              <w:top w:val="nil"/>
              <w:left w:val="single" w:color="auto" w:sz="4" w:space="0"/>
              <w:bottom w:val="single" w:color="000000" w:sz="4" w:space="0"/>
              <w:right w:val="single" w:color="auto" w:sz="4" w:space="0"/>
            </w:tcBorders>
            <w:vAlign w:val="center"/>
          </w:tcPr>
          <w:p w14:paraId="57BC8A4D">
            <w:pPr>
              <w:widowControl/>
              <w:jc w:val="left"/>
              <w:rPr>
                <w:rFonts w:ascii="Times New Roman" w:hAnsi="Times New Roman" w:eastAsia="宋体" w:cs="Times New Roman"/>
                <w:color w:val="auto"/>
                <w:kern w:val="0"/>
                <w:szCs w:val="21"/>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14:paraId="531EAFFC">
            <w:pPr>
              <w:widowControl/>
              <w:jc w:val="left"/>
              <w:rPr>
                <w:rFonts w:ascii="Times New Roman" w:hAnsi="Times New Roman" w:eastAsia="宋体" w:cs="Times New Roman"/>
                <w:color w:val="auto"/>
                <w:kern w:val="0"/>
                <w:szCs w:val="21"/>
                <w:highlight w:val="none"/>
              </w:rPr>
            </w:pPr>
          </w:p>
        </w:tc>
        <w:tc>
          <w:tcPr>
            <w:tcW w:w="1701" w:type="dxa"/>
            <w:tcBorders>
              <w:top w:val="nil"/>
              <w:left w:val="nil"/>
              <w:bottom w:val="single" w:color="auto" w:sz="4" w:space="0"/>
              <w:right w:val="single" w:color="auto" w:sz="4" w:space="0"/>
            </w:tcBorders>
            <w:shd w:val="clear" w:color="auto" w:fill="auto"/>
            <w:noWrap/>
            <w:vAlign w:val="center"/>
          </w:tcPr>
          <w:p w14:paraId="7AC36C08">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沉降点监测</w:t>
            </w:r>
          </w:p>
        </w:tc>
        <w:tc>
          <w:tcPr>
            <w:tcW w:w="680" w:type="dxa"/>
            <w:tcBorders>
              <w:top w:val="nil"/>
              <w:left w:val="nil"/>
              <w:bottom w:val="single" w:color="auto" w:sz="4" w:space="0"/>
              <w:right w:val="single" w:color="auto" w:sz="4" w:space="0"/>
            </w:tcBorders>
            <w:shd w:val="clear" w:color="auto" w:fill="auto"/>
            <w:noWrap/>
            <w:vAlign w:val="center"/>
          </w:tcPr>
          <w:p w14:paraId="4604039E">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90</w:t>
            </w:r>
          </w:p>
        </w:tc>
        <w:tc>
          <w:tcPr>
            <w:tcW w:w="680" w:type="dxa"/>
            <w:tcBorders>
              <w:top w:val="nil"/>
              <w:left w:val="nil"/>
              <w:bottom w:val="single" w:color="auto" w:sz="4" w:space="0"/>
              <w:right w:val="single" w:color="auto" w:sz="4" w:space="0"/>
            </w:tcBorders>
            <w:shd w:val="clear" w:color="auto" w:fill="auto"/>
            <w:noWrap/>
            <w:vAlign w:val="center"/>
          </w:tcPr>
          <w:p w14:paraId="7971221A">
            <w:pPr>
              <w:widowControl/>
              <w:jc w:val="center"/>
              <w:rPr>
                <w:rFonts w:hint="eastAsia"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val="en-US" w:eastAsia="zh-CN"/>
              </w:rPr>
              <w:t>4</w:t>
            </w:r>
          </w:p>
        </w:tc>
        <w:tc>
          <w:tcPr>
            <w:tcW w:w="907" w:type="dxa"/>
            <w:tcBorders>
              <w:top w:val="nil"/>
              <w:left w:val="nil"/>
              <w:bottom w:val="single" w:color="auto" w:sz="4" w:space="0"/>
              <w:right w:val="single" w:color="auto" w:sz="4" w:space="0"/>
            </w:tcBorders>
            <w:shd w:val="clear" w:color="auto" w:fill="auto"/>
            <w:noWrap/>
            <w:vAlign w:val="center"/>
          </w:tcPr>
          <w:p w14:paraId="1AB20EE1">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4593C7A0">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744B1F69">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w:t>
            </w:r>
            <w:r>
              <w:rPr>
                <w:rFonts w:hint="eastAsia" w:cs="Times New Roman"/>
                <w:color w:val="auto"/>
                <w:kern w:val="0"/>
                <w:szCs w:val="21"/>
                <w:highlight w:val="none"/>
                <w:lang w:val="en-US" w:eastAsia="zh-CN"/>
              </w:rPr>
              <w:t>4</w:t>
            </w:r>
            <w:r>
              <w:rPr>
                <w:rFonts w:ascii="Times New Roman" w:hAnsi="Times New Roman" w:eastAsia="宋体" w:cs="Times New Roman"/>
                <w:color w:val="auto"/>
                <w:kern w:val="0"/>
                <w:szCs w:val="21"/>
                <w:highlight w:val="none"/>
              </w:rPr>
              <w:t>次</w:t>
            </w:r>
          </w:p>
        </w:tc>
        <w:tc>
          <w:tcPr>
            <w:tcW w:w="1361" w:type="dxa"/>
            <w:vMerge w:val="continue"/>
            <w:tcBorders>
              <w:top w:val="nil"/>
              <w:left w:val="single" w:color="auto" w:sz="4" w:space="0"/>
              <w:bottom w:val="single" w:color="000000" w:sz="4" w:space="0"/>
              <w:right w:val="single" w:color="auto" w:sz="4" w:space="0"/>
            </w:tcBorders>
            <w:vAlign w:val="center"/>
          </w:tcPr>
          <w:p w14:paraId="3FB16E22">
            <w:pPr>
              <w:widowControl/>
              <w:jc w:val="left"/>
              <w:rPr>
                <w:rFonts w:ascii="Times New Roman" w:hAnsi="Times New Roman" w:eastAsia="宋体" w:cs="Times New Roman"/>
                <w:color w:val="auto"/>
                <w:kern w:val="0"/>
                <w:szCs w:val="21"/>
                <w:highlight w:val="none"/>
              </w:rPr>
            </w:pPr>
          </w:p>
        </w:tc>
      </w:tr>
      <w:tr w14:paraId="44F6C326">
        <w:tblPrEx>
          <w:tblCellMar>
            <w:top w:w="0" w:type="dxa"/>
            <w:left w:w="108" w:type="dxa"/>
            <w:bottom w:w="0" w:type="dxa"/>
            <w:right w:w="108" w:type="dxa"/>
          </w:tblCellMar>
        </w:tblPrEx>
        <w:trPr>
          <w:trHeight w:val="680" w:hRule="atLeast"/>
        </w:trPr>
        <w:tc>
          <w:tcPr>
            <w:tcW w:w="680" w:type="dxa"/>
            <w:vMerge w:val="continue"/>
            <w:tcBorders>
              <w:top w:val="nil"/>
              <w:left w:val="single" w:color="auto" w:sz="4" w:space="0"/>
              <w:bottom w:val="single" w:color="000000" w:sz="4" w:space="0"/>
              <w:right w:val="single" w:color="auto" w:sz="4" w:space="0"/>
            </w:tcBorders>
            <w:vAlign w:val="center"/>
          </w:tcPr>
          <w:p w14:paraId="37718666">
            <w:pPr>
              <w:widowControl/>
              <w:jc w:val="left"/>
              <w:rPr>
                <w:rFonts w:ascii="Times New Roman" w:hAnsi="Times New Roman" w:eastAsia="宋体" w:cs="Times New Roman"/>
                <w:color w:val="auto"/>
                <w:kern w:val="0"/>
                <w:szCs w:val="21"/>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14:paraId="20703A72">
            <w:pPr>
              <w:widowControl/>
              <w:jc w:val="left"/>
              <w:rPr>
                <w:rFonts w:ascii="Times New Roman" w:hAnsi="Times New Roman" w:eastAsia="宋体" w:cs="Times New Roman"/>
                <w:color w:val="auto"/>
                <w:kern w:val="0"/>
                <w:szCs w:val="21"/>
                <w:highlight w:val="none"/>
              </w:rPr>
            </w:pPr>
          </w:p>
        </w:tc>
        <w:tc>
          <w:tcPr>
            <w:tcW w:w="1701" w:type="dxa"/>
            <w:tcBorders>
              <w:top w:val="nil"/>
              <w:left w:val="nil"/>
              <w:bottom w:val="single" w:color="auto" w:sz="4" w:space="0"/>
              <w:right w:val="single" w:color="auto" w:sz="4" w:space="0"/>
            </w:tcBorders>
            <w:shd w:val="clear" w:color="auto" w:fill="auto"/>
            <w:noWrap/>
            <w:vAlign w:val="center"/>
          </w:tcPr>
          <w:p w14:paraId="3CE1CC22">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水准线路</w:t>
            </w:r>
          </w:p>
        </w:tc>
        <w:tc>
          <w:tcPr>
            <w:tcW w:w="680" w:type="dxa"/>
            <w:tcBorders>
              <w:top w:val="nil"/>
              <w:left w:val="nil"/>
              <w:bottom w:val="single" w:color="auto" w:sz="4" w:space="0"/>
              <w:right w:val="single" w:color="auto" w:sz="4" w:space="0"/>
            </w:tcBorders>
            <w:shd w:val="clear" w:color="auto" w:fill="auto"/>
            <w:noWrap/>
            <w:vAlign w:val="center"/>
          </w:tcPr>
          <w:p w14:paraId="6A3099D3">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w:t>
            </w:r>
          </w:p>
        </w:tc>
        <w:tc>
          <w:tcPr>
            <w:tcW w:w="680" w:type="dxa"/>
            <w:tcBorders>
              <w:top w:val="nil"/>
              <w:left w:val="nil"/>
              <w:bottom w:val="single" w:color="auto" w:sz="4" w:space="0"/>
              <w:right w:val="single" w:color="auto" w:sz="4" w:space="0"/>
            </w:tcBorders>
            <w:shd w:val="clear" w:color="auto" w:fill="auto"/>
            <w:noWrap/>
            <w:vAlign w:val="center"/>
          </w:tcPr>
          <w:p w14:paraId="2866FA67">
            <w:pPr>
              <w:widowControl/>
              <w:jc w:val="center"/>
              <w:rPr>
                <w:rFonts w:hint="eastAsia"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val="en-US" w:eastAsia="zh-CN"/>
              </w:rPr>
              <w:t>4</w:t>
            </w:r>
          </w:p>
        </w:tc>
        <w:tc>
          <w:tcPr>
            <w:tcW w:w="907" w:type="dxa"/>
            <w:tcBorders>
              <w:top w:val="nil"/>
              <w:left w:val="nil"/>
              <w:bottom w:val="single" w:color="auto" w:sz="4" w:space="0"/>
              <w:right w:val="single" w:color="auto" w:sz="4" w:space="0"/>
            </w:tcBorders>
            <w:shd w:val="clear" w:color="auto" w:fill="auto"/>
            <w:noWrap/>
            <w:vAlign w:val="center"/>
          </w:tcPr>
          <w:p w14:paraId="787872D0">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060ACDF8">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02DDEC9C">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w:t>
            </w:r>
            <w:r>
              <w:rPr>
                <w:rFonts w:hint="eastAsia" w:cs="Times New Roman"/>
                <w:color w:val="auto"/>
                <w:kern w:val="0"/>
                <w:szCs w:val="21"/>
                <w:highlight w:val="none"/>
                <w:lang w:val="en-US" w:eastAsia="zh-CN"/>
              </w:rPr>
              <w:t>4</w:t>
            </w:r>
            <w:r>
              <w:rPr>
                <w:rFonts w:ascii="Times New Roman" w:hAnsi="Times New Roman" w:eastAsia="宋体" w:cs="Times New Roman"/>
                <w:color w:val="auto"/>
                <w:kern w:val="0"/>
                <w:szCs w:val="21"/>
                <w:highlight w:val="none"/>
              </w:rPr>
              <w:t>次</w:t>
            </w:r>
          </w:p>
        </w:tc>
        <w:tc>
          <w:tcPr>
            <w:tcW w:w="1361" w:type="dxa"/>
            <w:vMerge w:val="continue"/>
            <w:tcBorders>
              <w:top w:val="nil"/>
              <w:left w:val="single" w:color="auto" w:sz="4" w:space="0"/>
              <w:bottom w:val="single" w:color="000000" w:sz="4" w:space="0"/>
              <w:right w:val="single" w:color="auto" w:sz="4" w:space="0"/>
            </w:tcBorders>
            <w:vAlign w:val="center"/>
          </w:tcPr>
          <w:p w14:paraId="0A332964">
            <w:pPr>
              <w:widowControl/>
              <w:jc w:val="left"/>
              <w:rPr>
                <w:rFonts w:ascii="Times New Roman" w:hAnsi="Times New Roman" w:eastAsia="宋体" w:cs="Times New Roman"/>
                <w:color w:val="auto"/>
                <w:kern w:val="0"/>
                <w:szCs w:val="21"/>
                <w:highlight w:val="none"/>
              </w:rPr>
            </w:pPr>
          </w:p>
        </w:tc>
      </w:tr>
      <w:tr w14:paraId="0C2CE635">
        <w:tblPrEx>
          <w:tblCellMar>
            <w:top w:w="0" w:type="dxa"/>
            <w:left w:w="108" w:type="dxa"/>
            <w:bottom w:w="0" w:type="dxa"/>
            <w:right w:w="108" w:type="dxa"/>
          </w:tblCellMar>
        </w:tblPrEx>
        <w:trPr>
          <w:trHeight w:val="680" w:hRule="atLeast"/>
        </w:trPr>
        <w:tc>
          <w:tcPr>
            <w:tcW w:w="680" w:type="dxa"/>
            <w:vMerge w:val="restart"/>
            <w:tcBorders>
              <w:top w:val="nil"/>
              <w:left w:val="single" w:color="auto" w:sz="4" w:space="0"/>
              <w:bottom w:val="single" w:color="000000" w:sz="4" w:space="0"/>
              <w:right w:val="single" w:color="auto" w:sz="4" w:space="0"/>
            </w:tcBorders>
            <w:shd w:val="clear" w:color="auto" w:fill="auto"/>
            <w:noWrap/>
            <w:vAlign w:val="center"/>
          </w:tcPr>
          <w:p w14:paraId="484B5FB7">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202F81C1">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测压管观测</w:t>
            </w:r>
          </w:p>
        </w:tc>
        <w:tc>
          <w:tcPr>
            <w:tcW w:w="1701" w:type="dxa"/>
            <w:tcBorders>
              <w:top w:val="nil"/>
              <w:left w:val="nil"/>
              <w:bottom w:val="single" w:color="auto" w:sz="4" w:space="0"/>
              <w:right w:val="single" w:color="auto" w:sz="4" w:space="0"/>
            </w:tcBorders>
            <w:shd w:val="clear" w:color="auto" w:fill="auto"/>
            <w:noWrap/>
            <w:vAlign w:val="center"/>
          </w:tcPr>
          <w:p w14:paraId="3E3898F8">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管口高程考证</w:t>
            </w:r>
          </w:p>
        </w:tc>
        <w:tc>
          <w:tcPr>
            <w:tcW w:w="680" w:type="dxa"/>
            <w:tcBorders>
              <w:top w:val="nil"/>
              <w:left w:val="nil"/>
              <w:bottom w:val="single" w:color="auto" w:sz="4" w:space="0"/>
              <w:right w:val="single" w:color="auto" w:sz="4" w:space="0"/>
            </w:tcBorders>
            <w:shd w:val="clear" w:color="auto" w:fill="auto"/>
            <w:noWrap/>
            <w:vAlign w:val="center"/>
          </w:tcPr>
          <w:p w14:paraId="085F7505">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23</w:t>
            </w:r>
          </w:p>
        </w:tc>
        <w:tc>
          <w:tcPr>
            <w:tcW w:w="680" w:type="dxa"/>
            <w:tcBorders>
              <w:top w:val="nil"/>
              <w:left w:val="nil"/>
              <w:bottom w:val="single" w:color="auto" w:sz="4" w:space="0"/>
              <w:right w:val="single" w:color="auto" w:sz="4" w:space="0"/>
            </w:tcBorders>
            <w:shd w:val="clear" w:color="auto" w:fill="auto"/>
            <w:noWrap/>
            <w:vAlign w:val="center"/>
          </w:tcPr>
          <w:p w14:paraId="0DEE7BE6">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w:t>
            </w:r>
          </w:p>
        </w:tc>
        <w:tc>
          <w:tcPr>
            <w:tcW w:w="907" w:type="dxa"/>
            <w:tcBorders>
              <w:top w:val="nil"/>
              <w:left w:val="nil"/>
              <w:bottom w:val="single" w:color="auto" w:sz="4" w:space="0"/>
              <w:right w:val="single" w:color="auto" w:sz="4" w:space="0"/>
            </w:tcBorders>
            <w:shd w:val="clear" w:color="auto" w:fill="auto"/>
            <w:noWrap/>
            <w:vAlign w:val="center"/>
          </w:tcPr>
          <w:p w14:paraId="49C3A658">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22227D57">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5614FAEB">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每年1次</w:t>
            </w:r>
          </w:p>
        </w:tc>
        <w:tc>
          <w:tcPr>
            <w:tcW w:w="1361" w:type="dxa"/>
            <w:vMerge w:val="restart"/>
            <w:tcBorders>
              <w:top w:val="nil"/>
              <w:left w:val="single" w:color="auto" w:sz="4" w:space="0"/>
              <w:bottom w:val="single" w:color="000000" w:sz="4" w:space="0"/>
              <w:right w:val="single" w:color="auto" w:sz="4" w:space="0"/>
            </w:tcBorders>
            <w:shd w:val="clear" w:color="auto" w:fill="auto"/>
            <w:vAlign w:val="center"/>
          </w:tcPr>
          <w:p w14:paraId="5384BBE3">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含资料分析、出具相关报告</w:t>
            </w:r>
          </w:p>
        </w:tc>
      </w:tr>
      <w:tr w14:paraId="42B17585">
        <w:tblPrEx>
          <w:tblCellMar>
            <w:top w:w="0" w:type="dxa"/>
            <w:left w:w="108" w:type="dxa"/>
            <w:bottom w:w="0" w:type="dxa"/>
            <w:right w:w="108" w:type="dxa"/>
          </w:tblCellMar>
        </w:tblPrEx>
        <w:trPr>
          <w:trHeight w:val="680" w:hRule="atLeast"/>
        </w:trPr>
        <w:tc>
          <w:tcPr>
            <w:tcW w:w="680" w:type="dxa"/>
            <w:vMerge w:val="continue"/>
            <w:tcBorders>
              <w:top w:val="nil"/>
              <w:left w:val="single" w:color="auto" w:sz="4" w:space="0"/>
              <w:bottom w:val="single" w:color="000000" w:sz="4" w:space="0"/>
              <w:right w:val="single" w:color="auto" w:sz="4" w:space="0"/>
            </w:tcBorders>
            <w:vAlign w:val="center"/>
          </w:tcPr>
          <w:p w14:paraId="5F43BF29">
            <w:pPr>
              <w:widowControl/>
              <w:jc w:val="left"/>
              <w:rPr>
                <w:rFonts w:ascii="Times New Roman" w:hAnsi="Times New Roman" w:eastAsia="宋体" w:cs="Times New Roman"/>
                <w:color w:val="auto"/>
                <w:kern w:val="0"/>
                <w:szCs w:val="21"/>
                <w:highlight w:val="none"/>
              </w:rPr>
            </w:pPr>
          </w:p>
        </w:tc>
        <w:tc>
          <w:tcPr>
            <w:tcW w:w="1134" w:type="dxa"/>
            <w:vMerge w:val="continue"/>
            <w:tcBorders>
              <w:top w:val="nil"/>
              <w:left w:val="single" w:color="auto" w:sz="4" w:space="0"/>
              <w:bottom w:val="single" w:color="000000" w:sz="4" w:space="0"/>
              <w:right w:val="single" w:color="auto" w:sz="4" w:space="0"/>
            </w:tcBorders>
            <w:vAlign w:val="center"/>
          </w:tcPr>
          <w:p w14:paraId="23668511">
            <w:pPr>
              <w:widowControl/>
              <w:jc w:val="left"/>
              <w:rPr>
                <w:rFonts w:ascii="Times New Roman" w:hAnsi="Times New Roman" w:eastAsia="宋体" w:cs="Times New Roman"/>
                <w:color w:val="auto"/>
                <w:kern w:val="0"/>
                <w:szCs w:val="21"/>
                <w:highlight w:val="none"/>
              </w:rPr>
            </w:pPr>
          </w:p>
        </w:tc>
        <w:tc>
          <w:tcPr>
            <w:tcW w:w="1701" w:type="dxa"/>
            <w:tcBorders>
              <w:top w:val="nil"/>
              <w:left w:val="nil"/>
              <w:bottom w:val="single" w:color="auto" w:sz="4" w:space="0"/>
              <w:right w:val="single" w:color="auto" w:sz="4" w:space="0"/>
            </w:tcBorders>
            <w:shd w:val="clear" w:color="auto" w:fill="auto"/>
            <w:vAlign w:val="center"/>
          </w:tcPr>
          <w:p w14:paraId="0F7C526B">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测压管进水</w:t>
            </w:r>
            <w:r>
              <w:rPr>
                <w:rFonts w:ascii="Times New Roman" w:hAnsi="Times New Roman" w:eastAsia="宋体" w:cs="Times New Roman"/>
                <w:color w:val="auto"/>
                <w:kern w:val="0"/>
                <w:szCs w:val="21"/>
                <w:highlight w:val="none"/>
              </w:rPr>
              <w:br w:type="textWrapping"/>
            </w:r>
            <w:r>
              <w:rPr>
                <w:rFonts w:ascii="Times New Roman" w:hAnsi="Times New Roman" w:eastAsia="宋体" w:cs="Times New Roman"/>
                <w:color w:val="auto"/>
                <w:kern w:val="0"/>
                <w:szCs w:val="21"/>
                <w:highlight w:val="none"/>
              </w:rPr>
              <w:t>灵敏度试验</w:t>
            </w:r>
          </w:p>
        </w:tc>
        <w:tc>
          <w:tcPr>
            <w:tcW w:w="680" w:type="dxa"/>
            <w:tcBorders>
              <w:top w:val="nil"/>
              <w:left w:val="nil"/>
              <w:bottom w:val="single" w:color="auto" w:sz="4" w:space="0"/>
              <w:right w:val="single" w:color="auto" w:sz="4" w:space="0"/>
            </w:tcBorders>
            <w:shd w:val="clear" w:color="auto" w:fill="auto"/>
            <w:noWrap/>
            <w:vAlign w:val="center"/>
          </w:tcPr>
          <w:p w14:paraId="5A7E72A8">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23</w:t>
            </w:r>
          </w:p>
        </w:tc>
        <w:tc>
          <w:tcPr>
            <w:tcW w:w="680" w:type="dxa"/>
            <w:tcBorders>
              <w:top w:val="nil"/>
              <w:left w:val="nil"/>
              <w:bottom w:val="single" w:color="auto" w:sz="4" w:space="0"/>
              <w:right w:val="single" w:color="auto" w:sz="4" w:space="0"/>
            </w:tcBorders>
            <w:shd w:val="clear" w:color="auto" w:fill="auto"/>
            <w:noWrap/>
            <w:vAlign w:val="center"/>
          </w:tcPr>
          <w:p w14:paraId="3C842122">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w:t>
            </w:r>
          </w:p>
        </w:tc>
        <w:tc>
          <w:tcPr>
            <w:tcW w:w="907" w:type="dxa"/>
            <w:tcBorders>
              <w:top w:val="nil"/>
              <w:left w:val="nil"/>
              <w:bottom w:val="single" w:color="auto" w:sz="4" w:space="0"/>
              <w:right w:val="single" w:color="auto" w:sz="4" w:space="0"/>
            </w:tcBorders>
            <w:shd w:val="clear" w:color="auto" w:fill="auto"/>
            <w:noWrap/>
            <w:vAlign w:val="center"/>
          </w:tcPr>
          <w:p w14:paraId="56F91B33">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238A51FF">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02BAA1ED">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每年1次</w:t>
            </w:r>
          </w:p>
        </w:tc>
        <w:tc>
          <w:tcPr>
            <w:tcW w:w="1361" w:type="dxa"/>
            <w:vMerge w:val="continue"/>
            <w:tcBorders>
              <w:top w:val="nil"/>
              <w:left w:val="single" w:color="auto" w:sz="4" w:space="0"/>
              <w:bottom w:val="single" w:color="000000" w:sz="4" w:space="0"/>
              <w:right w:val="single" w:color="auto" w:sz="4" w:space="0"/>
            </w:tcBorders>
            <w:vAlign w:val="center"/>
          </w:tcPr>
          <w:p w14:paraId="1D4F4DFA">
            <w:pPr>
              <w:widowControl/>
              <w:jc w:val="left"/>
              <w:rPr>
                <w:rFonts w:ascii="Times New Roman" w:hAnsi="Times New Roman" w:eastAsia="宋体" w:cs="Times New Roman"/>
                <w:color w:val="auto"/>
                <w:kern w:val="0"/>
                <w:szCs w:val="21"/>
                <w:highlight w:val="none"/>
              </w:rPr>
            </w:pPr>
          </w:p>
        </w:tc>
      </w:tr>
      <w:tr w14:paraId="01A95A29">
        <w:tblPrEx>
          <w:tblCellMar>
            <w:top w:w="0" w:type="dxa"/>
            <w:left w:w="108" w:type="dxa"/>
            <w:bottom w:w="0" w:type="dxa"/>
            <w:right w:w="108" w:type="dxa"/>
          </w:tblCellMar>
        </w:tblPrEx>
        <w:trPr>
          <w:trHeight w:val="680" w:hRule="atLeast"/>
        </w:trPr>
        <w:tc>
          <w:tcPr>
            <w:tcW w:w="680" w:type="dxa"/>
            <w:vMerge w:val="continue"/>
            <w:tcBorders>
              <w:top w:val="nil"/>
              <w:left w:val="single" w:color="auto" w:sz="4" w:space="0"/>
              <w:bottom w:val="single" w:color="000000" w:sz="4" w:space="0"/>
              <w:right w:val="single" w:color="auto" w:sz="4" w:space="0"/>
            </w:tcBorders>
            <w:vAlign w:val="center"/>
          </w:tcPr>
          <w:p w14:paraId="5FFA5D94">
            <w:pPr>
              <w:widowControl/>
              <w:jc w:val="left"/>
              <w:rPr>
                <w:rFonts w:ascii="Times New Roman" w:hAnsi="Times New Roman" w:eastAsia="宋体" w:cs="Times New Roman"/>
                <w:color w:val="auto"/>
                <w:kern w:val="0"/>
                <w:szCs w:val="21"/>
                <w:highlight w:val="none"/>
              </w:rPr>
            </w:pPr>
          </w:p>
        </w:tc>
        <w:tc>
          <w:tcPr>
            <w:tcW w:w="1134" w:type="dxa"/>
            <w:vMerge w:val="continue"/>
            <w:tcBorders>
              <w:top w:val="nil"/>
              <w:left w:val="single" w:color="auto" w:sz="4" w:space="0"/>
              <w:bottom w:val="single" w:color="000000" w:sz="4" w:space="0"/>
              <w:right w:val="single" w:color="auto" w:sz="4" w:space="0"/>
            </w:tcBorders>
            <w:vAlign w:val="center"/>
          </w:tcPr>
          <w:p w14:paraId="4BDE938F">
            <w:pPr>
              <w:widowControl/>
              <w:jc w:val="left"/>
              <w:rPr>
                <w:rFonts w:ascii="Times New Roman" w:hAnsi="Times New Roman" w:eastAsia="宋体" w:cs="Times New Roman"/>
                <w:color w:val="auto"/>
                <w:kern w:val="0"/>
                <w:szCs w:val="21"/>
                <w:highlight w:val="none"/>
              </w:rPr>
            </w:pPr>
          </w:p>
        </w:tc>
        <w:tc>
          <w:tcPr>
            <w:tcW w:w="1701" w:type="dxa"/>
            <w:tcBorders>
              <w:top w:val="nil"/>
              <w:left w:val="nil"/>
              <w:bottom w:val="single" w:color="auto" w:sz="4" w:space="0"/>
              <w:right w:val="single" w:color="auto" w:sz="4" w:space="0"/>
            </w:tcBorders>
            <w:shd w:val="clear" w:color="auto" w:fill="auto"/>
            <w:vAlign w:val="center"/>
          </w:tcPr>
          <w:p w14:paraId="6E75615B">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测压管内淤积</w:t>
            </w:r>
            <w:r>
              <w:rPr>
                <w:rFonts w:ascii="Times New Roman" w:hAnsi="Times New Roman" w:eastAsia="宋体" w:cs="Times New Roman"/>
                <w:color w:val="auto"/>
                <w:kern w:val="0"/>
                <w:szCs w:val="21"/>
                <w:highlight w:val="none"/>
              </w:rPr>
              <w:br w:type="textWrapping"/>
            </w:r>
            <w:r>
              <w:rPr>
                <w:rFonts w:ascii="Times New Roman" w:hAnsi="Times New Roman" w:eastAsia="宋体" w:cs="Times New Roman"/>
                <w:color w:val="auto"/>
                <w:kern w:val="0"/>
                <w:szCs w:val="21"/>
                <w:highlight w:val="none"/>
              </w:rPr>
              <w:t>高程观测</w:t>
            </w:r>
          </w:p>
        </w:tc>
        <w:tc>
          <w:tcPr>
            <w:tcW w:w="680" w:type="dxa"/>
            <w:tcBorders>
              <w:top w:val="nil"/>
              <w:left w:val="nil"/>
              <w:bottom w:val="single" w:color="auto" w:sz="4" w:space="0"/>
              <w:right w:val="single" w:color="auto" w:sz="4" w:space="0"/>
            </w:tcBorders>
            <w:shd w:val="clear" w:color="auto" w:fill="auto"/>
            <w:noWrap/>
            <w:vAlign w:val="center"/>
          </w:tcPr>
          <w:p w14:paraId="09336FFD">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23</w:t>
            </w:r>
          </w:p>
        </w:tc>
        <w:tc>
          <w:tcPr>
            <w:tcW w:w="680" w:type="dxa"/>
            <w:tcBorders>
              <w:top w:val="nil"/>
              <w:left w:val="nil"/>
              <w:bottom w:val="single" w:color="auto" w:sz="4" w:space="0"/>
              <w:right w:val="single" w:color="auto" w:sz="4" w:space="0"/>
            </w:tcBorders>
            <w:shd w:val="clear" w:color="auto" w:fill="auto"/>
            <w:noWrap/>
            <w:vAlign w:val="center"/>
          </w:tcPr>
          <w:p w14:paraId="6323B5D6">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w:t>
            </w:r>
          </w:p>
        </w:tc>
        <w:tc>
          <w:tcPr>
            <w:tcW w:w="907" w:type="dxa"/>
            <w:tcBorders>
              <w:top w:val="nil"/>
              <w:left w:val="nil"/>
              <w:bottom w:val="single" w:color="auto" w:sz="4" w:space="0"/>
              <w:right w:val="single" w:color="auto" w:sz="4" w:space="0"/>
            </w:tcBorders>
            <w:shd w:val="clear" w:color="auto" w:fill="auto"/>
            <w:noWrap/>
            <w:vAlign w:val="center"/>
          </w:tcPr>
          <w:p w14:paraId="6E1E977B">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1AEB67E7">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1D41C833">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每年1次</w:t>
            </w:r>
          </w:p>
        </w:tc>
        <w:tc>
          <w:tcPr>
            <w:tcW w:w="1361" w:type="dxa"/>
            <w:vMerge w:val="continue"/>
            <w:tcBorders>
              <w:top w:val="nil"/>
              <w:left w:val="single" w:color="auto" w:sz="4" w:space="0"/>
              <w:bottom w:val="single" w:color="000000" w:sz="4" w:space="0"/>
              <w:right w:val="single" w:color="auto" w:sz="4" w:space="0"/>
            </w:tcBorders>
            <w:vAlign w:val="center"/>
          </w:tcPr>
          <w:p w14:paraId="48C50016">
            <w:pPr>
              <w:widowControl/>
              <w:jc w:val="left"/>
              <w:rPr>
                <w:rFonts w:ascii="Times New Roman" w:hAnsi="Times New Roman" w:eastAsia="宋体" w:cs="Times New Roman"/>
                <w:color w:val="auto"/>
                <w:kern w:val="0"/>
                <w:szCs w:val="21"/>
                <w:highlight w:val="none"/>
              </w:rPr>
            </w:pPr>
          </w:p>
        </w:tc>
      </w:tr>
      <w:tr w14:paraId="25D8D3BA">
        <w:tblPrEx>
          <w:tblCellMar>
            <w:top w:w="0" w:type="dxa"/>
            <w:left w:w="108" w:type="dxa"/>
            <w:bottom w:w="0" w:type="dxa"/>
            <w:right w:w="108" w:type="dxa"/>
          </w:tblCellMar>
        </w:tblPrEx>
        <w:trPr>
          <w:trHeight w:val="680" w:hRule="atLeast"/>
        </w:trPr>
        <w:tc>
          <w:tcPr>
            <w:tcW w:w="680" w:type="dxa"/>
            <w:vMerge w:val="continue"/>
            <w:tcBorders>
              <w:top w:val="nil"/>
              <w:left w:val="single" w:color="auto" w:sz="4" w:space="0"/>
              <w:bottom w:val="single" w:color="000000" w:sz="4" w:space="0"/>
              <w:right w:val="single" w:color="auto" w:sz="4" w:space="0"/>
            </w:tcBorders>
            <w:vAlign w:val="center"/>
          </w:tcPr>
          <w:p w14:paraId="2AAB6B5F">
            <w:pPr>
              <w:widowControl/>
              <w:jc w:val="left"/>
              <w:rPr>
                <w:rFonts w:ascii="Times New Roman" w:hAnsi="Times New Roman" w:eastAsia="宋体" w:cs="Times New Roman"/>
                <w:color w:val="auto"/>
                <w:kern w:val="0"/>
                <w:szCs w:val="21"/>
                <w:highlight w:val="none"/>
              </w:rPr>
            </w:pPr>
          </w:p>
        </w:tc>
        <w:tc>
          <w:tcPr>
            <w:tcW w:w="1134" w:type="dxa"/>
            <w:vMerge w:val="continue"/>
            <w:tcBorders>
              <w:top w:val="nil"/>
              <w:left w:val="single" w:color="auto" w:sz="4" w:space="0"/>
              <w:bottom w:val="single" w:color="000000" w:sz="4" w:space="0"/>
              <w:right w:val="single" w:color="auto" w:sz="4" w:space="0"/>
            </w:tcBorders>
            <w:vAlign w:val="center"/>
          </w:tcPr>
          <w:p w14:paraId="3DAC00D8">
            <w:pPr>
              <w:widowControl/>
              <w:jc w:val="left"/>
              <w:rPr>
                <w:rFonts w:ascii="Times New Roman" w:hAnsi="Times New Roman" w:eastAsia="宋体" w:cs="Times New Roman"/>
                <w:color w:val="auto"/>
                <w:kern w:val="0"/>
                <w:szCs w:val="21"/>
                <w:highlight w:val="none"/>
              </w:rPr>
            </w:pPr>
          </w:p>
        </w:tc>
        <w:tc>
          <w:tcPr>
            <w:tcW w:w="1701" w:type="dxa"/>
            <w:tcBorders>
              <w:top w:val="nil"/>
              <w:left w:val="nil"/>
              <w:bottom w:val="single" w:color="auto" w:sz="4" w:space="0"/>
              <w:right w:val="single" w:color="auto" w:sz="4" w:space="0"/>
            </w:tcBorders>
            <w:shd w:val="clear" w:color="auto" w:fill="auto"/>
            <w:vAlign w:val="center"/>
          </w:tcPr>
          <w:p w14:paraId="52889CBB">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管内水位</w:t>
            </w:r>
          </w:p>
          <w:p w14:paraId="29B071E8">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人工比测</w:t>
            </w:r>
          </w:p>
        </w:tc>
        <w:tc>
          <w:tcPr>
            <w:tcW w:w="680" w:type="dxa"/>
            <w:tcBorders>
              <w:top w:val="nil"/>
              <w:left w:val="nil"/>
              <w:bottom w:val="single" w:color="auto" w:sz="4" w:space="0"/>
              <w:right w:val="single" w:color="auto" w:sz="4" w:space="0"/>
            </w:tcBorders>
            <w:shd w:val="clear" w:color="auto" w:fill="auto"/>
            <w:noWrap/>
            <w:vAlign w:val="center"/>
          </w:tcPr>
          <w:p w14:paraId="4520D2A5">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23</w:t>
            </w:r>
          </w:p>
        </w:tc>
        <w:tc>
          <w:tcPr>
            <w:tcW w:w="680" w:type="dxa"/>
            <w:tcBorders>
              <w:top w:val="nil"/>
              <w:left w:val="nil"/>
              <w:bottom w:val="single" w:color="auto" w:sz="4" w:space="0"/>
              <w:right w:val="single" w:color="auto" w:sz="4" w:space="0"/>
            </w:tcBorders>
            <w:shd w:val="clear" w:color="auto" w:fill="auto"/>
            <w:noWrap/>
            <w:vAlign w:val="center"/>
          </w:tcPr>
          <w:p w14:paraId="043D21E3">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w:t>
            </w:r>
          </w:p>
        </w:tc>
        <w:tc>
          <w:tcPr>
            <w:tcW w:w="907" w:type="dxa"/>
            <w:tcBorders>
              <w:top w:val="nil"/>
              <w:left w:val="nil"/>
              <w:bottom w:val="single" w:color="auto" w:sz="4" w:space="0"/>
              <w:right w:val="single" w:color="auto" w:sz="4" w:space="0"/>
            </w:tcBorders>
            <w:shd w:val="clear" w:color="auto" w:fill="auto"/>
            <w:noWrap/>
            <w:vAlign w:val="center"/>
          </w:tcPr>
          <w:p w14:paraId="7CEEE8E0">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21F3C278">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7198900B">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w:t>
            </w:r>
            <w:r>
              <w:rPr>
                <w:rFonts w:hint="eastAsia" w:cs="Times New Roman"/>
                <w:color w:val="auto"/>
                <w:kern w:val="0"/>
                <w:szCs w:val="21"/>
                <w:highlight w:val="none"/>
                <w:lang w:val="en-US" w:eastAsia="zh-CN"/>
              </w:rPr>
              <w:t>4</w:t>
            </w:r>
            <w:r>
              <w:rPr>
                <w:rFonts w:ascii="Times New Roman" w:hAnsi="Times New Roman" w:eastAsia="宋体" w:cs="Times New Roman"/>
                <w:color w:val="auto"/>
                <w:kern w:val="0"/>
                <w:szCs w:val="21"/>
                <w:highlight w:val="none"/>
              </w:rPr>
              <w:t>次</w:t>
            </w:r>
          </w:p>
        </w:tc>
        <w:tc>
          <w:tcPr>
            <w:tcW w:w="1361" w:type="dxa"/>
            <w:vMerge w:val="continue"/>
            <w:tcBorders>
              <w:top w:val="nil"/>
              <w:left w:val="single" w:color="auto" w:sz="4" w:space="0"/>
              <w:bottom w:val="single" w:color="000000" w:sz="4" w:space="0"/>
              <w:right w:val="single" w:color="auto" w:sz="4" w:space="0"/>
            </w:tcBorders>
            <w:vAlign w:val="center"/>
          </w:tcPr>
          <w:p w14:paraId="5E89E4E3">
            <w:pPr>
              <w:widowControl/>
              <w:jc w:val="left"/>
              <w:rPr>
                <w:rFonts w:ascii="Times New Roman" w:hAnsi="Times New Roman" w:eastAsia="宋体" w:cs="Times New Roman"/>
                <w:color w:val="auto"/>
                <w:kern w:val="0"/>
                <w:szCs w:val="21"/>
                <w:highlight w:val="none"/>
              </w:rPr>
            </w:pPr>
          </w:p>
        </w:tc>
      </w:tr>
      <w:tr w14:paraId="3D9C1599">
        <w:tblPrEx>
          <w:tblCellMar>
            <w:top w:w="0" w:type="dxa"/>
            <w:left w:w="108" w:type="dxa"/>
            <w:bottom w:w="0" w:type="dxa"/>
            <w:right w:w="108" w:type="dxa"/>
          </w:tblCellMar>
        </w:tblPrEx>
        <w:trPr>
          <w:trHeight w:val="1020" w:hRule="atLeast"/>
        </w:trPr>
        <w:tc>
          <w:tcPr>
            <w:tcW w:w="680" w:type="dxa"/>
            <w:vMerge w:val="continue"/>
            <w:tcBorders>
              <w:top w:val="nil"/>
              <w:left w:val="single" w:color="auto" w:sz="4" w:space="0"/>
              <w:bottom w:val="single" w:color="000000" w:sz="4" w:space="0"/>
              <w:right w:val="single" w:color="auto" w:sz="4" w:space="0"/>
            </w:tcBorders>
            <w:vAlign w:val="center"/>
          </w:tcPr>
          <w:p w14:paraId="1A59E424">
            <w:pPr>
              <w:widowControl/>
              <w:jc w:val="left"/>
              <w:rPr>
                <w:rFonts w:ascii="Times New Roman" w:hAnsi="Times New Roman" w:eastAsia="宋体" w:cs="Times New Roman"/>
                <w:color w:val="auto"/>
                <w:kern w:val="0"/>
                <w:szCs w:val="21"/>
                <w:highlight w:val="none"/>
              </w:rPr>
            </w:pPr>
          </w:p>
        </w:tc>
        <w:tc>
          <w:tcPr>
            <w:tcW w:w="1134" w:type="dxa"/>
            <w:vMerge w:val="continue"/>
            <w:tcBorders>
              <w:top w:val="nil"/>
              <w:left w:val="single" w:color="auto" w:sz="4" w:space="0"/>
              <w:bottom w:val="single" w:color="000000" w:sz="4" w:space="0"/>
              <w:right w:val="single" w:color="auto" w:sz="4" w:space="0"/>
            </w:tcBorders>
            <w:vAlign w:val="center"/>
          </w:tcPr>
          <w:p w14:paraId="5EC2959D">
            <w:pPr>
              <w:widowControl/>
              <w:jc w:val="left"/>
              <w:rPr>
                <w:rFonts w:ascii="Times New Roman" w:hAnsi="Times New Roman" w:eastAsia="宋体" w:cs="Times New Roman"/>
                <w:color w:val="auto"/>
                <w:kern w:val="0"/>
                <w:szCs w:val="21"/>
                <w:highlight w:val="none"/>
              </w:rPr>
            </w:pPr>
          </w:p>
        </w:tc>
        <w:tc>
          <w:tcPr>
            <w:tcW w:w="1701" w:type="dxa"/>
            <w:tcBorders>
              <w:top w:val="nil"/>
              <w:left w:val="nil"/>
              <w:bottom w:val="single" w:color="auto" w:sz="4" w:space="0"/>
              <w:right w:val="single" w:color="auto" w:sz="4" w:space="0"/>
            </w:tcBorders>
            <w:shd w:val="clear" w:color="auto" w:fill="auto"/>
            <w:vAlign w:val="center"/>
          </w:tcPr>
          <w:p w14:paraId="63C68BDD">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测压管数据分析</w:t>
            </w:r>
          </w:p>
        </w:tc>
        <w:tc>
          <w:tcPr>
            <w:tcW w:w="680" w:type="dxa"/>
            <w:tcBorders>
              <w:top w:val="nil"/>
              <w:left w:val="nil"/>
              <w:bottom w:val="single" w:color="auto" w:sz="4" w:space="0"/>
              <w:right w:val="single" w:color="auto" w:sz="4" w:space="0"/>
            </w:tcBorders>
            <w:shd w:val="clear" w:color="auto" w:fill="auto"/>
            <w:noWrap/>
            <w:vAlign w:val="center"/>
          </w:tcPr>
          <w:p w14:paraId="1ADF40FE">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23</w:t>
            </w:r>
          </w:p>
        </w:tc>
        <w:tc>
          <w:tcPr>
            <w:tcW w:w="680" w:type="dxa"/>
            <w:tcBorders>
              <w:top w:val="nil"/>
              <w:left w:val="nil"/>
              <w:bottom w:val="single" w:color="auto" w:sz="4" w:space="0"/>
              <w:right w:val="single" w:color="auto" w:sz="4" w:space="0"/>
            </w:tcBorders>
            <w:shd w:val="clear" w:color="auto" w:fill="auto"/>
            <w:noWrap/>
            <w:vAlign w:val="center"/>
          </w:tcPr>
          <w:p w14:paraId="34B94AA2">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w:t>
            </w:r>
          </w:p>
        </w:tc>
        <w:tc>
          <w:tcPr>
            <w:tcW w:w="907" w:type="dxa"/>
            <w:tcBorders>
              <w:top w:val="nil"/>
              <w:left w:val="nil"/>
              <w:bottom w:val="single" w:color="auto" w:sz="4" w:space="0"/>
              <w:right w:val="single" w:color="auto" w:sz="4" w:space="0"/>
            </w:tcBorders>
            <w:shd w:val="clear" w:color="auto" w:fill="auto"/>
            <w:noWrap/>
            <w:vAlign w:val="center"/>
          </w:tcPr>
          <w:p w14:paraId="7B3FE157">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0A2733AF">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7631662A">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每年1次</w:t>
            </w:r>
          </w:p>
        </w:tc>
        <w:tc>
          <w:tcPr>
            <w:tcW w:w="1361" w:type="dxa"/>
            <w:tcBorders>
              <w:top w:val="nil"/>
              <w:left w:val="nil"/>
              <w:bottom w:val="single" w:color="auto" w:sz="4" w:space="0"/>
              <w:right w:val="single" w:color="auto" w:sz="4" w:space="0"/>
            </w:tcBorders>
            <w:shd w:val="clear" w:color="auto" w:fill="auto"/>
            <w:vAlign w:val="center"/>
          </w:tcPr>
          <w:p w14:paraId="5E0F9F48">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每根测压管每月4天数据分析</w:t>
            </w:r>
          </w:p>
        </w:tc>
      </w:tr>
      <w:tr w14:paraId="4B9F3433">
        <w:tblPrEx>
          <w:tblCellMar>
            <w:top w:w="0" w:type="dxa"/>
            <w:left w:w="108" w:type="dxa"/>
            <w:bottom w:w="0" w:type="dxa"/>
            <w:right w:w="108" w:type="dxa"/>
          </w:tblCellMar>
        </w:tblPrEx>
        <w:trPr>
          <w:trHeight w:val="1796"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4A38C6CE">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w:t>
            </w:r>
          </w:p>
        </w:tc>
        <w:tc>
          <w:tcPr>
            <w:tcW w:w="1134" w:type="dxa"/>
            <w:tcBorders>
              <w:top w:val="nil"/>
              <w:left w:val="nil"/>
              <w:bottom w:val="single" w:color="auto" w:sz="4" w:space="0"/>
              <w:right w:val="single" w:color="auto" w:sz="4" w:space="0"/>
            </w:tcBorders>
            <w:shd w:val="clear" w:color="auto" w:fill="auto"/>
            <w:noWrap/>
            <w:vAlign w:val="center"/>
          </w:tcPr>
          <w:p w14:paraId="07F826D0">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测压管清淤</w:t>
            </w:r>
          </w:p>
        </w:tc>
        <w:tc>
          <w:tcPr>
            <w:tcW w:w="1701" w:type="dxa"/>
            <w:tcBorders>
              <w:top w:val="nil"/>
              <w:left w:val="nil"/>
              <w:bottom w:val="single" w:color="auto" w:sz="4" w:space="0"/>
              <w:right w:val="single" w:color="auto" w:sz="4" w:space="0"/>
            </w:tcBorders>
            <w:shd w:val="clear" w:color="auto" w:fill="auto"/>
            <w:vAlign w:val="center"/>
          </w:tcPr>
          <w:p w14:paraId="0FDED77E">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测压管管内</w:t>
            </w:r>
            <w:r>
              <w:rPr>
                <w:rFonts w:ascii="Times New Roman" w:hAnsi="Times New Roman" w:eastAsia="宋体" w:cs="Times New Roman"/>
                <w:color w:val="auto"/>
                <w:kern w:val="0"/>
                <w:szCs w:val="21"/>
                <w:highlight w:val="none"/>
              </w:rPr>
              <w:br w:type="textWrapping"/>
            </w:r>
            <w:r>
              <w:rPr>
                <w:rFonts w:ascii="Times New Roman" w:hAnsi="Times New Roman" w:eastAsia="宋体" w:cs="Times New Roman"/>
                <w:color w:val="auto"/>
                <w:kern w:val="0"/>
                <w:szCs w:val="21"/>
                <w:highlight w:val="none"/>
              </w:rPr>
              <w:t>淤积清理</w:t>
            </w:r>
          </w:p>
        </w:tc>
        <w:tc>
          <w:tcPr>
            <w:tcW w:w="680" w:type="dxa"/>
            <w:tcBorders>
              <w:top w:val="nil"/>
              <w:left w:val="nil"/>
              <w:bottom w:val="single" w:color="auto" w:sz="4" w:space="0"/>
              <w:right w:val="single" w:color="auto" w:sz="4" w:space="0"/>
            </w:tcBorders>
            <w:shd w:val="clear" w:color="auto" w:fill="auto"/>
            <w:noWrap/>
            <w:vAlign w:val="center"/>
          </w:tcPr>
          <w:p w14:paraId="6A9A610C">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6</w:t>
            </w:r>
          </w:p>
        </w:tc>
        <w:tc>
          <w:tcPr>
            <w:tcW w:w="680" w:type="dxa"/>
            <w:tcBorders>
              <w:top w:val="nil"/>
              <w:left w:val="nil"/>
              <w:bottom w:val="single" w:color="auto" w:sz="4" w:space="0"/>
              <w:right w:val="single" w:color="auto" w:sz="4" w:space="0"/>
            </w:tcBorders>
            <w:shd w:val="clear" w:color="auto" w:fill="auto"/>
            <w:noWrap/>
            <w:vAlign w:val="center"/>
          </w:tcPr>
          <w:p w14:paraId="02BAD790">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w:t>
            </w:r>
          </w:p>
        </w:tc>
        <w:tc>
          <w:tcPr>
            <w:tcW w:w="907" w:type="dxa"/>
            <w:tcBorders>
              <w:top w:val="nil"/>
              <w:left w:val="nil"/>
              <w:bottom w:val="single" w:color="auto" w:sz="4" w:space="0"/>
              <w:right w:val="single" w:color="auto" w:sz="4" w:space="0"/>
            </w:tcBorders>
            <w:shd w:val="clear" w:color="auto" w:fill="auto"/>
            <w:noWrap/>
            <w:vAlign w:val="center"/>
          </w:tcPr>
          <w:p w14:paraId="058398DD">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1F005D1A">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32A8FFA7">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每年1次</w:t>
            </w:r>
          </w:p>
        </w:tc>
        <w:tc>
          <w:tcPr>
            <w:tcW w:w="1361" w:type="dxa"/>
            <w:tcBorders>
              <w:top w:val="nil"/>
              <w:left w:val="nil"/>
              <w:bottom w:val="single" w:color="auto" w:sz="4" w:space="0"/>
              <w:right w:val="single" w:color="auto" w:sz="4" w:space="0"/>
            </w:tcBorders>
            <w:shd w:val="clear" w:color="auto" w:fill="auto"/>
            <w:vAlign w:val="center"/>
          </w:tcPr>
          <w:p w14:paraId="40F4F25B">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对指定的测压管进行管内清淤，提交清淤前后的相关数据及记录资料</w:t>
            </w:r>
          </w:p>
        </w:tc>
      </w:tr>
      <w:tr w14:paraId="506CD44E">
        <w:tblPrEx>
          <w:tblCellMar>
            <w:top w:w="0" w:type="dxa"/>
            <w:left w:w="108" w:type="dxa"/>
            <w:bottom w:w="0" w:type="dxa"/>
            <w:right w:w="108" w:type="dxa"/>
          </w:tblCellMar>
        </w:tblPrEx>
        <w:trPr>
          <w:trHeight w:val="799" w:hRule="atLeast"/>
        </w:trPr>
        <w:tc>
          <w:tcPr>
            <w:tcW w:w="680" w:type="dxa"/>
            <w:vMerge w:val="restart"/>
            <w:tcBorders>
              <w:top w:val="nil"/>
              <w:left w:val="single" w:color="auto" w:sz="4" w:space="0"/>
              <w:bottom w:val="single" w:color="000000" w:sz="4" w:space="0"/>
              <w:right w:val="single" w:color="auto" w:sz="4" w:space="0"/>
            </w:tcBorders>
            <w:shd w:val="clear" w:color="auto" w:fill="auto"/>
            <w:noWrap/>
            <w:vAlign w:val="center"/>
          </w:tcPr>
          <w:p w14:paraId="6F8D9917">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5D35E794">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水平位移观测</w:t>
            </w:r>
          </w:p>
        </w:tc>
        <w:tc>
          <w:tcPr>
            <w:tcW w:w="1701" w:type="dxa"/>
            <w:tcBorders>
              <w:top w:val="nil"/>
              <w:left w:val="nil"/>
              <w:bottom w:val="single" w:color="auto" w:sz="4" w:space="0"/>
              <w:right w:val="single" w:color="auto" w:sz="4" w:space="0"/>
            </w:tcBorders>
            <w:shd w:val="clear" w:color="auto" w:fill="auto"/>
            <w:vAlign w:val="center"/>
          </w:tcPr>
          <w:p w14:paraId="3CBF0ADE">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工作基点考证</w:t>
            </w:r>
          </w:p>
        </w:tc>
        <w:tc>
          <w:tcPr>
            <w:tcW w:w="680" w:type="dxa"/>
            <w:tcBorders>
              <w:top w:val="nil"/>
              <w:left w:val="nil"/>
              <w:bottom w:val="single" w:color="auto" w:sz="4" w:space="0"/>
              <w:right w:val="single" w:color="auto" w:sz="4" w:space="0"/>
            </w:tcBorders>
            <w:shd w:val="clear" w:color="auto" w:fill="auto"/>
            <w:noWrap/>
            <w:vAlign w:val="center"/>
          </w:tcPr>
          <w:p w14:paraId="1C1FF8E1">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w:t>
            </w:r>
          </w:p>
        </w:tc>
        <w:tc>
          <w:tcPr>
            <w:tcW w:w="680" w:type="dxa"/>
            <w:tcBorders>
              <w:top w:val="nil"/>
              <w:left w:val="nil"/>
              <w:bottom w:val="single" w:color="auto" w:sz="4" w:space="0"/>
              <w:right w:val="single" w:color="auto" w:sz="4" w:space="0"/>
            </w:tcBorders>
            <w:shd w:val="clear" w:color="auto" w:fill="auto"/>
            <w:noWrap/>
            <w:vAlign w:val="center"/>
          </w:tcPr>
          <w:p w14:paraId="09731C73">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4</w:t>
            </w:r>
          </w:p>
        </w:tc>
        <w:tc>
          <w:tcPr>
            <w:tcW w:w="907" w:type="dxa"/>
            <w:tcBorders>
              <w:top w:val="nil"/>
              <w:left w:val="nil"/>
              <w:bottom w:val="single" w:color="auto" w:sz="4" w:space="0"/>
              <w:right w:val="single" w:color="auto" w:sz="4" w:space="0"/>
            </w:tcBorders>
            <w:shd w:val="clear" w:color="auto" w:fill="auto"/>
            <w:noWrap/>
            <w:vAlign w:val="center"/>
          </w:tcPr>
          <w:p w14:paraId="05CFFB45">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3E6820A2">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6786A940">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w:t>
            </w:r>
            <w:r>
              <w:rPr>
                <w:rFonts w:hint="eastAsia" w:cs="Times New Roman"/>
                <w:color w:val="auto"/>
                <w:kern w:val="0"/>
                <w:szCs w:val="21"/>
                <w:highlight w:val="none"/>
                <w:lang w:val="en-US" w:eastAsia="zh-CN"/>
              </w:rPr>
              <w:t>4</w:t>
            </w:r>
            <w:r>
              <w:rPr>
                <w:rFonts w:ascii="Times New Roman" w:hAnsi="Times New Roman" w:eastAsia="宋体" w:cs="Times New Roman"/>
                <w:color w:val="auto"/>
                <w:kern w:val="0"/>
                <w:szCs w:val="21"/>
                <w:highlight w:val="none"/>
              </w:rPr>
              <w:t>次</w:t>
            </w:r>
          </w:p>
        </w:tc>
        <w:tc>
          <w:tcPr>
            <w:tcW w:w="1361" w:type="dxa"/>
            <w:vMerge w:val="restart"/>
            <w:tcBorders>
              <w:top w:val="nil"/>
              <w:left w:val="single" w:color="auto" w:sz="4" w:space="0"/>
              <w:bottom w:val="single" w:color="000000" w:sz="4" w:space="0"/>
              <w:right w:val="single" w:color="auto" w:sz="4" w:space="0"/>
            </w:tcBorders>
            <w:shd w:val="clear" w:color="auto" w:fill="auto"/>
            <w:vAlign w:val="center"/>
          </w:tcPr>
          <w:p w14:paraId="6905D07D">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含资料分析、出具相关报告</w:t>
            </w:r>
          </w:p>
        </w:tc>
      </w:tr>
      <w:tr w14:paraId="7B3C9E8E">
        <w:tblPrEx>
          <w:tblCellMar>
            <w:top w:w="0" w:type="dxa"/>
            <w:left w:w="108" w:type="dxa"/>
            <w:bottom w:w="0" w:type="dxa"/>
            <w:right w:w="108" w:type="dxa"/>
          </w:tblCellMar>
        </w:tblPrEx>
        <w:trPr>
          <w:trHeight w:val="799" w:hRule="atLeast"/>
        </w:trPr>
        <w:tc>
          <w:tcPr>
            <w:tcW w:w="680" w:type="dxa"/>
            <w:vMerge w:val="continue"/>
            <w:tcBorders>
              <w:top w:val="nil"/>
              <w:left w:val="single" w:color="auto" w:sz="4" w:space="0"/>
              <w:bottom w:val="single" w:color="000000" w:sz="4" w:space="0"/>
              <w:right w:val="single" w:color="auto" w:sz="4" w:space="0"/>
            </w:tcBorders>
            <w:vAlign w:val="center"/>
          </w:tcPr>
          <w:p w14:paraId="64AF1FE2">
            <w:pPr>
              <w:widowControl/>
              <w:jc w:val="left"/>
              <w:rPr>
                <w:rFonts w:ascii="Times New Roman" w:hAnsi="Times New Roman" w:eastAsia="宋体" w:cs="Times New Roman"/>
                <w:color w:val="auto"/>
                <w:kern w:val="0"/>
                <w:szCs w:val="21"/>
                <w:highlight w:val="none"/>
              </w:rPr>
            </w:pPr>
          </w:p>
        </w:tc>
        <w:tc>
          <w:tcPr>
            <w:tcW w:w="1134" w:type="dxa"/>
            <w:vMerge w:val="continue"/>
            <w:tcBorders>
              <w:top w:val="nil"/>
              <w:left w:val="single" w:color="auto" w:sz="4" w:space="0"/>
              <w:bottom w:val="single" w:color="000000" w:sz="4" w:space="0"/>
              <w:right w:val="single" w:color="auto" w:sz="4" w:space="0"/>
            </w:tcBorders>
            <w:vAlign w:val="center"/>
          </w:tcPr>
          <w:p w14:paraId="6521B4A2">
            <w:pPr>
              <w:widowControl/>
              <w:jc w:val="left"/>
              <w:rPr>
                <w:rFonts w:ascii="Times New Roman" w:hAnsi="Times New Roman" w:eastAsia="宋体" w:cs="Times New Roman"/>
                <w:color w:val="auto"/>
                <w:kern w:val="0"/>
                <w:szCs w:val="21"/>
                <w:highlight w:val="none"/>
              </w:rPr>
            </w:pPr>
          </w:p>
        </w:tc>
        <w:tc>
          <w:tcPr>
            <w:tcW w:w="1701" w:type="dxa"/>
            <w:tcBorders>
              <w:top w:val="nil"/>
              <w:left w:val="nil"/>
              <w:bottom w:val="single" w:color="auto" w:sz="4" w:space="0"/>
              <w:right w:val="single" w:color="auto" w:sz="4" w:space="0"/>
            </w:tcBorders>
            <w:shd w:val="clear" w:color="auto" w:fill="auto"/>
            <w:vAlign w:val="center"/>
          </w:tcPr>
          <w:p w14:paraId="2A93169B">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水平位移监测</w:t>
            </w:r>
          </w:p>
        </w:tc>
        <w:tc>
          <w:tcPr>
            <w:tcW w:w="680" w:type="dxa"/>
            <w:tcBorders>
              <w:top w:val="nil"/>
              <w:left w:val="nil"/>
              <w:bottom w:val="single" w:color="auto" w:sz="4" w:space="0"/>
              <w:right w:val="single" w:color="auto" w:sz="4" w:space="0"/>
            </w:tcBorders>
            <w:shd w:val="clear" w:color="auto" w:fill="auto"/>
            <w:noWrap/>
            <w:vAlign w:val="center"/>
          </w:tcPr>
          <w:p w14:paraId="57D99603">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8</w:t>
            </w:r>
          </w:p>
        </w:tc>
        <w:tc>
          <w:tcPr>
            <w:tcW w:w="680" w:type="dxa"/>
            <w:tcBorders>
              <w:top w:val="nil"/>
              <w:left w:val="nil"/>
              <w:bottom w:val="single" w:color="auto" w:sz="4" w:space="0"/>
              <w:right w:val="single" w:color="auto" w:sz="4" w:space="0"/>
            </w:tcBorders>
            <w:shd w:val="clear" w:color="auto" w:fill="auto"/>
            <w:noWrap/>
            <w:vAlign w:val="center"/>
          </w:tcPr>
          <w:p w14:paraId="5BEB2F15">
            <w:pPr>
              <w:widowControl/>
              <w:jc w:val="center"/>
              <w:rPr>
                <w:rFonts w:hint="eastAsia"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val="en-US" w:eastAsia="zh-CN"/>
              </w:rPr>
              <w:t>4</w:t>
            </w:r>
          </w:p>
        </w:tc>
        <w:tc>
          <w:tcPr>
            <w:tcW w:w="907" w:type="dxa"/>
            <w:tcBorders>
              <w:top w:val="nil"/>
              <w:left w:val="nil"/>
              <w:bottom w:val="single" w:color="auto" w:sz="4" w:space="0"/>
              <w:right w:val="single" w:color="auto" w:sz="4" w:space="0"/>
            </w:tcBorders>
            <w:shd w:val="clear" w:color="auto" w:fill="auto"/>
            <w:noWrap/>
            <w:vAlign w:val="center"/>
          </w:tcPr>
          <w:p w14:paraId="2008776A">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3A7ACAFD">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22C60393">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每年</w:t>
            </w:r>
            <w:r>
              <w:rPr>
                <w:rFonts w:hint="eastAsia" w:cs="Times New Roman"/>
                <w:color w:val="auto"/>
                <w:kern w:val="0"/>
                <w:szCs w:val="21"/>
                <w:highlight w:val="none"/>
                <w:lang w:val="en-US" w:eastAsia="zh-CN"/>
              </w:rPr>
              <w:t>4</w:t>
            </w:r>
            <w:r>
              <w:rPr>
                <w:rFonts w:ascii="Times New Roman" w:hAnsi="Times New Roman" w:eastAsia="宋体" w:cs="Times New Roman"/>
                <w:color w:val="auto"/>
                <w:kern w:val="0"/>
                <w:szCs w:val="21"/>
                <w:highlight w:val="none"/>
              </w:rPr>
              <w:t>次</w:t>
            </w:r>
          </w:p>
        </w:tc>
        <w:tc>
          <w:tcPr>
            <w:tcW w:w="1361" w:type="dxa"/>
            <w:vMerge w:val="continue"/>
            <w:tcBorders>
              <w:top w:val="nil"/>
              <w:left w:val="single" w:color="auto" w:sz="4" w:space="0"/>
              <w:bottom w:val="single" w:color="000000" w:sz="4" w:space="0"/>
              <w:right w:val="single" w:color="auto" w:sz="4" w:space="0"/>
            </w:tcBorders>
            <w:vAlign w:val="center"/>
          </w:tcPr>
          <w:p w14:paraId="488641F0">
            <w:pPr>
              <w:widowControl/>
              <w:jc w:val="left"/>
              <w:rPr>
                <w:rFonts w:ascii="Times New Roman" w:hAnsi="Times New Roman" w:eastAsia="宋体" w:cs="Times New Roman"/>
                <w:color w:val="auto"/>
                <w:kern w:val="0"/>
                <w:szCs w:val="21"/>
                <w:highlight w:val="none"/>
              </w:rPr>
            </w:pPr>
          </w:p>
        </w:tc>
      </w:tr>
      <w:tr w14:paraId="50F7A469">
        <w:tblPrEx>
          <w:tblCellMar>
            <w:top w:w="0" w:type="dxa"/>
            <w:left w:w="108" w:type="dxa"/>
            <w:bottom w:w="0" w:type="dxa"/>
            <w:right w:w="108" w:type="dxa"/>
          </w:tblCellMar>
        </w:tblPrEx>
        <w:trPr>
          <w:trHeight w:val="799"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ADD6C9E">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5</w:t>
            </w:r>
          </w:p>
        </w:tc>
        <w:tc>
          <w:tcPr>
            <w:tcW w:w="1134" w:type="dxa"/>
            <w:tcBorders>
              <w:top w:val="nil"/>
              <w:left w:val="nil"/>
              <w:bottom w:val="single" w:color="auto" w:sz="4" w:space="0"/>
              <w:right w:val="single" w:color="auto" w:sz="4" w:space="0"/>
            </w:tcBorders>
            <w:shd w:val="clear" w:color="auto" w:fill="auto"/>
            <w:noWrap/>
            <w:vAlign w:val="center"/>
          </w:tcPr>
          <w:p w14:paraId="57B6EE1E">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伸缩缝</w:t>
            </w:r>
          </w:p>
        </w:tc>
        <w:tc>
          <w:tcPr>
            <w:tcW w:w="1701" w:type="dxa"/>
            <w:tcBorders>
              <w:top w:val="nil"/>
              <w:left w:val="nil"/>
              <w:bottom w:val="single" w:color="auto" w:sz="4" w:space="0"/>
              <w:right w:val="single" w:color="auto" w:sz="4" w:space="0"/>
            </w:tcBorders>
            <w:shd w:val="clear" w:color="auto" w:fill="auto"/>
            <w:vAlign w:val="center"/>
          </w:tcPr>
          <w:p w14:paraId="5A91400C">
            <w:pPr>
              <w:widowControl/>
              <w:jc w:val="center"/>
              <w:rPr>
                <w:rFonts w:ascii="Times New Roman" w:hAnsi="Times New Roman" w:eastAsia="宋体" w:cs="Times New Roman"/>
                <w:color w:val="auto"/>
                <w:kern w:val="0"/>
                <w:szCs w:val="21"/>
                <w:highlight w:val="none"/>
              </w:rPr>
            </w:pPr>
          </w:p>
        </w:tc>
        <w:tc>
          <w:tcPr>
            <w:tcW w:w="680" w:type="dxa"/>
            <w:tcBorders>
              <w:top w:val="nil"/>
              <w:left w:val="nil"/>
              <w:bottom w:val="single" w:color="auto" w:sz="4" w:space="0"/>
              <w:right w:val="single" w:color="auto" w:sz="4" w:space="0"/>
            </w:tcBorders>
            <w:shd w:val="clear" w:color="auto" w:fill="auto"/>
            <w:noWrap/>
            <w:vAlign w:val="center"/>
          </w:tcPr>
          <w:p w14:paraId="1669788F">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6</w:t>
            </w:r>
          </w:p>
        </w:tc>
        <w:tc>
          <w:tcPr>
            <w:tcW w:w="680" w:type="dxa"/>
            <w:tcBorders>
              <w:top w:val="nil"/>
              <w:left w:val="nil"/>
              <w:bottom w:val="single" w:color="auto" w:sz="4" w:space="0"/>
              <w:right w:val="single" w:color="auto" w:sz="4" w:space="0"/>
            </w:tcBorders>
            <w:shd w:val="clear" w:color="auto" w:fill="auto"/>
            <w:noWrap/>
            <w:vAlign w:val="center"/>
          </w:tcPr>
          <w:p w14:paraId="678FEEC8">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w:t>
            </w:r>
          </w:p>
        </w:tc>
        <w:tc>
          <w:tcPr>
            <w:tcW w:w="907" w:type="dxa"/>
            <w:tcBorders>
              <w:top w:val="nil"/>
              <w:left w:val="nil"/>
              <w:bottom w:val="single" w:color="auto" w:sz="4" w:space="0"/>
              <w:right w:val="single" w:color="auto" w:sz="4" w:space="0"/>
            </w:tcBorders>
            <w:shd w:val="clear" w:color="auto" w:fill="auto"/>
            <w:noWrap/>
            <w:vAlign w:val="center"/>
          </w:tcPr>
          <w:p w14:paraId="3B1ED483">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57BEC265">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133B4BAF">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每季度一次</w:t>
            </w:r>
          </w:p>
        </w:tc>
        <w:tc>
          <w:tcPr>
            <w:tcW w:w="1361" w:type="dxa"/>
            <w:tcBorders>
              <w:top w:val="nil"/>
              <w:left w:val="nil"/>
              <w:bottom w:val="single" w:color="auto" w:sz="4" w:space="0"/>
              <w:right w:val="single" w:color="auto" w:sz="4" w:space="0"/>
            </w:tcBorders>
            <w:shd w:val="clear" w:color="auto" w:fill="auto"/>
            <w:vAlign w:val="center"/>
          </w:tcPr>
          <w:p w14:paraId="0FB2BEE2">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含资料分析、出具相关报告</w:t>
            </w:r>
          </w:p>
        </w:tc>
      </w:tr>
      <w:tr w14:paraId="25E874CD">
        <w:tblPrEx>
          <w:tblCellMar>
            <w:top w:w="0" w:type="dxa"/>
            <w:left w:w="108" w:type="dxa"/>
            <w:bottom w:w="0" w:type="dxa"/>
            <w:right w:w="108" w:type="dxa"/>
          </w:tblCellMar>
        </w:tblPrEx>
        <w:trPr>
          <w:trHeight w:val="799"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77032CED">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6</w:t>
            </w:r>
          </w:p>
        </w:tc>
        <w:tc>
          <w:tcPr>
            <w:tcW w:w="1134" w:type="dxa"/>
            <w:tcBorders>
              <w:top w:val="nil"/>
              <w:left w:val="nil"/>
              <w:bottom w:val="single" w:color="auto" w:sz="4" w:space="0"/>
              <w:right w:val="single" w:color="auto" w:sz="4" w:space="0"/>
            </w:tcBorders>
            <w:shd w:val="clear" w:color="auto" w:fill="auto"/>
            <w:noWrap/>
            <w:vAlign w:val="center"/>
          </w:tcPr>
          <w:p w14:paraId="0A307F76">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水尺水位比测</w:t>
            </w:r>
          </w:p>
        </w:tc>
        <w:tc>
          <w:tcPr>
            <w:tcW w:w="1701" w:type="dxa"/>
            <w:tcBorders>
              <w:top w:val="nil"/>
              <w:left w:val="nil"/>
              <w:bottom w:val="single" w:color="auto" w:sz="4" w:space="0"/>
              <w:right w:val="single" w:color="auto" w:sz="4" w:space="0"/>
            </w:tcBorders>
            <w:shd w:val="clear" w:color="auto" w:fill="auto"/>
            <w:vAlign w:val="center"/>
          </w:tcPr>
          <w:p w14:paraId="7BA13F13">
            <w:pPr>
              <w:widowControl/>
              <w:jc w:val="center"/>
              <w:rPr>
                <w:rFonts w:ascii="Times New Roman" w:hAnsi="Times New Roman" w:eastAsia="宋体" w:cs="Times New Roman"/>
                <w:color w:val="auto"/>
                <w:kern w:val="0"/>
                <w:szCs w:val="21"/>
                <w:highlight w:val="none"/>
              </w:rPr>
            </w:pPr>
          </w:p>
        </w:tc>
        <w:tc>
          <w:tcPr>
            <w:tcW w:w="680" w:type="dxa"/>
            <w:tcBorders>
              <w:top w:val="nil"/>
              <w:left w:val="nil"/>
              <w:bottom w:val="single" w:color="auto" w:sz="4" w:space="0"/>
              <w:right w:val="single" w:color="auto" w:sz="4" w:space="0"/>
            </w:tcBorders>
            <w:shd w:val="clear" w:color="auto" w:fill="auto"/>
            <w:noWrap/>
            <w:vAlign w:val="center"/>
          </w:tcPr>
          <w:p w14:paraId="092D9BD8">
            <w:pPr>
              <w:widowControl/>
              <w:jc w:val="center"/>
              <w:rPr>
                <w:rFonts w:hint="eastAsia"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val="en-US" w:eastAsia="zh-CN"/>
              </w:rPr>
              <w:t>4</w:t>
            </w:r>
          </w:p>
        </w:tc>
        <w:tc>
          <w:tcPr>
            <w:tcW w:w="680" w:type="dxa"/>
            <w:tcBorders>
              <w:top w:val="nil"/>
              <w:left w:val="nil"/>
              <w:bottom w:val="single" w:color="auto" w:sz="4" w:space="0"/>
              <w:right w:val="single" w:color="auto" w:sz="4" w:space="0"/>
            </w:tcBorders>
            <w:shd w:val="clear" w:color="auto" w:fill="auto"/>
            <w:noWrap/>
            <w:vAlign w:val="center"/>
          </w:tcPr>
          <w:p w14:paraId="101D4E9A">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w:t>
            </w:r>
          </w:p>
        </w:tc>
        <w:tc>
          <w:tcPr>
            <w:tcW w:w="907" w:type="dxa"/>
            <w:tcBorders>
              <w:top w:val="nil"/>
              <w:left w:val="nil"/>
              <w:bottom w:val="single" w:color="auto" w:sz="4" w:space="0"/>
              <w:right w:val="single" w:color="auto" w:sz="4" w:space="0"/>
            </w:tcBorders>
            <w:shd w:val="clear" w:color="auto" w:fill="auto"/>
            <w:noWrap/>
            <w:vAlign w:val="center"/>
          </w:tcPr>
          <w:p w14:paraId="59CC46C9">
            <w:pPr>
              <w:jc w:val="center"/>
              <w:rPr>
                <w:rFonts w:ascii="Times New Roman" w:hAnsi="Times New Roman" w:cs="Times New Roman"/>
                <w:color w:val="auto"/>
                <w:highlight w:val="none"/>
              </w:rPr>
            </w:pPr>
          </w:p>
        </w:tc>
        <w:tc>
          <w:tcPr>
            <w:tcW w:w="964" w:type="dxa"/>
            <w:tcBorders>
              <w:top w:val="nil"/>
              <w:left w:val="nil"/>
              <w:bottom w:val="single" w:color="auto" w:sz="4" w:space="0"/>
              <w:right w:val="single" w:color="auto" w:sz="4" w:space="0"/>
            </w:tcBorders>
            <w:shd w:val="clear" w:color="auto" w:fill="auto"/>
            <w:noWrap/>
            <w:vAlign w:val="center"/>
          </w:tcPr>
          <w:p w14:paraId="06EEF9FD">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1512FCF9">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每季度一次</w:t>
            </w:r>
          </w:p>
        </w:tc>
        <w:tc>
          <w:tcPr>
            <w:tcW w:w="1361" w:type="dxa"/>
            <w:tcBorders>
              <w:top w:val="nil"/>
              <w:left w:val="nil"/>
              <w:bottom w:val="single" w:color="auto" w:sz="4" w:space="0"/>
              <w:right w:val="single" w:color="auto" w:sz="4" w:space="0"/>
            </w:tcBorders>
            <w:shd w:val="clear" w:color="auto" w:fill="auto"/>
            <w:vAlign w:val="center"/>
          </w:tcPr>
          <w:p w14:paraId="34588452">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含现场校准、配合调试</w:t>
            </w:r>
          </w:p>
        </w:tc>
      </w:tr>
      <w:tr w14:paraId="6ED3F78F">
        <w:tblPrEx>
          <w:tblCellMar>
            <w:top w:w="0" w:type="dxa"/>
            <w:left w:w="108" w:type="dxa"/>
            <w:bottom w:w="0" w:type="dxa"/>
            <w:right w:w="108" w:type="dxa"/>
          </w:tblCellMar>
        </w:tblPrEx>
        <w:trPr>
          <w:trHeight w:val="799"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0566BC00">
            <w:pPr>
              <w:widowControl/>
              <w:jc w:val="center"/>
              <w:rPr>
                <w:rFonts w:ascii="Times New Roman" w:hAnsi="Times New Roman"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shd w:val="clear" w:color="auto" w:fill="auto"/>
            <w:noWrap/>
            <w:vAlign w:val="center"/>
          </w:tcPr>
          <w:p w14:paraId="0DAB8765">
            <w:pPr>
              <w:widowControl/>
              <w:jc w:val="center"/>
              <w:rPr>
                <w:rFonts w:hint="eastAsia"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val="en-US" w:eastAsia="zh-CN"/>
              </w:rPr>
              <w:t>总价</w:t>
            </w:r>
          </w:p>
        </w:tc>
        <w:tc>
          <w:tcPr>
            <w:tcW w:w="1701" w:type="dxa"/>
            <w:tcBorders>
              <w:top w:val="nil"/>
              <w:left w:val="nil"/>
              <w:bottom w:val="single" w:color="auto" w:sz="4" w:space="0"/>
              <w:right w:val="single" w:color="auto" w:sz="4" w:space="0"/>
            </w:tcBorders>
            <w:shd w:val="clear" w:color="auto" w:fill="auto"/>
            <w:vAlign w:val="center"/>
          </w:tcPr>
          <w:p w14:paraId="6016AADF">
            <w:pPr>
              <w:widowControl/>
              <w:jc w:val="center"/>
              <w:rPr>
                <w:rFonts w:ascii="Times New Roman" w:hAnsi="Times New Roman" w:eastAsia="宋体" w:cs="Times New Roman"/>
                <w:color w:val="auto"/>
                <w:kern w:val="0"/>
                <w:szCs w:val="21"/>
                <w:highlight w:val="none"/>
              </w:rPr>
            </w:pPr>
          </w:p>
        </w:tc>
        <w:tc>
          <w:tcPr>
            <w:tcW w:w="680" w:type="dxa"/>
            <w:tcBorders>
              <w:top w:val="nil"/>
              <w:left w:val="nil"/>
              <w:bottom w:val="single" w:color="auto" w:sz="4" w:space="0"/>
              <w:right w:val="single" w:color="auto" w:sz="4" w:space="0"/>
            </w:tcBorders>
            <w:shd w:val="clear" w:color="auto" w:fill="auto"/>
            <w:noWrap/>
            <w:vAlign w:val="center"/>
          </w:tcPr>
          <w:p w14:paraId="2B7DF6AD">
            <w:pPr>
              <w:widowControl/>
              <w:jc w:val="center"/>
              <w:rPr>
                <w:rFonts w:ascii="Times New Roman" w:hAnsi="Times New Roman" w:eastAsia="宋体" w:cs="Times New Roman"/>
                <w:color w:val="auto"/>
                <w:kern w:val="0"/>
                <w:szCs w:val="21"/>
                <w:highlight w:val="none"/>
              </w:rPr>
            </w:pPr>
          </w:p>
        </w:tc>
        <w:tc>
          <w:tcPr>
            <w:tcW w:w="680" w:type="dxa"/>
            <w:tcBorders>
              <w:top w:val="nil"/>
              <w:left w:val="nil"/>
              <w:bottom w:val="single" w:color="auto" w:sz="4" w:space="0"/>
              <w:right w:val="single" w:color="auto" w:sz="4" w:space="0"/>
            </w:tcBorders>
            <w:shd w:val="clear" w:color="auto" w:fill="auto"/>
            <w:noWrap/>
            <w:vAlign w:val="center"/>
          </w:tcPr>
          <w:p w14:paraId="03B1BD46">
            <w:pPr>
              <w:widowControl/>
              <w:jc w:val="center"/>
              <w:rPr>
                <w:rFonts w:ascii="Times New Roman" w:hAnsi="Times New Roman" w:eastAsia="宋体" w:cs="Times New Roman"/>
                <w:color w:val="auto"/>
                <w:kern w:val="0"/>
                <w:szCs w:val="21"/>
                <w:highlight w:val="none"/>
              </w:rPr>
            </w:pPr>
          </w:p>
        </w:tc>
        <w:tc>
          <w:tcPr>
            <w:tcW w:w="1871" w:type="dxa"/>
            <w:gridSpan w:val="2"/>
            <w:tcBorders>
              <w:top w:val="nil"/>
              <w:left w:val="nil"/>
              <w:bottom w:val="single" w:color="auto" w:sz="4" w:space="0"/>
              <w:right w:val="single" w:color="auto" w:sz="4" w:space="0"/>
            </w:tcBorders>
            <w:shd w:val="clear" w:color="auto" w:fill="auto"/>
            <w:noWrap/>
            <w:vAlign w:val="center"/>
          </w:tcPr>
          <w:p w14:paraId="13A8E682">
            <w:pPr>
              <w:jc w:val="center"/>
              <w:rPr>
                <w:rFonts w:ascii="Times New Roman" w:hAnsi="Times New Roman" w:cs="Times New Roman"/>
                <w:color w:val="auto"/>
                <w:highlight w:val="none"/>
              </w:rPr>
            </w:pPr>
          </w:p>
        </w:tc>
        <w:tc>
          <w:tcPr>
            <w:tcW w:w="1191" w:type="dxa"/>
            <w:tcBorders>
              <w:top w:val="nil"/>
              <w:left w:val="nil"/>
              <w:bottom w:val="single" w:color="auto" w:sz="4" w:space="0"/>
              <w:right w:val="single" w:color="auto" w:sz="4" w:space="0"/>
            </w:tcBorders>
            <w:shd w:val="clear" w:color="auto" w:fill="auto"/>
            <w:noWrap/>
            <w:vAlign w:val="center"/>
          </w:tcPr>
          <w:p w14:paraId="6EDF3594">
            <w:pPr>
              <w:widowControl/>
              <w:jc w:val="center"/>
              <w:rPr>
                <w:rFonts w:ascii="Times New Roman" w:hAnsi="Times New Roman" w:eastAsia="宋体" w:cs="Times New Roman"/>
                <w:color w:val="auto"/>
                <w:kern w:val="0"/>
                <w:szCs w:val="21"/>
                <w:highlight w:val="none"/>
              </w:rPr>
            </w:pPr>
          </w:p>
        </w:tc>
        <w:tc>
          <w:tcPr>
            <w:tcW w:w="1361" w:type="dxa"/>
            <w:tcBorders>
              <w:top w:val="nil"/>
              <w:left w:val="nil"/>
              <w:bottom w:val="single" w:color="auto" w:sz="4" w:space="0"/>
              <w:right w:val="single" w:color="auto" w:sz="4" w:space="0"/>
            </w:tcBorders>
            <w:shd w:val="clear" w:color="auto" w:fill="auto"/>
            <w:noWrap/>
            <w:vAlign w:val="center"/>
          </w:tcPr>
          <w:p w14:paraId="3937B17E">
            <w:pPr>
              <w:widowControl/>
              <w:jc w:val="left"/>
              <w:rPr>
                <w:rFonts w:ascii="Times New Roman" w:hAnsi="Times New Roman" w:eastAsia="宋体" w:cs="Times New Roman"/>
                <w:color w:val="auto"/>
                <w:kern w:val="0"/>
                <w:szCs w:val="21"/>
                <w:highlight w:val="none"/>
              </w:rPr>
            </w:pPr>
          </w:p>
        </w:tc>
      </w:tr>
    </w:tbl>
    <w:p w14:paraId="006F37E1">
      <w:pPr>
        <w:wordWrap w:val="0"/>
        <w:snapToGrid w:val="0"/>
        <w:spacing w:line="440" w:lineRule="exact"/>
        <w:ind w:right="480"/>
        <w:rPr>
          <w:rFonts w:ascii="宋体" w:hAnsi="宋体" w:cs="宋体"/>
          <w:color w:val="auto"/>
          <w:sz w:val="24"/>
          <w:highlight w:val="none"/>
        </w:rPr>
      </w:pPr>
    </w:p>
    <w:p w14:paraId="26AD6E85">
      <w:pPr>
        <w:kinsoku w:val="0"/>
        <w:topLinePunct/>
        <w:snapToGrid w:val="0"/>
        <w:spacing w:line="360" w:lineRule="auto"/>
        <w:rPr>
          <w:rStyle w:val="80"/>
          <w:rFonts w:ascii="宋体" w:hAnsi="宋体" w:cs="宋体"/>
          <w:color w:val="auto"/>
          <w:sz w:val="24"/>
          <w:szCs w:val="24"/>
          <w:highlight w:val="none"/>
        </w:rPr>
      </w:pPr>
      <w:r>
        <w:rPr>
          <w:rStyle w:val="80"/>
          <w:rFonts w:hint="eastAsia" w:ascii="宋体" w:hAnsi="宋体" w:cs="宋体"/>
          <w:color w:val="auto"/>
          <w:sz w:val="24"/>
          <w:szCs w:val="24"/>
          <w:highlight w:val="none"/>
        </w:rPr>
        <w:t>注：投标人自行填报上述投标报价表中的单价、合价、总价，本报价表中的价格已包含招标文件中规定的所有内容。</w:t>
      </w:r>
    </w:p>
    <w:p w14:paraId="1E81F694">
      <w:pPr>
        <w:widowControl/>
        <w:spacing w:line="360" w:lineRule="auto"/>
        <w:rPr>
          <w:rFonts w:ascii="宋体" w:hAnsi="宋体" w:cs="宋体"/>
          <w:color w:val="auto"/>
          <w:sz w:val="24"/>
          <w:highlight w:val="none"/>
        </w:rPr>
      </w:pPr>
    </w:p>
    <w:p w14:paraId="3E6C4A7B">
      <w:pPr>
        <w:widowControl/>
        <w:spacing w:line="360" w:lineRule="auto"/>
        <w:rPr>
          <w:rFonts w:ascii="宋体" w:hAnsi="宋体" w:cs="宋体"/>
          <w:color w:val="auto"/>
          <w:sz w:val="24"/>
          <w:highlight w:val="none"/>
        </w:rPr>
      </w:pPr>
      <w:r>
        <w:rPr>
          <w:rFonts w:hint="eastAsia" w:ascii="宋体" w:hAnsi="宋体" w:cs="宋体"/>
          <w:color w:val="auto"/>
          <w:sz w:val="24"/>
          <w:highlight w:val="none"/>
        </w:rPr>
        <w:t>投标人（盖章）：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E7E2DAA">
      <w:pPr>
        <w:widowControl/>
        <w:tabs>
          <w:tab w:val="left" w:pos="4320"/>
        </w:tabs>
        <w:spacing w:line="360" w:lineRule="auto"/>
        <w:rPr>
          <w:rFonts w:ascii="宋体" w:hAnsi="宋体" w:cs="宋体"/>
          <w:color w:val="auto"/>
          <w:sz w:val="24"/>
          <w:highlight w:val="none"/>
        </w:rPr>
      </w:pPr>
      <w:r>
        <w:rPr>
          <w:rFonts w:hint="eastAsia" w:ascii="宋体" w:hAnsi="宋体" w:cs="宋体"/>
          <w:color w:val="auto"/>
          <w:sz w:val="24"/>
          <w:highlight w:val="none"/>
        </w:rPr>
        <w:t>法定代表人或授权委托人（签字或盖章）：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A28DD8B">
      <w:pPr>
        <w:spacing w:before="100" w:after="100" w:line="360" w:lineRule="auto"/>
        <w:rPr>
          <w:rFonts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6743BD9D">
      <w:pPr>
        <w:spacing w:line="360" w:lineRule="auto"/>
        <w:jc w:val="center"/>
        <w:rPr>
          <w:rStyle w:val="80"/>
          <w:rFonts w:ascii="宋体" w:hAnsi="宋体" w:cs="宋体"/>
          <w:color w:val="auto"/>
          <w:sz w:val="24"/>
          <w:szCs w:val="24"/>
          <w:highlight w:val="none"/>
        </w:rPr>
      </w:pPr>
    </w:p>
    <w:p w14:paraId="479060BA">
      <w:pPr>
        <w:kinsoku w:val="0"/>
        <w:topLinePunct/>
        <w:snapToGrid w:val="0"/>
        <w:spacing w:line="360" w:lineRule="auto"/>
        <w:rPr>
          <w:rFonts w:ascii="宋体" w:hAnsi="宋体"/>
          <w:color w:val="auto"/>
          <w:sz w:val="24"/>
          <w:highlight w:val="none"/>
        </w:rPr>
      </w:pPr>
      <w:r>
        <w:rPr>
          <w:rStyle w:val="80"/>
          <w:rFonts w:hint="eastAsia" w:ascii="宋体" w:hAnsi="宋体" w:cs="宋体"/>
          <w:color w:val="auto"/>
          <w:sz w:val="24"/>
          <w:szCs w:val="24"/>
          <w:highlight w:val="none"/>
        </w:rPr>
        <w:tab/>
      </w:r>
      <w:r>
        <w:rPr>
          <w:rFonts w:hint="eastAsia" w:ascii="宋体" w:hAnsi="宋体" w:cs="宋体"/>
          <w:color w:val="auto"/>
          <w:sz w:val="24"/>
          <w:highlight w:val="none"/>
        </w:rPr>
        <w:t>注：投标人必须详细报出响应报价总表的各个组成部分的报价，若有遗漏则视为已报入其他子目中。本表各分项报价合计应当与开标一览表投标总报价金额相等。</w:t>
      </w:r>
    </w:p>
    <w:sectPr>
      <w:headerReference r:id="rId3" w:type="default"/>
      <w:footerReference r:id="rId4" w:type="default"/>
      <w:type w:val="continuous"/>
      <w:pgSz w:w="11910" w:h="16840"/>
      <w:pgMar w:top="1588" w:right="1418" w:bottom="1247" w:left="1418" w:header="851" w:footer="992" w:gutter="0"/>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Kingsoft Phonetic Plain">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0"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8674C">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06E9">
    <w:pPr>
      <w:pStyle w:val="4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6"/>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81642EBE"/>
    <w:multiLevelType w:val="singleLevel"/>
    <w:tmpl w:val="81642EBE"/>
    <w:lvl w:ilvl="0" w:tentative="0">
      <w:start w:val="1"/>
      <w:numFmt w:val="decimalEnclosedCircleChinese"/>
      <w:suff w:val="nothing"/>
      <w:lvlText w:val="%1　"/>
      <w:lvlJc w:val="left"/>
      <w:pPr>
        <w:ind w:left="0" w:firstLine="400"/>
      </w:pPr>
      <w:rPr>
        <w:rFonts w:hint="eastAsia"/>
      </w:rPr>
    </w:lvl>
  </w:abstractNum>
  <w:abstractNum w:abstractNumId="2">
    <w:nsid w:val="C8AD9CD8"/>
    <w:multiLevelType w:val="multilevel"/>
    <w:tmpl w:val="C8AD9CD8"/>
    <w:lvl w:ilvl="0" w:tentative="0">
      <w:start w:val="1"/>
      <w:numFmt w:val="decimal"/>
      <w:pStyle w:val="367"/>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E54D664B"/>
    <w:multiLevelType w:val="singleLevel"/>
    <w:tmpl w:val="E54D664B"/>
    <w:lvl w:ilvl="0" w:tentative="0">
      <w:start w:val="2"/>
      <w:numFmt w:val="decimal"/>
      <w:pStyle w:val="232"/>
      <w:suff w:val="nothing"/>
      <w:lvlText w:val="（%1）"/>
      <w:lvlJc w:val="left"/>
    </w:lvl>
  </w:abstractNum>
  <w:abstractNum w:abstractNumId="4">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C684E52"/>
    <w:multiLevelType w:val="singleLevel"/>
    <w:tmpl w:val="3C684E52"/>
    <w:lvl w:ilvl="0" w:tentative="0">
      <w:start w:val="8"/>
      <w:numFmt w:val="decimal"/>
      <w:pStyle w:val="332"/>
      <w:suff w:val="nothing"/>
      <w:lvlText w:val="%1、"/>
      <w:lvlJc w:val="left"/>
    </w:lvl>
  </w:abstractNum>
  <w:abstractNum w:abstractNumId="6">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4"/>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5"/>
  </w:num>
  <w:num w:numId="3">
    <w:abstractNumId w:val="7"/>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0"/>
  <w:drawingGridHorizontalSpacing w:val="105"/>
  <w:drawingGridVerticalSpacing w:val="291"/>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NDRlOTQyZDU0NDY3YTQ2YzBhMmU3ZWUwZjk3YmMifQ=="/>
    <w:docVar w:name="KSO_WPS_MARK_KEY" w:val="121548a6-9847-4677-af90-1f1ec1397db9"/>
  </w:docVars>
  <w:rsids>
    <w:rsidRoot w:val="00172A27"/>
    <w:rsid w:val="00000588"/>
    <w:rsid w:val="00000CA7"/>
    <w:rsid w:val="00001597"/>
    <w:rsid w:val="00001657"/>
    <w:rsid w:val="00001801"/>
    <w:rsid w:val="000029BC"/>
    <w:rsid w:val="00003672"/>
    <w:rsid w:val="00003CC2"/>
    <w:rsid w:val="00004845"/>
    <w:rsid w:val="000068DF"/>
    <w:rsid w:val="00007315"/>
    <w:rsid w:val="000100A0"/>
    <w:rsid w:val="0001026A"/>
    <w:rsid w:val="000108E4"/>
    <w:rsid w:val="00010BC2"/>
    <w:rsid w:val="00010C3C"/>
    <w:rsid w:val="0001282F"/>
    <w:rsid w:val="00013266"/>
    <w:rsid w:val="000143BB"/>
    <w:rsid w:val="000143C6"/>
    <w:rsid w:val="000147F9"/>
    <w:rsid w:val="00015A76"/>
    <w:rsid w:val="00016B60"/>
    <w:rsid w:val="00020D66"/>
    <w:rsid w:val="0002247E"/>
    <w:rsid w:val="0002253D"/>
    <w:rsid w:val="0002286B"/>
    <w:rsid w:val="000238F3"/>
    <w:rsid w:val="00024171"/>
    <w:rsid w:val="00025514"/>
    <w:rsid w:val="00026FC9"/>
    <w:rsid w:val="00030585"/>
    <w:rsid w:val="000305B9"/>
    <w:rsid w:val="000308FA"/>
    <w:rsid w:val="00031973"/>
    <w:rsid w:val="00031A98"/>
    <w:rsid w:val="00032E2B"/>
    <w:rsid w:val="00033D19"/>
    <w:rsid w:val="00033FCB"/>
    <w:rsid w:val="00034AB2"/>
    <w:rsid w:val="00035239"/>
    <w:rsid w:val="000356F0"/>
    <w:rsid w:val="00035E45"/>
    <w:rsid w:val="00036DCD"/>
    <w:rsid w:val="0003735F"/>
    <w:rsid w:val="00037780"/>
    <w:rsid w:val="0004048D"/>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585B"/>
    <w:rsid w:val="00056B52"/>
    <w:rsid w:val="00060132"/>
    <w:rsid w:val="000612C1"/>
    <w:rsid w:val="0006206A"/>
    <w:rsid w:val="00062BD7"/>
    <w:rsid w:val="00066F07"/>
    <w:rsid w:val="0006739A"/>
    <w:rsid w:val="00067D18"/>
    <w:rsid w:val="00067E7C"/>
    <w:rsid w:val="00070067"/>
    <w:rsid w:val="00070C54"/>
    <w:rsid w:val="00071065"/>
    <w:rsid w:val="00071A57"/>
    <w:rsid w:val="0007285A"/>
    <w:rsid w:val="00072FB8"/>
    <w:rsid w:val="00073456"/>
    <w:rsid w:val="00073C4F"/>
    <w:rsid w:val="00074895"/>
    <w:rsid w:val="000749AC"/>
    <w:rsid w:val="00074E82"/>
    <w:rsid w:val="00074EDE"/>
    <w:rsid w:val="000751ED"/>
    <w:rsid w:val="000757E6"/>
    <w:rsid w:val="0007611C"/>
    <w:rsid w:val="00076688"/>
    <w:rsid w:val="00076FFF"/>
    <w:rsid w:val="00082461"/>
    <w:rsid w:val="00082712"/>
    <w:rsid w:val="00083356"/>
    <w:rsid w:val="00083565"/>
    <w:rsid w:val="00084C7D"/>
    <w:rsid w:val="00084D7D"/>
    <w:rsid w:val="0008649A"/>
    <w:rsid w:val="00087EDF"/>
    <w:rsid w:val="00090993"/>
    <w:rsid w:val="00090A67"/>
    <w:rsid w:val="00091A80"/>
    <w:rsid w:val="00092608"/>
    <w:rsid w:val="000936D5"/>
    <w:rsid w:val="00093F79"/>
    <w:rsid w:val="000943B5"/>
    <w:rsid w:val="00094664"/>
    <w:rsid w:val="000951F0"/>
    <w:rsid w:val="00095286"/>
    <w:rsid w:val="00095993"/>
    <w:rsid w:val="00095B4E"/>
    <w:rsid w:val="0009678B"/>
    <w:rsid w:val="00096DC3"/>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EAA"/>
    <w:rsid w:val="000B1EB9"/>
    <w:rsid w:val="000B2EC7"/>
    <w:rsid w:val="000B2F21"/>
    <w:rsid w:val="000B3B08"/>
    <w:rsid w:val="000B3BBB"/>
    <w:rsid w:val="000B3C5C"/>
    <w:rsid w:val="000B43AF"/>
    <w:rsid w:val="000B47C5"/>
    <w:rsid w:val="000B5A8E"/>
    <w:rsid w:val="000B5C98"/>
    <w:rsid w:val="000B73A2"/>
    <w:rsid w:val="000B796D"/>
    <w:rsid w:val="000C03CF"/>
    <w:rsid w:val="000C0913"/>
    <w:rsid w:val="000C16C1"/>
    <w:rsid w:val="000C1C45"/>
    <w:rsid w:val="000C21D0"/>
    <w:rsid w:val="000C254B"/>
    <w:rsid w:val="000C263F"/>
    <w:rsid w:val="000C2C0D"/>
    <w:rsid w:val="000C2C19"/>
    <w:rsid w:val="000C312C"/>
    <w:rsid w:val="000C3AC1"/>
    <w:rsid w:val="000C436A"/>
    <w:rsid w:val="000C43B8"/>
    <w:rsid w:val="000C661C"/>
    <w:rsid w:val="000C6C1E"/>
    <w:rsid w:val="000C7EAA"/>
    <w:rsid w:val="000D01F8"/>
    <w:rsid w:val="000D066E"/>
    <w:rsid w:val="000D109E"/>
    <w:rsid w:val="000D10B2"/>
    <w:rsid w:val="000D31FB"/>
    <w:rsid w:val="000D3810"/>
    <w:rsid w:val="000D3839"/>
    <w:rsid w:val="000D4FDA"/>
    <w:rsid w:val="000D5D81"/>
    <w:rsid w:val="000D650E"/>
    <w:rsid w:val="000D6942"/>
    <w:rsid w:val="000D6BFE"/>
    <w:rsid w:val="000D7D6F"/>
    <w:rsid w:val="000E05BB"/>
    <w:rsid w:val="000E0C3E"/>
    <w:rsid w:val="000E0C55"/>
    <w:rsid w:val="000E18C6"/>
    <w:rsid w:val="000E19F8"/>
    <w:rsid w:val="000E242E"/>
    <w:rsid w:val="000E24B2"/>
    <w:rsid w:val="000E3E5C"/>
    <w:rsid w:val="000E5223"/>
    <w:rsid w:val="000E6C43"/>
    <w:rsid w:val="000F041D"/>
    <w:rsid w:val="000F159F"/>
    <w:rsid w:val="000F15EB"/>
    <w:rsid w:val="000F1B34"/>
    <w:rsid w:val="000F1EC9"/>
    <w:rsid w:val="000F1FD3"/>
    <w:rsid w:val="000F297C"/>
    <w:rsid w:val="000F3A5E"/>
    <w:rsid w:val="000F3D42"/>
    <w:rsid w:val="000F5E73"/>
    <w:rsid w:val="000F6DBF"/>
    <w:rsid w:val="000F6FEF"/>
    <w:rsid w:val="00100764"/>
    <w:rsid w:val="00100801"/>
    <w:rsid w:val="001019E1"/>
    <w:rsid w:val="00102614"/>
    <w:rsid w:val="00102E76"/>
    <w:rsid w:val="001038F4"/>
    <w:rsid w:val="00103D24"/>
    <w:rsid w:val="00103E6D"/>
    <w:rsid w:val="00103F54"/>
    <w:rsid w:val="0010486E"/>
    <w:rsid w:val="00104A1D"/>
    <w:rsid w:val="001057EA"/>
    <w:rsid w:val="00105EC6"/>
    <w:rsid w:val="0010603A"/>
    <w:rsid w:val="00106A2F"/>
    <w:rsid w:val="00106D57"/>
    <w:rsid w:val="00106F23"/>
    <w:rsid w:val="001103C9"/>
    <w:rsid w:val="00110B9B"/>
    <w:rsid w:val="00110ECB"/>
    <w:rsid w:val="00111265"/>
    <w:rsid w:val="001113AE"/>
    <w:rsid w:val="00111CB2"/>
    <w:rsid w:val="00111FEF"/>
    <w:rsid w:val="001151F6"/>
    <w:rsid w:val="001156A1"/>
    <w:rsid w:val="00115C02"/>
    <w:rsid w:val="001160CE"/>
    <w:rsid w:val="001165CE"/>
    <w:rsid w:val="00116747"/>
    <w:rsid w:val="0011734D"/>
    <w:rsid w:val="0012035A"/>
    <w:rsid w:val="0012062B"/>
    <w:rsid w:val="00120FA4"/>
    <w:rsid w:val="0012132B"/>
    <w:rsid w:val="00121ED0"/>
    <w:rsid w:val="0012217B"/>
    <w:rsid w:val="001233EB"/>
    <w:rsid w:val="0012549E"/>
    <w:rsid w:val="001258A0"/>
    <w:rsid w:val="00125B47"/>
    <w:rsid w:val="0012670D"/>
    <w:rsid w:val="001274A0"/>
    <w:rsid w:val="00127D8D"/>
    <w:rsid w:val="00127E74"/>
    <w:rsid w:val="0013098D"/>
    <w:rsid w:val="00130DB7"/>
    <w:rsid w:val="00130F1D"/>
    <w:rsid w:val="001312DD"/>
    <w:rsid w:val="00131DE7"/>
    <w:rsid w:val="00132018"/>
    <w:rsid w:val="0013251C"/>
    <w:rsid w:val="00133090"/>
    <w:rsid w:val="001340E1"/>
    <w:rsid w:val="0013434C"/>
    <w:rsid w:val="00134776"/>
    <w:rsid w:val="00135145"/>
    <w:rsid w:val="00135719"/>
    <w:rsid w:val="001360E7"/>
    <w:rsid w:val="00136ABB"/>
    <w:rsid w:val="00136B07"/>
    <w:rsid w:val="001377D4"/>
    <w:rsid w:val="0014011D"/>
    <w:rsid w:val="001403F5"/>
    <w:rsid w:val="001412B3"/>
    <w:rsid w:val="001434BE"/>
    <w:rsid w:val="0014471F"/>
    <w:rsid w:val="00144A49"/>
    <w:rsid w:val="00146EF1"/>
    <w:rsid w:val="00147159"/>
    <w:rsid w:val="00147639"/>
    <w:rsid w:val="001478AD"/>
    <w:rsid w:val="00147F79"/>
    <w:rsid w:val="00151FEF"/>
    <w:rsid w:val="001537CF"/>
    <w:rsid w:val="00154010"/>
    <w:rsid w:val="0015474E"/>
    <w:rsid w:val="00154DFE"/>
    <w:rsid w:val="00154FB4"/>
    <w:rsid w:val="00155095"/>
    <w:rsid w:val="00155947"/>
    <w:rsid w:val="00156103"/>
    <w:rsid w:val="001563D7"/>
    <w:rsid w:val="001573E3"/>
    <w:rsid w:val="00157BBC"/>
    <w:rsid w:val="001603D2"/>
    <w:rsid w:val="00160BB6"/>
    <w:rsid w:val="001613A9"/>
    <w:rsid w:val="00161B5C"/>
    <w:rsid w:val="001626F8"/>
    <w:rsid w:val="001644C8"/>
    <w:rsid w:val="00164DF9"/>
    <w:rsid w:val="00164E0D"/>
    <w:rsid w:val="00164F48"/>
    <w:rsid w:val="001664BA"/>
    <w:rsid w:val="00166552"/>
    <w:rsid w:val="00166C1F"/>
    <w:rsid w:val="00166FF4"/>
    <w:rsid w:val="001674DF"/>
    <w:rsid w:val="00167632"/>
    <w:rsid w:val="0016769E"/>
    <w:rsid w:val="00170662"/>
    <w:rsid w:val="0017076A"/>
    <w:rsid w:val="0017081A"/>
    <w:rsid w:val="0017128C"/>
    <w:rsid w:val="00171885"/>
    <w:rsid w:val="00172A27"/>
    <w:rsid w:val="001735ED"/>
    <w:rsid w:val="001742D6"/>
    <w:rsid w:val="00174AF1"/>
    <w:rsid w:val="001754D9"/>
    <w:rsid w:val="00175E48"/>
    <w:rsid w:val="001761DE"/>
    <w:rsid w:val="00176341"/>
    <w:rsid w:val="001764C8"/>
    <w:rsid w:val="00177D13"/>
    <w:rsid w:val="00177DB9"/>
    <w:rsid w:val="001804E8"/>
    <w:rsid w:val="00182B0A"/>
    <w:rsid w:val="00183ACC"/>
    <w:rsid w:val="00183CB8"/>
    <w:rsid w:val="00184D3C"/>
    <w:rsid w:val="001857F9"/>
    <w:rsid w:val="00185AE3"/>
    <w:rsid w:val="00185D32"/>
    <w:rsid w:val="0018688F"/>
    <w:rsid w:val="00187D68"/>
    <w:rsid w:val="00187E3D"/>
    <w:rsid w:val="0019024B"/>
    <w:rsid w:val="00190B1D"/>
    <w:rsid w:val="00192701"/>
    <w:rsid w:val="00192D6A"/>
    <w:rsid w:val="001932C0"/>
    <w:rsid w:val="00193630"/>
    <w:rsid w:val="00193741"/>
    <w:rsid w:val="00194EBF"/>
    <w:rsid w:val="0019517A"/>
    <w:rsid w:val="001965C1"/>
    <w:rsid w:val="00197799"/>
    <w:rsid w:val="001A0172"/>
    <w:rsid w:val="001A0C78"/>
    <w:rsid w:val="001A1419"/>
    <w:rsid w:val="001A1DBA"/>
    <w:rsid w:val="001A2495"/>
    <w:rsid w:val="001A2CA8"/>
    <w:rsid w:val="001A3236"/>
    <w:rsid w:val="001A3E13"/>
    <w:rsid w:val="001A3F79"/>
    <w:rsid w:val="001A5D28"/>
    <w:rsid w:val="001A5EE5"/>
    <w:rsid w:val="001A609B"/>
    <w:rsid w:val="001A63C0"/>
    <w:rsid w:val="001A68A0"/>
    <w:rsid w:val="001A6F94"/>
    <w:rsid w:val="001B0693"/>
    <w:rsid w:val="001B08EF"/>
    <w:rsid w:val="001B0FE2"/>
    <w:rsid w:val="001B112B"/>
    <w:rsid w:val="001B1B35"/>
    <w:rsid w:val="001B2045"/>
    <w:rsid w:val="001B2624"/>
    <w:rsid w:val="001B2B59"/>
    <w:rsid w:val="001B2DF2"/>
    <w:rsid w:val="001B3EFD"/>
    <w:rsid w:val="001B4F31"/>
    <w:rsid w:val="001C0472"/>
    <w:rsid w:val="001C0699"/>
    <w:rsid w:val="001C0B05"/>
    <w:rsid w:val="001C1659"/>
    <w:rsid w:val="001C1CD9"/>
    <w:rsid w:val="001C2E0A"/>
    <w:rsid w:val="001C328D"/>
    <w:rsid w:val="001C3675"/>
    <w:rsid w:val="001C56F2"/>
    <w:rsid w:val="001C5809"/>
    <w:rsid w:val="001C611A"/>
    <w:rsid w:val="001C623F"/>
    <w:rsid w:val="001C647E"/>
    <w:rsid w:val="001C69F5"/>
    <w:rsid w:val="001C74CE"/>
    <w:rsid w:val="001D055E"/>
    <w:rsid w:val="001D109C"/>
    <w:rsid w:val="001D1115"/>
    <w:rsid w:val="001D1A88"/>
    <w:rsid w:val="001D1C11"/>
    <w:rsid w:val="001D1D36"/>
    <w:rsid w:val="001D1FE7"/>
    <w:rsid w:val="001D2675"/>
    <w:rsid w:val="001D2782"/>
    <w:rsid w:val="001D3792"/>
    <w:rsid w:val="001D39A3"/>
    <w:rsid w:val="001D3DFB"/>
    <w:rsid w:val="001D416C"/>
    <w:rsid w:val="001D5569"/>
    <w:rsid w:val="001D5852"/>
    <w:rsid w:val="001D5A03"/>
    <w:rsid w:val="001D6092"/>
    <w:rsid w:val="001D617F"/>
    <w:rsid w:val="001D63A4"/>
    <w:rsid w:val="001D6768"/>
    <w:rsid w:val="001D6E06"/>
    <w:rsid w:val="001D759D"/>
    <w:rsid w:val="001E0007"/>
    <w:rsid w:val="001E0CF1"/>
    <w:rsid w:val="001E0ED5"/>
    <w:rsid w:val="001E2323"/>
    <w:rsid w:val="001E29CD"/>
    <w:rsid w:val="001E2F5E"/>
    <w:rsid w:val="001E3115"/>
    <w:rsid w:val="001E42C4"/>
    <w:rsid w:val="001E49CD"/>
    <w:rsid w:val="001E4AFD"/>
    <w:rsid w:val="001E4BFA"/>
    <w:rsid w:val="001E61DE"/>
    <w:rsid w:val="001E6D57"/>
    <w:rsid w:val="001E75B6"/>
    <w:rsid w:val="001E77AF"/>
    <w:rsid w:val="001E7918"/>
    <w:rsid w:val="001E7972"/>
    <w:rsid w:val="001E7E84"/>
    <w:rsid w:val="001F0C58"/>
    <w:rsid w:val="001F1846"/>
    <w:rsid w:val="001F298E"/>
    <w:rsid w:val="001F2E51"/>
    <w:rsid w:val="001F2ED1"/>
    <w:rsid w:val="001F3464"/>
    <w:rsid w:val="001F4270"/>
    <w:rsid w:val="001F5335"/>
    <w:rsid w:val="001F5419"/>
    <w:rsid w:val="001F610F"/>
    <w:rsid w:val="001F6578"/>
    <w:rsid w:val="001F6861"/>
    <w:rsid w:val="001F68C4"/>
    <w:rsid w:val="001F78BD"/>
    <w:rsid w:val="00200367"/>
    <w:rsid w:val="00200BDE"/>
    <w:rsid w:val="00200FE0"/>
    <w:rsid w:val="00201140"/>
    <w:rsid w:val="00201A81"/>
    <w:rsid w:val="00203E82"/>
    <w:rsid w:val="002048CC"/>
    <w:rsid w:val="002077C7"/>
    <w:rsid w:val="00210B5A"/>
    <w:rsid w:val="00210E60"/>
    <w:rsid w:val="00210F27"/>
    <w:rsid w:val="00211259"/>
    <w:rsid w:val="002117AC"/>
    <w:rsid w:val="0021191A"/>
    <w:rsid w:val="00211D8C"/>
    <w:rsid w:val="0021257C"/>
    <w:rsid w:val="00212C0B"/>
    <w:rsid w:val="0021323C"/>
    <w:rsid w:val="00213289"/>
    <w:rsid w:val="00213E81"/>
    <w:rsid w:val="00213EFD"/>
    <w:rsid w:val="00215359"/>
    <w:rsid w:val="002157BB"/>
    <w:rsid w:val="00215CA3"/>
    <w:rsid w:val="002209EC"/>
    <w:rsid w:val="00220F57"/>
    <w:rsid w:val="00221ECC"/>
    <w:rsid w:val="00222E41"/>
    <w:rsid w:val="00222F63"/>
    <w:rsid w:val="00223233"/>
    <w:rsid w:val="00223270"/>
    <w:rsid w:val="00223F14"/>
    <w:rsid w:val="0022406F"/>
    <w:rsid w:val="00224660"/>
    <w:rsid w:val="00224AD7"/>
    <w:rsid w:val="00224F48"/>
    <w:rsid w:val="00225D09"/>
    <w:rsid w:val="0022648B"/>
    <w:rsid w:val="002266B7"/>
    <w:rsid w:val="0022726E"/>
    <w:rsid w:val="00231103"/>
    <w:rsid w:val="00231543"/>
    <w:rsid w:val="0023170A"/>
    <w:rsid w:val="00231A15"/>
    <w:rsid w:val="002320A1"/>
    <w:rsid w:val="002323E8"/>
    <w:rsid w:val="002329FA"/>
    <w:rsid w:val="00232C77"/>
    <w:rsid w:val="00233294"/>
    <w:rsid w:val="002335B0"/>
    <w:rsid w:val="002335D7"/>
    <w:rsid w:val="00233C1E"/>
    <w:rsid w:val="00233EC4"/>
    <w:rsid w:val="00234C16"/>
    <w:rsid w:val="00235759"/>
    <w:rsid w:val="002357E5"/>
    <w:rsid w:val="00236EA2"/>
    <w:rsid w:val="00237F0B"/>
    <w:rsid w:val="00241B4F"/>
    <w:rsid w:val="00241C70"/>
    <w:rsid w:val="00241CB9"/>
    <w:rsid w:val="00241DEE"/>
    <w:rsid w:val="00243A16"/>
    <w:rsid w:val="00243E6D"/>
    <w:rsid w:val="00245CAF"/>
    <w:rsid w:val="00246433"/>
    <w:rsid w:val="00247513"/>
    <w:rsid w:val="002477F1"/>
    <w:rsid w:val="002478B9"/>
    <w:rsid w:val="00247B6B"/>
    <w:rsid w:val="0025084C"/>
    <w:rsid w:val="00250893"/>
    <w:rsid w:val="00250DD2"/>
    <w:rsid w:val="002510CA"/>
    <w:rsid w:val="00251EF2"/>
    <w:rsid w:val="002523BF"/>
    <w:rsid w:val="00252F26"/>
    <w:rsid w:val="002539F3"/>
    <w:rsid w:val="002542AF"/>
    <w:rsid w:val="0025502A"/>
    <w:rsid w:val="00255113"/>
    <w:rsid w:val="00255ACE"/>
    <w:rsid w:val="00256887"/>
    <w:rsid w:val="00256983"/>
    <w:rsid w:val="00256C51"/>
    <w:rsid w:val="00257B63"/>
    <w:rsid w:val="00257CFB"/>
    <w:rsid w:val="0026050D"/>
    <w:rsid w:val="00261848"/>
    <w:rsid w:val="00261D59"/>
    <w:rsid w:val="00263205"/>
    <w:rsid w:val="00263901"/>
    <w:rsid w:val="00263C01"/>
    <w:rsid w:val="00263EE6"/>
    <w:rsid w:val="00263EF7"/>
    <w:rsid w:val="0026410F"/>
    <w:rsid w:val="002641D7"/>
    <w:rsid w:val="00264367"/>
    <w:rsid w:val="00265414"/>
    <w:rsid w:val="0026669E"/>
    <w:rsid w:val="00266764"/>
    <w:rsid w:val="00266ED2"/>
    <w:rsid w:val="00266FE6"/>
    <w:rsid w:val="002670B7"/>
    <w:rsid w:val="002675A4"/>
    <w:rsid w:val="002675D1"/>
    <w:rsid w:val="00267657"/>
    <w:rsid w:val="0026770B"/>
    <w:rsid w:val="0027078E"/>
    <w:rsid w:val="00271A22"/>
    <w:rsid w:val="0027302C"/>
    <w:rsid w:val="002737F1"/>
    <w:rsid w:val="002740EB"/>
    <w:rsid w:val="002765AE"/>
    <w:rsid w:val="002776BD"/>
    <w:rsid w:val="00280297"/>
    <w:rsid w:val="002803A2"/>
    <w:rsid w:val="00281560"/>
    <w:rsid w:val="00281D66"/>
    <w:rsid w:val="0028272B"/>
    <w:rsid w:val="00282A17"/>
    <w:rsid w:val="00283D74"/>
    <w:rsid w:val="0028404C"/>
    <w:rsid w:val="00284B33"/>
    <w:rsid w:val="00285169"/>
    <w:rsid w:val="00285300"/>
    <w:rsid w:val="00285DEE"/>
    <w:rsid w:val="0028602C"/>
    <w:rsid w:val="00286200"/>
    <w:rsid w:val="002900DE"/>
    <w:rsid w:val="0029043D"/>
    <w:rsid w:val="00291295"/>
    <w:rsid w:val="00291AA4"/>
    <w:rsid w:val="00291BBC"/>
    <w:rsid w:val="00292753"/>
    <w:rsid w:val="002929B6"/>
    <w:rsid w:val="00292C55"/>
    <w:rsid w:val="0029435A"/>
    <w:rsid w:val="00294BB3"/>
    <w:rsid w:val="00295209"/>
    <w:rsid w:val="00295CC6"/>
    <w:rsid w:val="00296495"/>
    <w:rsid w:val="002966A4"/>
    <w:rsid w:val="002A0551"/>
    <w:rsid w:val="002A0B37"/>
    <w:rsid w:val="002A0F6E"/>
    <w:rsid w:val="002A27BF"/>
    <w:rsid w:val="002A2BDC"/>
    <w:rsid w:val="002A314E"/>
    <w:rsid w:val="002A45BB"/>
    <w:rsid w:val="002A4A68"/>
    <w:rsid w:val="002A52D0"/>
    <w:rsid w:val="002A5E7B"/>
    <w:rsid w:val="002A5F94"/>
    <w:rsid w:val="002A7D83"/>
    <w:rsid w:val="002B0302"/>
    <w:rsid w:val="002B09A4"/>
    <w:rsid w:val="002B09D8"/>
    <w:rsid w:val="002B318B"/>
    <w:rsid w:val="002B3865"/>
    <w:rsid w:val="002B7753"/>
    <w:rsid w:val="002C010A"/>
    <w:rsid w:val="002C0123"/>
    <w:rsid w:val="002C0BEC"/>
    <w:rsid w:val="002C1E38"/>
    <w:rsid w:val="002C22D1"/>
    <w:rsid w:val="002C2450"/>
    <w:rsid w:val="002C45F1"/>
    <w:rsid w:val="002C5729"/>
    <w:rsid w:val="002C5F5B"/>
    <w:rsid w:val="002C66ED"/>
    <w:rsid w:val="002C6F41"/>
    <w:rsid w:val="002C79FC"/>
    <w:rsid w:val="002D04A2"/>
    <w:rsid w:val="002D0D41"/>
    <w:rsid w:val="002D147D"/>
    <w:rsid w:val="002D2C44"/>
    <w:rsid w:val="002D2E8C"/>
    <w:rsid w:val="002D369E"/>
    <w:rsid w:val="002D4AA5"/>
    <w:rsid w:val="002D4FE8"/>
    <w:rsid w:val="002D560D"/>
    <w:rsid w:val="002D5813"/>
    <w:rsid w:val="002D5D76"/>
    <w:rsid w:val="002D68B5"/>
    <w:rsid w:val="002D6A5A"/>
    <w:rsid w:val="002D79A1"/>
    <w:rsid w:val="002D7DB9"/>
    <w:rsid w:val="002E08FF"/>
    <w:rsid w:val="002E0E9D"/>
    <w:rsid w:val="002E176B"/>
    <w:rsid w:val="002E2212"/>
    <w:rsid w:val="002E2B41"/>
    <w:rsid w:val="002E2F03"/>
    <w:rsid w:val="002E3548"/>
    <w:rsid w:val="002E3707"/>
    <w:rsid w:val="002E37E5"/>
    <w:rsid w:val="002E4057"/>
    <w:rsid w:val="002E42A5"/>
    <w:rsid w:val="002E4C52"/>
    <w:rsid w:val="002E50AA"/>
    <w:rsid w:val="002E543E"/>
    <w:rsid w:val="002E5C90"/>
    <w:rsid w:val="002E6207"/>
    <w:rsid w:val="002E6580"/>
    <w:rsid w:val="002E6DD3"/>
    <w:rsid w:val="002E7434"/>
    <w:rsid w:val="002F104C"/>
    <w:rsid w:val="002F1772"/>
    <w:rsid w:val="002F2A87"/>
    <w:rsid w:val="002F3496"/>
    <w:rsid w:val="002F3668"/>
    <w:rsid w:val="002F3E10"/>
    <w:rsid w:val="002F3E15"/>
    <w:rsid w:val="002F650E"/>
    <w:rsid w:val="002F71F5"/>
    <w:rsid w:val="002F7360"/>
    <w:rsid w:val="00300B9F"/>
    <w:rsid w:val="00300E0C"/>
    <w:rsid w:val="00301630"/>
    <w:rsid w:val="00301B4D"/>
    <w:rsid w:val="003020F8"/>
    <w:rsid w:val="00302186"/>
    <w:rsid w:val="00303341"/>
    <w:rsid w:val="003034AF"/>
    <w:rsid w:val="00303806"/>
    <w:rsid w:val="00304A5B"/>
    <w:rsid w:val="00304AC8"/>
    <w:rsid w:val="0030593A"/>
    <w:rsid w:val="00305DF7"/>
    <w:rsid w:val="00306228"/>
    <w:rsid w:val="003073BA"/>
    <w:rsid w:val="0031109B"/>
    <w:rsid w:val="0031187C"/>
    <w:rsid w:val="00311B7E"/>
    <w:rsid w:val="00312B69"/>
    <w:rsid w:val="0031320D"/>
    <w:rsid w:val="00313CE1"/>
    <w:rsid w:val="003142D9"/>
    <w:rsid w:val="003149B4"/>
    <w:rsid w:val="0031514B"/>
    <w:rsid w:val="00316C78"/>
    <w:rsid w:val="003170E4"/>
    <w:rsid w:val="00317593"/>
    <w:rsid w:val="00317CD0"/>
    <w:rsid w:val="00317F40"/>
    <w:rsid w:val="0032064E"/>
    <w:rsid w:val="00320F90"/>
    <w:rsid w:val="003220D6"/>
    <w:rsid w:val="00322381"/>
    <w:rsid w:val="00323548"/>
    <w:rsid w:val="00323F3A"/>
    <w:rsid w:val="00324041"/>
    <w:rsid w:val="00325082"/>
    <w:rsid w:val="003251AC"/>
    <w:rsid w:val="00325AED"/>
    <w:rsid w:val="003261BA"/>
    <w:rsid w:val="003268C4"/>
    <w:rsid w:val="0032702E"/>
    <w:rsid w:val="003273B9"/>
    <w:rsid w:val="00331031"/>
    <w:rsid w:val="0033137E"/>
    <w:rsid w:val="00331F0A"/>
    <w:rsid w:val="0033266B"/>
    <w:rsid w:val="00332915"/>
    <w:rsid w:val="0033308C"/>
    <w:rsid w:val="003346E3"/>
    <w:rsid w:val="0033541C"/>
    <w:rsid w:val="0033550D"/>
    <w:rsid w:val="00335BA4"/>
    <w:rsid w:val="0033681F"/>
    <w:rsid w:val="00340AEA"/>
    <w:rsid w:val="00340C8E"/>
    <w:rsid w:val="00340E7C"/>
    <w:rsid w:val="00341B62"/>
    <w:rsid w:val="00344617"/>
    <w:rsid w:val="00344FFD"/>
    <w:rsid w:val="00345A03"/>
    <w:rsid w:val="00345BD6"/>
    <w:rsid w:val="00347CD5"/>
    <w:rsid w:val="00350AFD"/>
    <w:rsid w:val="00350D1F"/>
    <w:rsid w:val="00350DF3"/>
    <w:rsid w:val="00350F23"/>
    <w:rsid w:val="0035109F"/>
    <w:rsid w:val="003515F7"/>
    <w:rsid w:val="00351E29"/>
    <w:rsid w:val="00352C3A"/>
    <w:rsid w:val="00353614"/>
    <w:rsid w:val="003544F6"/>
    <w:rsid w:val="003551B5"/>
    <w:rsid w:val="00355D3D"/>
    <w:rsid w:val="00355FFB"/>
    <w:rsid w:val="00356C96"/>
    <w:rsid w:val="00360CAE"/>
    <w:rsid w:val="00361BBD"/>
    <w:rsid w:val="00362E16"/>
    <w:rsid w:val="003636D5"/>
    <w:rsid w:val="00363A12"/>
    <w:rsid w:val="00363A4D"/>
    <w:rsid w:val="00363D14"/>
    <w:rsid w:val="0036425D"/>
    <w:rsid w:val="00364780"/>
    <w:rsid w:val="00365BAD"/>
    <w:rsid w:val="00365F97"/>
    <w:rsid w:val="0036766B"/>
    <w:rsid w:val="00370F7F"/>
    <w:rsid w:val="00372345"/>
    <w:rsid w:val="0037291C"/>
    <w:rsid w:val="00372B9C"/>
    <w:rsid w:val="003735C4"/>
    <w:rsid w:val="0037379B"/>
    <w:rsid w:val="003750E6"/>
    <w:rsid w:val="003751B6"/>
    <w:rsid w:val="00375C74"/>
    <w:rsid w:val="00376A57"/>
    <w:rsid w:val="00377DC8"/>
    <w:rsid w:val="003812AD"/>
    <w:rsid w:val="00381943"/>
    <w:rsid w:val="0038225F"/>
    <w:rsid w:val="0038310E"/>
    <w:rsid w:val="00383852"/>
    <w:rsid w:val="0038398B"/>
    <w:rsid w:val="00383A10"/>
    <w:rsid w:val="0038546C"/>
    <w:rsid w:val="003857D7"/>
    <w:rsid w:val="0038693B"/>
    <w:rsid w:val="0039025A"/>
    <w:rsid w:val="00390C0E"/>
    <w:rsid w:val="00391CF2"/>
    <w:rsid w:val="00392D84"/>
    <w:rsid w:val="00392E31"/>
    <w:rsid w:val="00392E75"/>
    <w:rsid w:val="00393271"/>
    <w:rsid w:val="0039357E"/>
    <w:rsid w:val="00393749"/>
    <w:rsid w:val="00393C48"/>
    <w:rsid w:val="00393F95"/>
    <w:rsid w:val="00394A7E"/>
    <w:rsid w:val="0039513F"/>
    <w:rsid w:val="00395EE8"/>
    <w:rsid w:val="0039616D"/>
    <w:rsid w:val="0039640D"/>
    <w:rsid w:val="00396CE6"/>
    <w:rsid w:val="00397148"/>
    <w:rsid w:val="0039742D"/>
    <w:rsid w:val="003976EE"/>
    <w:rsid w:val="003978F5"/>
    <w:rsid w:val="00397E78"/>
    <w:rsid w:val="003A08C9"/>
    <w:rsid w:val="003A0E38"/>
    <w:rsid w:val="003A1595"/>
    <w:rsid w:val="003A16F3"/>
    <w:rsid w:val="003A1A75"/>
    <w:rsid w:val="003A1BFC"/>
    <w:rsid w:val="003A3B75"/>
    <w:rsid w:val="003A3E2F"/>
    <w:rsid w:val="003A3F6D"/>
    <w:rsid w:val="003A4514"/>
    <w:rsid w:val="003A47C1"/>
    <w:rsid w:val="003A5892"/>
    <w:rsid w:val="003A5DCF"/>
    <w:rsid w:val="003A6F60"/>
    <w:rsid w:val="003A77E3"/>
    <w:rsid w:val="003A7EA8"/>
    <w:rsid w:val="003B00DA"/>
    <w:rsid w:val="003B029A"/>
    <w:rsid w:val="003B0C3A"/>
    <w:rsid w:val="003B0DBF"/>
    <w:rsid w:val="003B1225"/>
    <w:rsid w:val="003B1909"/>
    <w:rsid w:val="003B1BC5"/>
    <w:rsid w:val="003B1D41"/>
    <w:rsid w:val="003B1ECA"/>
    <w:rsid w:val="003B20AF"/>
    <w:rsid w:val="003B2655"/>
    <w:rsid w:val="003B301E"/>
    <w:rsid w:val="003B3458"/>
    <w:rsid w:val="003B4569"/>
    <w:rsid w:val="003B4BB2"/>
    <w:rsid w:val="003B53F6"/>
    <w:rsid w:val="003B544F"/>
    <w:rsid w:val="003B6038"/>
    <w:rsid w:val="003B6449"/>
    <w:rsid w:val="003B747C"/>
    <w:rsid w:val="003C1291"/>
    <w:rsid w:val="003C26D6"/>
    <w:rsid w:val="003C5AC9"/>
    <w:rsid w:val="003C64B5"/>
    <w:rsid w:val="003C67E3"/>
    <w:rsid w:val="003C7105"/>
    <w:rsid w:val="003C736E"/>
    <w:rsid w:val="003D019D"/>
    <w:rsid w:val="003D0819"/>
    <w:rsid w:val="003D1DB1"/>
    <w:rsid w:val="003D2FE7"/>
    <w:rsid w:val="003D3153"/>
    <w:rsid w:val="003D36FC"/>
    <w:rsid w:val="003D3752"/>
    <w:rsid w:val="003D3DF1"/>
    <w:rsid w:val="003D4723"/>
    <w:rsid w:val="003D7596"/>
    <w:rsid w:val="003D7C79"/>
    <w:rsid w:val="003D7D56"/>
    <w:rsid w:val="003E0AF1"/>
    <w:rsid w:val="003E0C5B"/>
    <w:rsid w:val="003E0D52"/>
    <w:rsid w:val="003E1310"/>
    <w:rsid w:val="003E1AD7"/>
    <w:rsid w:val="003E2E05"/>
    <w:rsid w:val="003E3D76"/>
    <w:rsid w:val="003E4286"/>
    <w:rsid w:val="003E48E7"/>
    <w:rsid w:val="003E4B9E"/>
    <w:rsid w:val="003E4F06"/>
    <w:rsid w:val="003E5580"/>
    <w:rsid w:val="003E59C1"/>
    <w:rsid w:val="003F10F3"/>
    <w:rsid w:val="003F131B"/>
    <w:rsid w:val="003F2EAA"/>
    <w:rsid w:val="003F2F6F"/>
    <w:rsid w:val="003F3569"/>
    <w:rsid w:val="003F368E"/>
    <w:rsid w:val="003F4723"/>
    <w:rsid w:val="003F4C71"/>
    <w:rsid w:val="003F4C9B"/>
    <w:rsid w:val="003F564D"/>
    <w:rsid w:val="003F565C"/>
    <w:rsid w:val="003F58DA"/>
    <w:rsid w:val="003F5E79"/>
    <w:rsid w:val="003F7186"/>
    <w:rsid w:val="003F796E"/>
    <w:rsid w:val="004007AC"/>
    <w:rsid w:val="00401424"/>
    <w:rsid w:val="00402F9F"/>
    <w:rsid w:val="0040320A"/>
    <w:rsid w:val="00403586"/>
    <w:rsid w:val="00404FFB"/>
    <w:rsid w:val="00406058"/>
    <w:rsid w:val="00407599"/>
    <w:rsid w:val="0041012C"/>
    <w:rsid w:val="004105D5"/>
    <w:rsid w:val="00411B38"/>
    <w:rsid w:val="004128F7"/>
    <w:rsid w:val="00412D60"/>
    <w:rsid w:val="00412FA4"/>
    <w:rsid w:val="004162FB"/>
    <w:rsid w:val="00416805"/>
    <w:rsid w:val="00416958"/>
    <w:rsid w:val="00417291"/>
    <w:rsid w:val="004173D1"/>
    <w:rsid w:val="004204FA"/>
    <w:rsid w:val="00421191"/>
    <w:rsid w:val="00421992"/>
    <w:rsid w:val="0042259C"/>
    <w:rsid w:val="0042273C"/>
    <w:rsid w:val="00422BB3"/>
    <w:rsid w:val="00423723"/>
    <w:rsid w:val="00424298"/>
    <w:rsid w:val="00425A14"/>
    <w:rsid w:val="00427235"/>
    <w:rsid w:val="0043003B"/>
    <w:rsid w:val="00430365"/>
    <w:rsid w:val="00431E0C"/>
    <w:rsid w:val="004334E7"/>
    <w:rsid w:val="0043390B"/>
    <w:rsid w:val="00435781"/>
    <w:rsid w:val="00435FB0"/>
    <w:rsid w:val="004366B2"/>
    <w:rsid w:val="0043733A"/>
    <w:rsid w:val="00437935"/>
    <w:rsid w:val="0044169B"/>
    <w:rsid w:val="004416EB"/>
    <w:rsid w:val="0044177D"/>
    <w:rsid w:val="004419DA"/>
    <w:rsid w:val="00441B26"/>
    <w:rsid w:val="00441F83"/>
    <w:rsid w:val="004428A9"/>
    <w:rsid w:val="00442BE8"/>
    <w:rsid w:val="00442E3C"/>
    <w:rsid w:val="00443A29"/>
    <w:rsid w:val="004447B7"/>
    <w:rsid w:val="00444844"/>
    <w:rsid w:val="00446EED"/>
    <w:rsid w:val="00447D10"/>
    <w:rsid w:val="004502BE"/>
    <w:rsid w:val="00450E88"/>
    <w:rsid w:val="004512A4"/>
    <w:rsid w:val="004517FD"/>
    <w:rsid w:val="004518EC"/>
    <w:rsid w:val="004519E8"/>
    <w:rsid w:val="004525CB"/>
    <w:rsid w:val="0045418E"/>
    <w:rsid w:val="00454977"/>
    <w:rsid w:val="00454D28"/>
    <w:rsid w:val="004555F7"/>
    <w:rsid w:val="00455A9B"/>
    <w:rsid w:val="00456121"/>
    <w:rsid w:val="004561FF"/>
    <w:rsid w:val="004564B3"/>
    <w:rsid w:val="00456C43"/>
    <w:rsid w:val="004577E6"/>
    <w:rsid w:val="004604DB"/>
    <w:rsid w:val="00461149"/>
    <w:rsid w:val="00463960"/>
    <w:rsid w:val="00463AD6"/>
    <w:rsid w:val="00463E95"/>
    <w:rsid w:val="0046452F"/>
    <w:rsid w:val="00464A6D"/>
    <w:rsid w:val="00464C20"/>
    <w:rsid w:val="00465515"/>
    <w:rsid w:val="00465750"/>
    <w:rsid w:val="004659F7"/>
    <w:rsid w:val="00465C11"/>
    <w:rsid w:val="00465E33"/>
    <w:rsid w:val="0047111F"/>
    <w:rsid w:val="00472276"/>
    <w:rsid w:val="0047289C"/>
    <w:rsid w:val="00472AF7"/>
    <w:rsid w:val="004730B7"/>
    <w:rsid w:val="00473F6C"/>
    <w:rsid w:val="0047453C"/>
    <w:rsid w:val="00474BD0"/>
    <w:rsid w:val="00474FA0"/>
    <w:rsid w:val="004753C8"/>
    <w:rsid w:val="00475851"/>
    <w:rsid w:val="0048101B"/>
    <w:rsid w:val="00481030"/>
    <w:rsid w:val="00481F34"/>
    <w:rsid w:val="00482951"/>
    <w:rsid w:val="004832E2"/>
    <w:rsid w:val="0048584F"/>
    <w:rsid w:val="0048727A"/>
    <w:rsid w:val="004911CD"/>
    <w:rsid w:val="00491853"/>
    <w:rsid w:val="004932B2"/>
    <w:rsid w:val="004936BB"/>
    <w:rsid w:val="00493BC9"/>
    <w:rsid w:val="00493F89"/>
    <w:rsid w:val="00496023"/>
    <w:rsid w:val="00496B4F"/>
    <w:rsid w:val="00496DE9"/>
    <w:rsid w:val="00496EFE"/>
    <w:rsid w:val="004A0103"/>
    <w:rsid w:val="004A0345"/>
    <w:rsid w:val="004A11C0"/>
    <w:rsid w:val="004A141E"/>
    <w:rsid w:val="004A29D8"/>
    <w:rsid w:val="004A2C77"/>
    <w:rsid w:val="004A3120"/>
    <w:rsid w:val="004A4436"/>
    <w:rsid w:val="004A4873"/>
    <w:rsid w:val="004A4BE7"/>
    <w:rsid w:val="004A526A"/>
    <w:rsid w:val="004A6D4E"/>
    <w:rsid w:val="004A735B"/>
    <w:rsid w:val="004A75E5"/>
    <w:rsid w:val="004B07D7"/>
    <w:rsid w:val="004B1423"/>
    <w:rsid w:val="004B31E1"/>
    <w:rsid w:val="004B3C56"/>
    <w:rsid w:val="004B50A5"/>
    <w:rsid w:val="004B5508"/>
    <w:rsid w:val="004B5634"/>
    <w:rsid w:val="004B61E5"/>
    <w:rsid w:val="004B66AF"/>
    <w:rsid w:val="004B72D2"/>
    <w:rsid w:val="004B7410"/>
    <w:rsid w:val="004C0B28"/>
    <w:rsid w:val="004C1EF4"/>
    <w:rsid w:val="004C38C7"/>
    <w:rsid w:val="004C44A5"/>
    <w:rsid w:val="004C66AB"/>
    <w:rsid w:val="004C6EDD"/>
    <w:rsid w:val="004C727F"/>
    <w:rsid w:val="004C7A04"/>
    <w:rsid w:val="004D025D"/>
    <w:rsid w:val="004D043A"/>
    <w:rsid w:val="004D04EE"/>
    <w:rsid w:val="004D0CF9"/>
    <w:rsid w:val="004D0DB0"/>
    <w:rsid w:val="004D102F"/>
    <w:rsid w:val="004D117C"/>
    <w:rsid w:val="004D1269"/>
    <w:rsid w:val="004D169D"/>
    <w:rsid w:val="004D1CA1"/>
    <w:rsid w:val="004D4000"/>
    <w:rsid w:val="004D495E"/>
    <w:rsid w:val="004D4DA4"/>
    <w:rsid w:val="004D63F2"/>
    <w:rsid w:val="004D68CB"/>
    <w:rsid w:val="004D6B62"/>
    <w:rsid w:val="004D6BEF"/>
    <w:rsid w:val="004D7015"/>
    <w:rsid w:val="004D7B7F"/>
    <w:rsid w:val="004E04E7"/>
    <w:rsid w:val="004E1B5E"/>
    <w:rsid w:val="004E1DFC"/>
    <w:rsid w:val="004E1F06"/>
    <w:rsid w:val="004E22FF"/>
    <w:rsid w:val="004E23F6"/>
    <w:rsid w:val="004E2EB3"/>
    <w:rsid w:val="004E3984"/>
    <w:rsid w:val="004E3D1A"/>
    <w:rsid w:val="004E416B"/>
    <w:rsid w:val="004E41A6"/>
    <w:rsid w:val="004E502B"/>
    <w:rsid w:val="004E5602"/>
    <w:rsid w:val="004E5935"/>
    <w:rsid w:val="004E5E14"/>
    <w:rsid w:val="004F04D2"/>
    <w:rsid w:val="004F2724"/>
    <w:rsid w:val="004F2ADE"/>
    <w:rsid w:val="004F2CAE"/>
    <w:rsid w:val="004F405D"/>
    <w:rsid w:val="004F44A6"/>
    <w:rsid w:val="004F53D7"/>
    <w:rsid w:val="004F79E0"/>
    <w:rsid w:val="00500353"/>
    <w:rsid w:val="00501862"/>
    <w:rsid w:val="00502502"/>
    <w:rsid w:val="00503CAF"/>
    <w:rsid w:val="005041C9"/>
    <w:rsid w:val="0050491E"/>
    <w:rsid w:val="00505EAA"/>
    <w:rsid w:val="0050635B"/>
    <w:rsid w:val="00506F58"/>
    <w:rsid w:val="00506F8A"/>
    <w:rsid w:val="00507E07"/>
    <w:rsid w:val="00511470"/>
    <w:rsid w:val="00511527"/>
    <w:rsid w:val="005117AA"/>
    <w:rsid w:val="00512C66"/>
    <w:rsid w:val="005130F0"/>
    <w:rsid w:val="005137FB"/>
    <w:rsid w:val="00513D7B"/>
    <w:rsid w:val="00514559"/>
    <w:rsid w:val="005148F8"/>
    <w:rsid w:val="00514E26"/>
    <w:rsid w:val="0051770C"/>
    <w:rsid w:val="00521BB8"/>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23"/>
    <w:rsid w:val="00531F76"/>
    <w:rsid w:val="005343B4"/>
    <w:rsid w:val="005349F2"/>
    <w:rsid w:val="00534E19"/>
    <w:rsid w:val="00535DC4"/>
    <w:rsid w:val="0053643D"/>
    <w:rsid w:val="005364FB"/>
    <w:rsid w:val="00536BBC"/>
    <w:rsid w:val="00540510"/>
    <w:rsid w:val="00540BB8"/>
    <w:rsid w:val="00541903"/>
    <w:rsid w:val="00542039"/>
    <w:rsid w:val="005421E9"/>
    <w:rsid w:val="00542AA7"/>
    <w:rsid w:val="00542ABF"/>
    <w:rsid w:val="0054340F"/>
    <w:rsid w:val="00543B24"/>
    <w:rsid w:val="005442C8"/>
    <w:rsid w:val="00544366"/>
    <w:rsid w:val="00544B41"/>
    <w:rsid w:val="00545883"/>
    <w:rsid w:val="005468F3"/>
    <w:rsid w:val="00552501"/>
    <w:rsid w:val="00554BEE"/>
    <w:rsid w:val="0055504E"/>
    <w:rsid w:val="005555EA"/>
    <w:rsid w:val="00555C8B"/>
    <w:rsid w:val="005575B3"/>
    <w:rsid w:val="00557A4C"/>
    <w:rsid w:val="00557C99"/>
    <w:rsid w:val="00560011"/>
    <w:rsid w:val="00560F4E"/>
    <w:rsid w:val="005613E9"/>
    <w:rsid w:val="0056158A"/>
    <w:rsid w:val="0056171D"/>
    <w:rsid w:val="0056179D"/>
    <w:rsid w:val="005618E0"/>
    <w:rsid w:val="00561D65"/>
    <w:rsid w:val="0056221C"/>
    <w:rsid w:val="00562386"/>
    <w:rsid w:val="0056249B"/>
    <w:rsid w:val="00563DF9"/>
    <w:rsid w:val="005644C0"/>
    <w:rsid w:val="0056461A"/>
    <w:rsid w:val="00564B4E"/>
    <w:rsid w:val="00566127"/>
    <w:rsid w:val="00566E2E"/>
    <w:rsid w:val="005679F0"/>
    <w:rsid w:val="0057062D"/>
    <w:rsid w:val="00570661"/>
    <w:rsid w:val="00570CE8"/>
    <w:rsid w:val="00570F30"/>
    <w:rsid w:val="00570F48"/>
    <w:rsid w:val="00570FC4"/>
    <w:rsid w:val="005731AD"/>
    <w:rsid w:val="00573951"/>
    <w:rsid w:val="0057395D"/>
    <w:rsid w:val="005745AF"/>
    <w:rsid w:val="005779AB"/>
    <w:rsid w:val="005801A9"/>
    <w:rsid w:val="00581931"/>
    <w:rsid w:val="005823C6"/>
    <w:rsid w:val="00584B13"/>
    <w:rsid w:val="00584C2B"/>
    <w:rsid w:val="00584C71"/>
    <w:rsid w:val="00585044"/>
    <w:rsid w:val="00586B27"/>
    <w:rsid w:val="00586C7A"/>
    <w:rsid w:val="005877F0"/>
    <w:rsid w:val="00587B50"/>
    <w:rsid w:val="00587BB9"/>
    <w:rsid w:val="00587CBD"/>
    <w:rsid w:val="00590C30"/>
    <w:rsid w:val="00591172"/>
    <w:rsid w:val="00591202"/>
    <w:rsid w:val="005934A4"/>
    <w:rsid w:val="005938A8"/>
    <w:rsid w:val="00593B92"/>
    <w:rsid w:val="00593DD8"/>
    <w:rsid w:val="00593F77"/>
    <w:rsid w:val="00595803"/>
    <w:rsid w:val="005975E1"/>
    <w:rsid w:val="00597AC2"/>
    <w:rsid w:val="00597B55"/>
    <w:rsid w:val="005A0370"/>
    <w:rsid w:val="005A0E31"/>
    <w:rsid w:val="005A0E84"/>
    <w:rsid w:val="005A0EA6"/>
    <w:rsid w:val="005A21E4"/>
    <w:rsid w:val="005A35F1"/>
    <w:rsid w:val="005A3722"/>
    <w:rsid w:val="005A3A67"/>
    <w:rsid w:val="005A45C5"/>
    <w:rsid w:val="005A4A1F"/>
    <w:rsid w:val="005A4D62"/>
    <w:rsid w:val="005A5298"/>
    <w:rsid w:val="005A52FA"/>
    <w:rsid w:val="005A545D"/>
    <w:rsid w:val="005A566B"/>
    <w:rsid w:val="005A5AD1"/>
    <w:rsid w:val="005A65FD"/>
    <w:rsid w:val="005A6A0D"/>
    <w:rsid w:val="005A76A8"/>
    <w:rsid w:val="005A76B7"/>
    <w:rsid w:val="005A77A1"/>
    <w:rsid w:val="005A790C"/>
    <w:rsid w:val="005B063C"/>
    <w:rsid w:val="005B0663"/>
    <w:rsid w:val="005B0F25"/>
    <w:rsid w:val="005B13D6"/>
    <w:rsid w:val="005B1502"/>
    <w:rsid w:val="005B1784"/>
    <w:rsid w:val="005B2143"/>
    <w:rsid w:val="005B281E"/>
    <w:rsid w:val="005B32B3"/>
    <w:rsid w:val="005B3813"/>
    <w:rsid w:val="005B3876"/>
    <w:rsid w:val="005B40E2"/>
    <w:rsid w:val="005B4350"/>
    <w:rsid w:val="005B5D96"/>
    <w:rsid w:val="005B7A8F"/>
    <w:rsid w:val="005C1097"/>
    <w:rsid w:val="005C1D38"/>
    <w:rsid w:val="005C1F80"/>
    <w:rsid w:val="005C24E3"/>
    <w:rsid w:val="005C3807"/>
    <w:rsid w:val="005C5277"/>
    <w:rsid w:val="005C56CB"/>
    <w:rsid w:val="005C5980"/>
    <w:rsid w:val="005C61AE"/>
    <w:rsid w:val="005C629F"/>
    <w:rsid w:val="005C6400"/>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15C"/>
    <w:rsid w:val="005D75C9"/>
    <w:rsid w:val="005E028D"/>
    <w:rsid w:val="005E05C5"/>
    <w:rsid w:val="005E13B1"/>
    <w:rsid w:val="005E13F3"/>
    <w:rsid w:val="005E1846"/>
    <w:rsid w:val="005E1B5C"/>
    <w:rsid w:val="005E244C"/>
    <w:rsid w:val="005E27F2"/>
    <w:rsid w:val="005E2842"/>
    <w:rsid w:val="005E3A34"/>
    <w:rsid w:val="005E4526"/>
    <w:rsid w:val="005E49CA"/>
    <w:rsid w:val="005E53B5"/>
    <w:rsid w:val="005E5625"/>
    <w:rsid w:val="005E5FFE"/>
    <w:rsid w:val="005E764E"/>
    <w:rsid w:val="005E77D8"/>
    <w:rsid w:val="005F0F34"/>
    <w:rsid w:val="005F1E83"/>
    <w:rsid w:val="005F23BD"/>
    <w:rsid w:val="005F3BC3"/>
    <w:rsid w:val="005F4228"/>
    <w:rsid w:val="005F499B"/>
    <w:rsid w:val="005F5096"/>
    <w:rsid w:val="005F6C0F"/>
    <w:rsid w:val="005F7C5B"/>
    <w:rsid w:val="006004C7"/>
    <w:rsid w:val="006006D3"/>
    <w:rsid w:val="00601A21"/>
    <w:rsid w:val="00602601"/>
    <w:rsid w:val="00602974"/>
    <w:rsid w:val="00603711"/>
    <w:rsid w:val="00603A36"/>
    <w:rsid w:val="0060458F"/>
    <w:rsid w:val="00604B0A"/>
    <w:rsid w:val="00604BE8"/>
    <w:rsid w:val="006055AA"/>
    <w:rsid w:val="006061CA"/>
    <w:rsid w:val="00607BDE"/>
    <w:rsid w:val="00610B01"/>
    <w:rsid w:val="00612280"/>
    <w:rsid w:val="00612ACC"/>
    <w:rsid w:val="006135E2"/>
    <w:rsid w:val="0061367F"/>
    <w:rsid w:val="00614DC3"/>
    <w:rsid w:val="00614E60"/>
    <w:rsid w:val="00614EAD"/>
    <w:rsid w:val="006151B1"/>
    <w:rsid w:val="00615330"/>
    <w:rsid w:val="00615613"/>
    <w:rsid w:val="00615616"/>
    <w:rsid w:val="00616EF2"/>
    <w:rsid w:val="00617FE7"/>
    <w:rsid w:val="00622D14"/>
    <w:rsid w:val="00623499"/>
    <w:rsid w:val="00624432"/>
    <w:rsid w:val="00624543"/>
    <w:rsid w:val="00624C29"/>
    <w:rsid w:val="0062566F"/>
    <w:rsid w:val="00625A0D"/>
    <w:rsid w:val="00626CC2"/>
    <w:rsid w:val="00627B36"/>
    <w:rsid w:val="00627C2B"/>
    <w:rsid w:val="00630E2A"/>
    <w:rsid w:val="00630FDC"/>
    <w:rsid w:val="00631083"/>
    <w:rsid w:val="00631D85"/>
    <w:rsid w:val="00632159"/>
    <w:rsid w:val="0063230A"/>
    <w:rsid w:val="0063284D"/>
    <w:rsid w:val="006329BF"/>
    <w:rsid w:val="00632BAE"/>
    <w:rsid w:val="00633A18"/>
    <w:rsid w:val="006347C2"/>
    <w:rsid w:val="00635A9A"/>
    <w:rsid w:val="00635D6A"/>
    <w:rsid w:val="00636690"/>
    <w:rsid w:val="00636710"/>
    <w:rsid w:val="006369FC"/>
    <w:rsid w:val="00637417"/>
    <w:rsid w:val="00640157"/>
    <w:rsid w:val="00640CF5"/>
    <w:rsid w:val="006416DF"/>
    <w:rsid w:val="00642B00"/>
    <w:rsid w:val="006434A1"/>
    <w:rsid w:val="0064353A"/>
    <w:rsid w:val="00643703"/>
    <w:rsid w:val="00643760"/>
    <w:rsid w:val="006438BD"/>
    <w:rsid w:val="00643B0E"/>
    <w:rsid w:val="00643E50"/>
    <w:rsid w:val="00643F0A"/>
    <w:rsid w:val="00644237"/>
    <w:rsid w:val="00644907"/>
    <w:rsid w:val="00644E36"/>
    <w:rsid w:val="0064512F"/>
    <w:rsid w:val="006454AE"/>
    <w:rsid w:val="006506B8"/>
    <w:rsid w:val="0065082B"/>
    <w:rsid w:val="00650D7D"/>
    <w:rsid w:val="00650E43"/>
    <w:rsid w:val="00652BC0"/>
    <w:rsid w:val="0065378C"/>
    <w:rsid w:val="00653C77"/>
    <w:rsid w:val="00653F5B"/>
    <w:rsid w:val="0065434D"/>
    <w:rsid w:val="00654780"/>
    <w:rsid w:val="006547B1"/>
    <w:rsid w:val="00654831"/>
    <w:rsid w:val="0065519D"/>
    <w:rsid w:val="006562EE"/>
    <w:rsid w:val="00657568"/>
    <w:rsid w:val="0066094B"/>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E64"/>
    <w:rsid w:val="00686855"/>
    <w:rsid w:val="0068707B"/>
    <w:rsid w:val="0068723A"/>
    <w:rsid w:val="00690082"/>
    <w:rsid w:val="0069053B"/>
    <w:rsid w:val="00690D19"/>
    <w:rsid w:val="0069127F"/>
    <w:rsid w:val="006919A6"/>
    <w:rsid w:val="00691E75"/>
    <w:rsid w:val="00692F33"/>
    <w:rsid w:val="0069337A"/>
    <w:rsid w:val="006943B1"/>
    <w:rsid w:val="00694720"/>
    <w:rsid w:val="00694936"/>
    <w:rsid w:val="00696795"/>
    <w:rsid w:val="006A0039"/>
    <w:rsid w:val="006A072E"/>
    <w:rsid w:val="006A19C4"/>
    <w:rsid w:val="006A1A77"/>
    <w:rsid w:val="006A2452"/>
    <w:rsid w:val="006A328C"/>
    <w:rsid w:val="006A3BED"/>
    <w:rsid w:val="006A3ECC"/>
    <w:rsid w:val="006A45F1"/>
    <w:rsid w:val="006A5688"/>
    <w:rsid w:val="006A5F7A"/>
    <w:rsid w:val="006A66E5"/>
    <w:rsid w:val="006A7F9D"/>
    <w:rsid w:val="006B0596"/>
    <w:rsid w:val="006B2883"/>
    <w:rsid w:val="006B32F4"/>
    <w:rsid w:val="006B3FCE"/>
    <w:rsid w:val="006B69CB"/>
    <w:rsid w:val="006B6F17"/>
    <w:rsid w:val="006C1767"/>
    <w:rsid w:val="006C1DBB"/>
    <w:rsid w:val="006C2BA5"/>
    <w:rsid w:val="006C3CE4"/>
    <w:rsid w:val="006C4625"/>
    <w:rsid w:val="006C5148"/>
    <w:rsid w:val="006C5A83"/>
    <w:rsid w:val="006C65E4"/>
    <w:rsid w:val="006C682F"/>
    <w:rsid w:val="006C7585"/>
    <w:rsid w:val="006D07A0"/>
    <w:rsid w:val="006D14FD"/>
    <w:rsid w:val="006D17DA"/>
    <w:rsid w:val="006D188C"/>
    <w:rsid w:val="006D225F"/>
    <w:rsid w:val="006D23BD"/>
    <w:rsid w:val="006D3576"/>
    <w:rsid w:val="006D3D2C"/>
    <w:rsid w:val="006D41F5"/>
    <w:rsid w:val="006D464E"/>
    <w:rsid w:val="006D4C30"/>
    <w:rsid w:val="006E0E98"/>
    <w:rsid w:val="006E179C"/>
    <w:rsid w:val="006E2686"/>
    <w:rsid w:val="006E2A0C"/>
    <w:rsid w:val="006E2A23"/>
    <w:rsid w:val="006E2AB8"/>
    <w:rsid w:val="006E41DF"/>
    <w:rsid w:val="006E52C6"/>
    <w:rsid w:val="006E5FAD"/>
    <w:rsid w:val="006E6736"/>
    <w:rsid w:val="006E68EA"/>
    <w:rsid w:val="006E70B0"/>
    <w:rsid w:val="006E7D85"/>
    <w:rsid w:val="006F033A"/>
    <w:rsid w:val="006F0781"/>
    <w:rsid w:val="006F10AA"/>
    <w:rsid w:val="006F12B4"/>
    <w:rsid w:val="006F2186"/>
    <w:rsid w:val="006F3394"/>
    <w:rsid w:val="006F33A9"/>
    <w:rsid w:val="006F47AC"/>
    <w:rsid w:val="006F48E8"/>
    <w:rsid w:val="006F4D84"/>
    <w:rsid w:val="006F631E"/>
    <w:rsid w:val="006F6582"/>
    <w:rsid w:val="006F6D68"/>
    <w:rsid w:val="0070214E"/>
    <w:rsid w:val="00702633"/>
    <w:rsid w:val="007026C6"/>
    <w:rsid w:val="00703635"/>
    <w:rsid w:val="00703DCE"/>
    <w:rsid w:val="00705512"/>
    <w:rsid w:val="00706B43"/>
    <w:rsid w:val="0070702F"/>
    <w:rsid w:val="00707EDE"/>
    <w:rsid w:val="007102CD"/>
    <w:rsid w:val="00710DDB"/>
    <w:rsid w:val="00711BEA"/>
    <w:rsid w:val="00711EAB"/>
    <w:rsid w:val="0071301F"/>
    <w:rsid w:val="00713106"/>
    <w:rsid w:val="00715BDB"/>
    <w:rsid w:val="00715C5D"/>
    <w:rsid w:val="00715D8F"/>
    <w:rsid w:val="007167BF"/>
    <w:rsid w:val="0071730C"/>
    <w:rsid w:val="00717553"/>
    <w:rsid w:val="007176EB"/>
    <w:rsid w:val="00717E94"/>
    <w:rsid w:val="00721129"/>
    <w:rsid w:val="007218C4"/>
    <w:rsid w:val="007220EE"/>
    <w:rsid w:val="00722224"/>
    <w:rsid w:val="00722F5B"/>
    <w:rsid w:val="007238C5"/>
    <w:rsid w:val="007244F5"/>
    <w:rsid w:val="007254F7"/>
    <w:rsid w:val="007259C9"/>
    <w:rsid w:val="0072671B"/>
    <w:rsid w:val="0073183A"/>
    <w:rsid w:val="00732BE4"/>
    <w:rsid w:val="007343EB"/>
    <w:rsid w:val="00734BFE"/>
    <w:rsid w:val="00735895"/>
    <w:rsid w:val="00735C94"/>
    <w:rsid w:val="00735D2D"/>
    <w:rsid w:val="007361DA"/>
    <w:rsid w:val="00736B4C"/>
    <w:rsid w:val="007375D8"/>
    <w:rsid w:val="00737D0A"/>
    <w:rsid w:val="00737F9F"/>
    <w:rsid w:val="00740197"/>
    <w:rsid w:val="0074108E"/>
    <w:rsid w:val="00741964"/>
    <w:rsid w:val="00741E39"/>
    <w:rsid w:val="0074244C"/>
    <w:rsid w:val="00743411"/>
    <w:rsid w:val="0074377E"/>
    <w:rsid w:val="00743A61"/>
    <w:rsid w:val="0074400F"/>
    <w:rsid w:val="00744BAA"/>
    <w:rsid w:val="007457D4"/>
    <w:rsid w:val="0074672E"/>
    <w:rsid w:val="00746E86"/>
    <w:rsid w:val="00747CA7"/>
    <w:rsid w:val="00747D92"/>
    <w:rsid w:val="00750481"/>
    <w:rsid w:val="00750E4A"/>
    <w:rsid w:val="007511BE"/>
    <w:rsid w:val="00751E97"/>
    <w:rsid w:val="0075244D"/>
    <w:rsid w:val="0075392A"/>
    <w:rsid w:val="00753EF6"/>
    <w:rsid w:val="0075470A"/>
    <w:rsid w:val="00755366"/>
    <w:rsid w:val="00755600"/>
    <w:rsid w:val="007556E9"/>
    <w:rsid w:val="00756B98"/>
    <w:rsid w:val="00757411"/>
    <w:rsid w:val="0076030B"/>
    <w:rsid w:val="007610AF"/>
    <w:rsid w:val="007610EB"/>
    <w:rsid w:val="00761657"/>
    <w:rsid w:val="00762136"/>
    <w:rsid w:val="00762D2B"/>
    <w:rsid w:val="007636D9"/>
    <w:rsid w:val="00765D90"/>
    <w:rsid w:val="00766D7C"/>
    <w:rsid w:val="007675DB"/>
    <w:rsid w:val="007678EB"/>
    <w:rsid w:val="00767CB9"/>
    <w:rsid w:val="007707E1"/>
    <w:rsid w:val="00770FFD"/>
    <w:rsid w:val="0077171F"/>
    <w:rsid w:val="0077347A"/>
    <w:rsid w:val="00774300"/>
    <w:rsid w:val="00774847"/>
    <w:rsid w:val="00774F8F"/>
    <w:rsid w:val="00775322"/>
    <w:rsid w:val="0077534D"/>
    <w:rsid w:val="00776516"/>
    <w:rsid w:val="00780042"/>
    <w:rsid w:val="00780973"/>
    <w:rsid w:val="00781984"/>
    <w:rsid w:val="00784C1E"/>
    <w:rsid w:val="00784E67"/>
    <w:rsid w:val="00785F9B"/>
    <w:rsid w:val="0078685B"/>
    <w:rsid w:val="007868D0"/>
    <w:rsid w:val="00786D9B"/>
    <w:rsid w:val="00787E71"/>
    <w:rsid w:val="007919C9"/>
    <w:rsid w:val="007919F5"/>
    <w:rsid w:val="00793F33"/>
    <w:rsid w:val="007947B8"/>
    <w:rsid w:val="007948CE"/>
    <w:rsid w:val="0079564E"/>
    <w:rsid w:val="0079575A"/>
    <w:rsid w:val="007965CD"/>
    <w:rsid w:val="007A0A47"/>
    <w:rsid w:val="007A14ED"/>
    <w:rsid w:val="007A24E6"/>
    <w:rsid w:val="007A375F"/>
    <w:rsid w:val="007A4038"/>
    <w:rsid w:val="007A41EB"/>
    <w:rsid w:val="007A42A9"/>
    <w:rsid w:val="007A42EE"/>
    <w:rsid w:val="007A5AA0"/>
    <w:rsid w:val="007A5D3D"/>
    <w:rsid w:val="007A6712"/>
    <w:rsid w:val="007A778A"/>
    <w:rsid w:val="007A7A11"/>
    <w:rsid w:val="007A7C03"/>
    <w:rsid w:val="007A7C9A"/>
    <w:rsid w:val="007A7F7A"/>
    <w:rsid w:val="007B12B6"/>
    <w:rsid w:val="007B1CF7"/>
    <w:rsid w:val="007B20E8"/>
    <w:rsid w:val="007B27DB"/>
    <w:rsid w:val="007B2EE2"/>
    <w:rsid w:val="007B527C"/>
    <w:rsid w:val="007B5D72"/>
    <w:rsid w:val="007B643B"/>
    <w:rsid w:val="007B6EEE"/>
    <w:rsid w:val="007C100D"/>
    <w:rsid w:val="007C14DD"/>
    <w:rsid w:val="007C1AF3"/>
    <w:rsid w:val="007C2C7C"/>
    <w:rsid w:val="007C2DD9"/>
    <w:rsid w:val="007C30BE"/>
    <w:rsid w:val="007C3711"/>
    <w:rsid w:val="007C3736"/>
    <w:rsid w:val="007C4264"/>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D78B1"/>
    <w:rsid w:val="007E003E"/>
    <w:rsid w:val="007E051D"/>
    <w:rsid w:val="007E0D42"/>
    <w:rsid w:val="007E114A"/>
    <w:rsid w:val="007E183B"/>
    <w:rsid w:val="007E20CB"/>
    <w:rsid w:val="007E332F"/>
    <w:rsid w:val="007E368A"/>
    <w:rsid w:val="007E5B0D"/>
    <w:rsid w:val="007E6156"/>
    <w:rsid w:val="007E641C"/>
    <w:rsid w:val="007E6506"/>
    <w:rsid w:val="007E6EEC"/>
    <w:rsid w:val="007E737A"/>
    <w:rsid w:val="007E7B47"/>
    <w:rsid w:val="007F0014"/>
    <w:rsid w:val="007F0CB1"/>
    <w:rsid w:val="007F1F84"/>
    <w:rsid w:val="007F29B8"/>
    <w:rsid w:val="007F40D9"/>
    <w:rsid w:val="007F45CC"/>
    <w:rsid w:val="007F6A9A"/>
    <w:rsid w:val="008009A4"/>
    <w:rsid w:val="00800A87"/>
    <w:rsid w:val="00801EDC"/>
    <w:rsid w:val="00803555"/>
    <w:rsid w:val="00803752"/>
    <w:rsid w:val="00803BFC"/>
    <w:rsid w:val="008049D6"/>
    <w:rsid w:val="00805571"/>
    <w:rsid w:val="008059E3"/>
    <w:rsid w:val="00806226"/>
    <w:rsid w:val="00806A54"/>
    <w:rsid w:val="00806C36"/>
    <w:rsid w:val="00810030"/>
    <w:rsid w:val="008106CE"/>
    <w:rsid w:val="00810AA5"/>
    <w:rsid w:val="00811915"/>
    <w:rsid w:val="00812715"/>
    <w:rsid w:val="008129B3"/>
    <w:rsid w:val="008141D0"/>
    <w:rsid w:val="00814910"/>
    <w:rsid w:val="00814FD6"/>
    <w:rsid w:val="00815CC2"/>
    <w:rsid w:val="008164A6"/>
    <w:rsid w:val="008200A4"/>
    <w:rsid w:val="0082195A"/>
    <w:rsid w:val="00822619"/>
    <w:rsid w:val="00822AC3"/>
    <w:rsid w:val="00823071"/>
    <w:rsid w:val="008250E7"/>
    <w:rsid w:val="008252C1"/>
    <w:rsid w:val="00825836"/>
    <w:rsid w:val="00827124"/>
    <w:rsid w:val="00831330"/>
    <w:rsid w:val="00833134"/>
    <w:rsid w:val="00833262"/>
    <w:rsid w:val="0083361F"/>
    <w:rsid w:val="00833EE6"/>
    <w:rsid w:val="008342C6"/>
    <w:rsid w:val="0083456F"/>
    <w:rsid w:val="0083697C"/>
    <w:rsid w:val="00836BB9"/>
    <w:rsid w:val="00837912"/>
    <w:rsid w:val="0084007A"/>
    <w:rsid w:val="0084019B"/>
    <w:rsid w:val="0084062C"/>
    <w:rsid w:val="00844037"/>
    <w:rsid w:val="00845768"/>
    <w:rsid w:val="00845F1E"/>
    <w:rsid w:val="0084687E"/>
    <w:rsid w:val="00846D21"/>
    <w:rsid w:val="00846F2B"/>
    <w:rsid w:val="008478E0"/>
    <w:rsid w:val="00850E5B"/>
    <w:rsid w:val="00851524"/>
    <w:rsid w:val="00853741"/>
    <w:rsid w:val="00854D4E"/>
    <w:rsid w:val="008551F9"/>
    <w:rsid w:val="0085524D"/>
    <w:rsid w:val="008553CB"/>
    <w:rsid w:val="00855695"/>
    <w:rsid w:val="00857148"/>
    <w:rsid w:val="00860835"/>
    <w:rsid w:val="00860CC9"/>
    <w:rsid w:val="00860F4A"/>
    <w:rsid w:val="00861A31"/>
    <w:rsid w:val="00861CFB"/>
    <w:rsid w:val="008640ED"/>
    <w:rsid w:val="00864A74"/>
    <w:rsid w:val="00864C82"/>
    <w:rsid w:val="0086532B"/>
    <w:rsid w:val="008660B7"/>
    <w:rsid w:val="008663B5"/>
    <w:rsid w:val="008665FD"/>
    <w:rsid w:val="00866884"/>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520"/>
    <w:rsid w:val="0088231F"/>
    <w:rsid w:val="00882AE6"/>
    <w:rsid w:val="00882C48"/>
    <w:rsid w:val="00882DF1"/>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7E5"/>
    <w:rsid w:val="0089392C"/>
    <w:rsid w:val="00893E5B"/>
    <w:rsid w:val="00893E5E"/>
    <w:rsid w:val="00894278"/>
    <w:rsid w:val="00894768"/>
    <w:rsid w:val="008947DA"/>
    <w:rsid w:val="00894A5C"/>
    <w:rsid w:val="00895E34"/>
    <w:rsid w:val="00896884"/>
    <w:rsid w:val="008A1048"/>
    <w:rsid w:val="008A1444"/>
    <w:rsid w:val="008A1793"/>
    <w:rsid w:val="008A1A89"/>
    <w:rsid w:val="008A1DEB"/>
    <w:rsid w:val="008A27AA"/>
    <w:rsid w:val="008A2E13"/>
    <w:rsid w:val="008A3517"/>
    <w:rsid w:val="008A407C"/>
    <w:rsid w:val="008A4731"/>
    <w:rsid w:val="008A4A3F"/>
    <w:rsid w:val="008A4FE7"/>
    <w:rsid w:val="008A677E"/>
    <w:rsid w:val="008A6938"/>
    <w:rsid w:val="008B100B"/>
    <w:rsid w:val="008B123F"/>
    <w:rsid w:val="008B2F9E"/>
    <w:rsid w:val="008B405A"/>
    <w:rsid w:val="008B416D"/>
    <w:rsid w:val="008B569E"/>
    <w:rsid w:val="008B7CCE"/>
    <w:rsid w:val="008C0F2E"/>
    <w:rsid w:val="008C11AD"/>
    <w:rsid w:val="008C1417"/>
    <w:rsid w:val="008C15A8"/>
    <w:rsid w:val="008C17C6"/>
    <w:rsid w:val="008C17C8"/>
    <w:rsid w:val="008C1850"/>
    <w:rsid w:val="008C22A7"/>
    <w:rsid w:val="008C26FC"/>
    <w:rsid w:val="008C3973"/>
    <w:rsid w:val="008C4DC9"/>
    <w:rsid w:val="008C4F12"/>
    <w:rsid w:val="008C5E16"/>
    <w:rsid w:val="008D0339"/>
    <w:rsid w:val="008D05B3"/>
    <w:rsid w:val="008D222B"/>
    <w:rsid w:val="008D2B98"/>
    <w:rsid w:val="008D2CDA"/>
    <w:rsid w:val="008D404A"/>
    <w:rsid w:val="008D682A"/>
    <w:rsid w:val="008D6AC4"/>
    <w:rsid w:val="008D7356"/>
    <w:rsid w:val="008E01A7"/>
    <w:rsid w:val="008E0467"/>
    <w:rsid w:val="008E1E34"/>
    <w:rsid w:val="008E1ED9"/>
    <w:rsid w:val="008E22C5"/>
    <w:rsid w:val="008E3863"/>
    <w:rsid w:val="008E68A8"/>
    <w:rsid w:val="008E7400"/>
    <w:rsid w:val="008F0988"/>
    <w:rsid w:val="008F0F89"/>
    <w:rsid w:val="008F16AE"/>
    <w:rsid w:val="008F2653"/>
    <w:rsid w:val="008F304E"/>
    <w:rsid w:val="008F3246"/>
    <w:rsid w:val="008F3269"/>
    <w:rsid w:val="008F3378"/>
    <w:rsid w:val="008F3FB8"/>
    <w:rsid w:val="008F4946"/>
    <w:rsid w:val="008F4E56"/>
    <w:rsid w:val="008F5921"/>
    <w:rsid w:val="008F5ACC"/>
    <w:rsid w:val="008F6D5A"/>
    <w:rsid w:val="00900412"/>
    <w:rsid w:val="00900C30"/>
    <w:rsid w:val="00901312"/>
    <w:rsid w:val="0090181F"/>
    <w:rsid w:val="00901926"/>
    <w:rsid w:val="009039E2"/>
    <w:rsid w:val="00903B10"/>
    <w:rsid w:val="00903B95"/>
    <w:rsid w:val="0090452B"/>
    <w:rsid w:val="0090474F"/>
    <w:rsid w:val="00904AA6"/>
    <w:rsid w:val="00904BEB"/>
    <w:rsid w:val="00905834"/>
    <w:rsid w:val="0091146F"/>
    <w:rsid w:val="009115E9"/>
    <w:rsid w:val="00911B08"/>
    <w:rsid w:val="00911B68"/>
    <w:rsid w:val="00911F11"/>
    <w:rsid w:val="009128BE"/>
    <w:rsid w:val="00914544"/>
    <w:rsid w:val="00914C0D"/>
    <w:rsid w:val="00915227"/>
    <w:rsid w:val="00915F05"/>
    <w:rsid w:val="00916F4B"/>
    <w:rsid w:val="00916FE2"/>
    <w:rsid w:val="00917399"/>
    <w:rsid w:val="0091779E"/>
    <w:rsid w:val="009178A5"/>
    <w:rsid w:val="009207F9"/>
    <w:rsid w:val="009210C8"/>
    <w:rsid w:val="009223A0"/>
    <w:rsid w:val="00922D84"/>
    <w:rsid w:val="00923BB2"/>
    <w:rsid w:val="0092407B"/>
    <w:rsid w:val="009246C4"/>
    <w:rsid w:val="00924E40"/>
    <w:rsid w:val="00925B7A"/>
    <w:rsid w:val="009269C3"/>
    <w:rsid w:val="009273A5"/>
    <w:rsid w:val="009300D3"/>
    <w:rsid w:val="00930DD4"/>
    <w:rsid w:val="009313F3"/>
    <w:rsid w:val="00931DE9"/>
    <w:rsid w:val="009323DA"/>
    <w:rsid w:val="00932644"/>
    <w:rsid w:val="009333DA"/>
    <w:rsid w:val="00933C6C"/>
    <w:rsid w:val="00934AE0"/>
    <w:rsid w:val="00935962"/>
    <w:rsid w:val="00935B0E"/>
    <w:rsid w:val="009367C3"/>
    <w:rsid w:val="00936C9D"/>
    <w:rsid w:val="00936FCB"/>
    <w:rsid w:val="00937A74"/>
    <w:rsid w:val="00937B52"/>
    <w:rsid w:val="0094181E"/>
    <w:rsid w:val="009435C6"/>
    <w:rsid w:val="00944B86"/>
    <w:rsid w:val="009450EC"/>
    <w:rsid w:val="00945632"/>
    <w:rsid w:val="009456AA"/>
    <w:rsid w:val="0094576B"/>
    <w:rsid w:val="009457CB"/>
    <w:rsid w:val="00945901"/>
    <w:rsid w:val="009460AF"/>
    <w:rsid w:val="00946D96"/>
    <w:rsid w:val="009471D3"/>
    <w:rsid w:val="00950665"/>
    <w:rsid w:val="0095068B"/>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236"/>
    <w:rsid w:val="00961491"/>
    <w:rsid w:val="009622FB"/>
    <w:rsid w:val="00962D3F"/>
    <w:rsid w:val="009632B7"/>
    <w:rsid w:val="00964082"/>
    <w:rsid w:val="00965829"/>
    <w:rsid w:val="009660F3"/>
    <w:rsid w:val="0096617D"/>
    <w:rsid w:val="009677E5"/>
    <w:rsid w:val="009702DF"/>
    <w:rsid w:val="00970EEC"/>
    <w:rsid w:val="00971D7F"/>
    <w:rsid w:val="009720B7"/>
    <w:rsid w:val="009740F8"/>
    <w:rsid w:val="00974ED4"/>
    <w:rsid w:val="009755FA"/>
    <w:rsid w:val="00975BD1"/>
    <w:rsid w:val="0097642B"/>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81B"/>
    <w:rsid w:val="009850E2"/>
    <w:rsid w:val="00985459"/>
    <w:rsid w:val="00985D91"/>
    <w:rsid w:val="00986695"/>
    <w:rsid w:val="00986FBD"/>
    <w:rsid w:val="009876D3"/>
    <w:rsid w:val="00990606"/>
    <w:rsid w:val="009908D0"/>
    <w:rsid w:val="00991128"/>
    <w:rsid w:val="00991E83"/>
    <w:rsid w:val="00992B4F"/>
    <w:rsid w:val="00992E0C"/>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62E5"/>
    <w:rsid w:val="009A647E"/>
    <w:rsid w:val="009A68D5"/>
    <w:rsid w:val="009B12A8"/>
    <w:rsid w:val="009B4496"/>
    <w:rsid w:val="009B5298"/>
    <w:rsid w:val="009B5BD3"/>
    <w:rsid w:val="009B6553"/>
    <w:rsid w:val="009B67C0"/>
    <w:rsid w:val="009B6B49"/>
    <w:rsid w:val="009B78CE"/>
    <w:rsid w:val="009B7991"/>
    <w:rsid w:val="009B7C7C"/>
    <w:rsid w:val="009B7EC2"/>
    <w:rsid w:val="009C03FD"/>
    <w:rsid w:val="009C0541"/>
    <w:rsid w:val="009C21D6"/>
    <w:rsid w:val="009C27DB"/>
    <w:rsid w:val="009C3270"/>
    <w:rsid w:val="009C356F"/>
    <w:rsid w:val="009C374D"/>
    <w:rsid w:val="009C3793"/>
    <w:rsid w:val="009C3F3C"/>
    <w:rsid w:val="009C4A02"/>
    <w:rsid w:val="009C4A95"/>
    <w:rsid w:val="009C7032"/>
    <w:rsid w:val="009D206C"/>
    <w:rsid w:val="009D397C"/>
    <w:rsid w:val="009D3C19"/>
    <w:rsid w:val="009D3E01"/>
    <w:rsid w:val="009D3FE9"/>
    <w:rsid w:val="009D41A1"/>
    <w:rsid w:val="009D435C"/>
    <w:rsid w:val="009D4B51"/>
    <w:rsid w:val="009D54EC"/>
    <w:rsid w:val="009D55AB"/>
    <w:rsid w:val="009D55C4"/>
    <w:rsid w:val="009D6022"/>
    <w:rsid w:val="009D67DB"/>
    <w:rsid w:val="009D7564"/>
    <w:rsid w:val="009D7895"/>
    <w:rsid w:val="009D7D29"/>
    <w:rsid w:val="009E234A"/>
    <w:rsid w:val="009E4B64"/>
    <w:rsid w:val="009E52C8"/>
    <w:rsid w:val="009E5A45"/>
    <w:rsid w:val="009E67B9"/>
    <w:rsid w:val="009E6CC4"/>
    <w:rsid w:val="009F139A"/>
    <w:rsid w:val="009F1C58"/>
    <w:rsid w:val="009F2951"/>
    <w:rsid w:val="009F2B60"/>
    <w:rsid w:val="009F2C43"/>
    <w:rsid w:val="009F36E9"/>
    <w:rsid w:val="009F3C27"/>
    <w:rsid w:val="009F47D8"/>
    <w:rsid w:val="009F4C9E"/>
    <w:rsid w:val="009F4FCD"/>
    <w:rsid w:val="009F5422"/>
    <w:rsid w:val="009F6B75"/>
    <w:rsid w:val="00A00380"/>
    <w:rsid w:val="00A00857"/>
    <w:rsid w:val="00A01213"/>
    <w:rsid w:val="00A01AEC"/>
    <w:rsid w:val="00A0376A"/>
    <w:rsid w:val="00A04057"/>
    <w:rsid w:val="00A047ED"/>
    <w:rsid w:val="00A05233"/>
    <w:rsid w:val="00A061E5"/>
    <w:rsid w:val="00A06781"/>
    <w:rsid w:val="00A068F0"/>
    <w:rsid w:val="00A06C35"/>
    <w:rsid w:val="00A078DB"/>
    <w:rsid w:val="00A079A0"/>
    <w:rsid w:val="00A10279"/>
    <w:rsid w:val="00A1029D"/>
    <w:rsid w:val="00A108B1"/>
    <w:rsid w:val="00A109CB"/>
    <w:rsid w:val="00A10F50"/>
    <w:rsid w:val="00A11211"/>
    <w:rsid w:val="00A118CD"/>
    <w:rsid w:val="00A11E8B"/>
    <w:rsid w:val="00A12E46"/>
    <w:rsid w:val="00A1359A"/>
    <w:rsid w:val="00A137D8"/>
    <w:rsid w:val="00A140AE"/>
    <w:rsid w:val="00A14634"/>
    <w:rsid w:val="00A14AA3"/>
    <w:rsid w:val="00A14C09"/>
    <w:rsid w:val="00A15222"/>
    <w:rsid w:val="00A15561"/>
    <w:rsid w:val="00A169FF"/>
    <w:rsid w:val="00A214F3"/>
    <w:rsid w:val="00A218F9"/>
    <w:rsid w:val="00A2231A"/>
    <w:rsid w:val="00A2278B"/>
    <w:rsid w:val="00A22CAE"/>
    <w:rsid w:val="00A23BA8"/>
    <w:rsid w:val="00A23E44"/>
    <w:rsid w:val="00A241EE"/>
    <w:rsid w:val="00A25658"/>
    <w:rsid w:val="00A2583D"/>
    <w:rsid w:val="00A2784E"/>
    <w:rsid w:val="00A27F61"/>
    <w:rsid w:val="00A311BE"/>
    <w:rsid w:val="00A3221E"/>
    <w:rsid w:val="00A3291F"/>
    <w:rsid w:val="00A33518"/>
    <w:rsid w:val="00A33D5F"/>
    <w:rsid w:val="00A34526"/>
    <w:rsid w:val="00A34F58"/>
    <w:rsid w:val="00A35501"/>
    <w:rsid w:val="00A36C91"/>
    <w:rsid w:val="00A37181"/>
    <w:rsid w:val="00A37604"/>
    <w:rsid w:val="00A4086F"/>
    <w:rsid w:val="00A40933"/>
    <w:rsid w:val="00A40EC3"/>
    <w:rsid w:val="00A410DA"/>
    <w:rsid w:val="00A41D14"/>
    <w:rsid w:val="00A44D04"/>
    <w:rsid w:val="00A467E5"/>
    <w:rsid w:val="00A471D5"/>
    <w:rsid w:val="00A50A9B"/>
    <w:rsid w:val="00A50F1D"/>
    <w:rsid w:val="00A521F1"/>
    <w:rsid w:val="00A52BE2"/>
    <w:rsid w:val="00A53C8D"/>
    <w:rsid w:val="00A53FBA"/>
    <w:rsid w:val="00A5465B"/>
    <w:rsid w:val="00A546D1"/>
    <w:rsid w:val="00A55CAC"/>
    <w:rsid w:val="00A5644F"/>
    <w:rsid w:val="00A57E84"/>
    <w:rsid w:val="00A60A3E"/>
    <w:rsid w:val="00A60B6D"/>
    <w:rsid w:val="00A60F07"/>
    <w:rsid w:val="00A623BC"/>
    <w:rsid w:val="00A6266C"/>
    <w:rsid w:val="00A628F6"/>
    <w:rsid w:val="00A63E2D"/>
    <w:rsid w:val="00A64F5F"/>
    <w:rsid w:val="00A65541"/>
    <w:rsid w:val="00A6573C"/>
    <w:rsid w:val="00A66ABB"/>
    <w:rsid w:val="00A66BAA"/>
    <w:rsid w:val="00A66C46"/>
    <w:rsid w:val="00A66FED"/>
    <w:rsid w:val="00A71084"/>
    <w:rsid w:val="00A71A34"/>
    <w:rsid w:val="00A71D0E"/>
    <w:rsid w:val="00A73CF6"/>
    <w:rsid w:val="00A743C3"/>
    <w:rsid w:val="00A74647"/>
    <w:rsid w:val="00A75745"/>
    <w:rsid w:val="00A776FB"/>
    <w:rsid w:val="00A778D2"/>
    <w:rsid w:val="00A7799B"/>
    <w:rsid w:val="00A77D90"/>
    <w:rsid w:val="00A80765"/>
    <w:rsid w:val="00A816D8"/>
    <w:rsid w:val="00A81A53"/>
    <w:rsid w:val="00A82484"/>
    <w:rsid w:val="00A8357F"/>
    <w:rsid w:val="00A83F40"/>
    <w:rsid w:val="00A8427C"/>
    <w:rsid w:val="00A84C5D"/>
    <w:rsid w:val="00A84D0D"/>
    <w:rsid w:val="00A864D5"/>
    <w:rsid w:val="00A872E2"/>
    <w:rsid w:val="00A87313"/>
    <w:rsid w:val="00A8785F"/>
    <w:rsid w:val="00A900DF"/>
    <w:rsid w:val="00A90EEB"/>
    <w:rsid w:val="00A90FBA"/>
    <w:rsid w:val="00A921FC"/>
    <w:rsid w:val="00A953A8"/>
    <w:rsid w:val="00A95750"/>
    <w:rsid w:val="00A96246"/>
    <w:rsid w:val="00A96766"/>
    <w:rsid w:val="00A967F6"/>
    <w:rsid w:val="00AA073F"/>
    <w:rsid w:val="00AA1C61"/>
    <w:rsid w:val="00AA257E"/>
    <w:rsid w:val="00AA3358"/>
    <w:rsid w:val="00AA476F"/>
    <w:rsid w:val="00AA6692"/>
    <w:rsid w:val="00AA7E23"/>
    <w:rsid w:val="00AB0979"/>
    <w:rsid w:val="00AB0D33"/>
    <w:rsid w:val="00AB0DFB"/>
    <w:rsid w:val="00AB115B"/>
    <w:rsid w:val="00AB363D"/>
    <w:rsid w:val="00AB4056"/>
    <w:rsid w:val="00AB6AC5"/>
    <w:rsid w:val="00AB733F"/>
    <w:rsid w:val="00AC0570"/>
    <w:rsid w:val="00AC28D4"/>
    <w:rsid w:val="00AC3F96"/>
    <w:rsid w:val="00AC4327"/>
    <w:rsid w:val="00AC4ADA"/>
    <w:rsid w:val="00AC4F5F"/>
    <w:rsid w:val="00AC5004"/>
    <w:rsid w:val="00AC552A"/>
    <w:rsid w:val="00AC58E4"/>
    <w:rsid w:val="00AC59D0"/>
    <w:rsid w:val="00AC59FB"/>
    <w:rsid w:val="00AC6923"/>
    <w:rsid w:val="00AC6B3F"/>
    <w:rsid w:val="00AC7C91"/>
    <w:rsid w:val="00AC7FD3"/>
    <w:rsid w:val="00AD0365"/>
    <w:rsid w:val="00AD0E49"/>
    <w:rsid w:val="00AD0F8D"/>
    <w:rsid w:val="00AD13CF"/>
    <w:rsid w:val="00AD22FA"/>
    <w:rsid w:val="00AD2552"/>
    <w:rsid w:val="00AD32B7"/>
    <w:rsid w:val="00AD45AE"/>
    <w:rsid w:val="00AD4814"/>
    <w:rsid w:val="00AE1244"/>
    <w:rsid w:val="00AE1DE5"/>
    <w:rsid w:val="00AE1E9A"/>
    <w:rsid w:val="00AE325A"/>
    <w:rsid w:val="00AE4198"/>
    <w:rsid w:val="00AE5306"/>
    <w:rsid w:val="00AE5B94"/>
    <w:rsid w:val="00AE690E"/>
    <w:rsid w:val="00AE6E07"/>
    <w:rsid w:val="00AE7699"/>
    <w:rsid w:val="00AE77E0"/>
    <w:rsid w:val="00AE77F3"/>
    <w:rsid w:val="00AE77F7"/>
    <w:rsid w:val="00AF066D"/>
    <w:rsid w:val="00AF09B3"/>
    <w:rsid w:val="00AF0E91"/>
    <w:rsid w:val="00AF1D71"/>
    <w:rsid w:val="00AF21F8"/>
    <w:rsid w:val="00AF22C6"/>
    <w:rsid w:val="00AF2B5E"/>
    <w:rsid w:val="00AF474E"/>
    <w:rsid w:val="00AF54BC"/>
    <w:rsid w:val="00AF5D36"/>
    <w:rsid w:val="00AF6197"/>
    <w:rsid w:val="00AF62CF"/>
    <w:rsid w:val="00AF6D30"/>
    <w:rsid w:val="00AF705E"/>
    <w:rsid w:val="00AF75C2"/>
    <w:rsid w:val="00AF7C89"/>
    <w:rsid w:val="00AF7E64"/>
    <w:rsid w:val="00B00791"/>
    <w:rsid w:val="00B00940"/>
    <w:rsid w:val="00B0169B"/>
    <w:rsid w:val="00B01DC9"/>
    <w:rsid w:val="00B020EB"/>
    <w:rsid w:val="00B02454"/>
    <w:rsid w:val="00B029DD"/>
    <w:rsid w:val="00B0331A"/>
    <w:rsid w:val="00B044F8"/>
    <w:rsid w:val="00B06E0E"/>
    <w:rsid w:val="00B074CD"/>
    <w:rsid w:val="00B07973"/>
    <w:rsid w:val="00B07AD0"/>
    <w:rsid w:val="00B07ED7"/>
    <w:rsid w:val="00B10336"/>
    <w:rsid w:val="00B10C21"/>
    <w:rsid w:val="00B10F06"/>
    <w:rsid w:val="00B11CE7"/>
    <w:rsid w:val="00B1204B"/>
    <w:rsid w:val="00B12246"/>
    <w:rsid w:val="00B12428"/>
    <w:rsid w:val="00B12C12"/>
    <w:rsid w:val="00B12E51"/>
    <w:rsid w:val="00B13104"/>
    <w:rsid w:val="00B138FB"/>
    <w:rsid w:val="00B13CDB"/>
    <w:rsid w:val="00B14039"/>
    <w:rsid w:val="00B16EA7"/>
    <w:rsid w:val="00B175A2"/>
    <w:rsid w:val="00B17A6A"/>
    <w:rsid w:val="00B20CD5"/>
    <w:rsid w:val="00B21498"/>
    <w:rsid w:val="00B219B0"/>
    <w:rsid w:val="00B22BDF"/>
    <w:rsid w:val="00B2322A"/>
    <w:rsid w:val="00B23279"/>
    <w:rsid w:val="00B23730"/>
    <w:rsid w:val="00B25A8F"/>
    <w:rsid w:val="00B27015"/>
    <w:rsid w:val="00B278A0"/>
    <w:rsid w:val="00B3100F"/>
    <w:rsid w:val="00B31971"/>
    <w:rsid w:val="00B31CDA"/>
    <w:rsid w:val="00B31D4F"/>
    <w:rsid w:val="00B3207E"/>
    <w:rsid w:val="00B32756"/>
    <w:rsid w:val="00B32915"/>
    <w:rsid w:val="00B32C7B"/>
    <w:rsid w:val="00B32E99"/>
    <w:rsid w:val="00B34D82"/>
    <w:rsid w:val="00B35CC9"/>
    <w:rsid w:val="00B36A08"/>
    <w:rsid w:val="00B36C40"/>
    <w:rsid w:val="00B3741A"/>
    <w:rsid w:val="00B40069"/>
    <w:rsid w:val="00B40E24"/>
    <w:rsid w:val="00B41CF2"/>
    <w:rsid w:val="00B41D46"/>
    <w:rsid w:val="00B41ED8"/>
    <w:rsid w:val="00B41F96"/>
    <w:rsid w:val="00B42C80"/>
    <w:rsid w:val="00B44201"/>
    <w:rsid w:val="00B4446F"/>
    <w:rsid w:val="00B44C05"/>
    <w:rsid w:val="00B45D92"/>
    <w:rsid w:val="00B463ED"/>
    <w:rsid w:val="00B465B1"/>
    <w:rsid w:val="00B466CB"/>
    <w:rsid w:val="00B46A93"/>
    <w:rsid w:val="00B47169"/>
    <w:rsid w:val="00B473C5"/>
    <w:rsid w:val="00B47900"/>
    <w:rsid w:val="00B47C60"/>
    <w:rsid w:val="00B50395"/>
    <w:rsid w:val="00B50821"/>
    <w:rsid w:val="00B51A28"/>
    <w:rsid w:val="00B526E5"/>
    <w:rsid w:val="00B52F58"/>
    <w:rsid w:val="00B5373A"/>
    <w:rsid w:val="00B54566"/>
    <w:rsid w:val="00B54EDA"/>
    <w:rsid w:val="00B56717"/>
    <w:rsid w:val="00B56951"/>
    <w:rsid w:val="00B574BC"/>
    <w:rsid w:val="00B57546"/>
    <w:rsid w:val="00B57C14"/>
    <w:rsid w:val="00B60326"/>
    <w:rsid w:val="00B61161"/>
    <w:rsid w:val="00B624DB"/>
    <w:rsid w:val="00B627FF"/>
    <w:rsid w:val="00B62954"/>
    <w:rsid w:val="00B638D5"/>
    <w:rsid w:val="00B65001"/>
    <w:rsid w:val="00B6672D"/>
    <w:rsid w:val="00B71BF2"/>
    <w:rsid w:val="00B721B3"/>
    <w:rsid w:val="00B7316B"/>
    <w:rsid w:val="00B73FF9"/>
    <w:rsid w:val="00B758F8"/>
    <w:rsid w:val="00B75B92"/>
    <w:rsid w:val="00B75DAC"/>
    <w:rsid w:val="00B75DC0"/>
    <w:rsid w:val="00B76546"/>
    <w:rsid w:val="00B76EC7"/>
    <w:rsid w:val="00B77FB8"/>
    <w:rsid w:val="00B803A2"/>
    <w:rsid w:val="00B805DE"/>
    <w:rsid w:val="00B8183B"/>
    <w:rsid w:val="00B8268D"/>
    <w:rsid w:val="00B826AB"/>
    <w:rsid w:val="00B838AC"/>
    <w:rsid w:val="00B838DD"/>
    <w:rsid w:val="00B84103"/>
    <w:rsid w:val="00B8433E"/>
    <w:rsid w:val="00B858E2"/>
    <w:rsid w:val="00B862F8"/>
    <w:rsid w:val="00B87BD9"/>
    <w:rsid w:val="00B90077"/>
    <w:rsid w:val="00B90B62"/>
    <w:rsid w:val="00B9151C"/>
    <w:rsid w:val="00B9160D"/>
    <w:rsid w:val="00B917BE"/>
    <w:rsid w:val="00B91E4B"/>
    <w:rsid w:val="00B933DC"/>
    <w:rsid w:val="00B93C96"/>
    <w:rsid w:val="00B94209"/>
    <w:rsid w:val="00B9469E"/>
    <w:rsid w:val="00B94999"/>
    <w:rsid w:val="00B94EA5"/>
    <w:rsid w:val="00B96268"/>
    <w:rsid w:val="00B9692A"/>
    <w:rsid w:val="00B97DAD"/>
    <w:rsid w:val="00BA090B"/>
    <w:rsid w:val="00BA135A"/>
    <w:rsid w:val="00BA1389"/>
    <w:rsid w:val="00BA150A"/>
    <w:rsid w:val="00BA2919"/>
    <w:rsid w:val="00BA297B"/>
    <w:rsid w:val="00BA429D"/>
    <w:rsid w:val="00BA4ABE"/>
    <w:rsid w:val="00BA5A31"/>
    <w:rsid w:val="00BA5E7C"/>
    <w:rsid w:val="00BA6D78"/>
    <w:rsid w:val="00BA6F01"/>
    <w:rsid w:val="00BA7EF2"/>
    <w:rsid w:val="00BB00A1"/>
    <w:rsid w:val="00BB135E"/>
    <w:rsid w:val="00BB16AC"/>
    <w:rsid w:val="00BB1E84"/>
    <w:rsid w:val="00BB365B"/>
    <w:rsid w:val="00BB4BD4"/>
    <w:rsid w:val="00BB5859"/>
    <w:rsid w:val="00BB5F69"/>
    <w:rsid w:val="00BB6A7E"/>
    <w:rsid w:val="00BB6F70"/>
    <w:rsid w:val="00BB73D8"/>
    <w:rsid w:val="00BB7668"/>
    <w:rsid w:val="00BB7AFF"/>
    <w:rsid w:val="00BB7B09"/>
    <w:rsid w:val="00BC1222"/>
    <w:rsid w:val="00BC1D51"/>
    <w:rsid w:val="00BC364D"/>
    <w:rsid w:val="00BC36FA"/>
    <w:rsid w:val="00BC4116"/>
    <w:rsid w:val="00BC67FE"/>
    <w:rsid w:val="00BC6BBE"/>
    <w:rsid w:val="00BC6DE1"/>
    <w:rsid w:val="00BD0488"/>
    <w:rsid w:val="00BD0562"/>
    <w:rsid w:val="00BD0611"/>
    <w:rsid w:val="00BD08D2"/>
    <w:rsid w:val="00BD0A06"/>
    <w:rsid w:val="00BD0A34"/>
    <w:rsid w:val="00BD0FDA"/>
    <w:rsid w:val="00BD15DC"/>
    <w:rsid w:val="00BD3104"/>
    <w:rsid w:val="00BD36E2"/>
    <w:rsid w:val="00BD38F3"/>
    <w:rsid w:val="00BD3D0B"/>
    <w:rsid w:val="00BD54A4"/>
    <w:rsid w:val="00BD5C1B"/>
    <w:rsid w:val="00BD5EC1"/>
    <w:rsid w:val="00BD61F3"/>
    <w:rsid w:val="00BD6449"/>
    <w:rsid w:val="00BD6505"/>
    <w:rsid w:val="00BD791C"/>
    <w:rsid w:val="00BE02BC"/>
    <w:rsid w:val="00BE1529"/>
    <w:rsid w:val="00BE2661"/>
    <w:rsid w:val="00BE2D19"/>
    <w:rsid w:val="00BE2DC6"/>
    <w:rsid w:val="00BE3299"/>
    <w:rsid w:val="00BE355D"/>
    <w:rsid w:val="00BE4A1F"/>
    <w:rsid w:val="00BE4C37"/>
    <w:rsid w:val="00BE6A75"/>
    <w:rsid w:val="00BF0256"/>
    <w:rsid w:val="00BF0F1E"/>
    <w:rsid w:val="00BF118D"/>
    <w:rsid w:val="00BF3E08"/>
    <w:rsid w:val="00BF4E85"/>
    <w:rsid w:val="00BF53CC"/>
    <w:rsid w:val="00BF55C6"/>
    <w:rsid w:val="00BF5A17"/>
    <w:rsid w:val="00BF5C39"/>
    <w:rsid w:val="00BF79E2"/>
    <w:rsid w:val="00BF7AB0"/>
    <w:rsid w:val="00BF7AD1"/>
    <w:rsid w:val="00C0027E"/>
    <w:rsid w:val="00C00C9B"/>
    <w:rsid w:val="00C011FB"/>
    <w:rsid w:val="00C01D39"/>
    <w:rsid w:val="00C022B7"/>
    <w:rsid w:val="00C0242F"/>
    <w:rsid w:val="00C04521"/>
    <w:rsid w:val="00C0463C"/>
    <w:rsid w:val="00C04683"/>
    <w:rsid w:val="00C04946"/>
    <w:rsid w:val="00C04B9E"/>
    <w:rsid w:val="00C04BD2"/>
    <w:rsid w:val="00C06208"/>
    <w:rsid w:val="00C0637B"/>
    <w:rsid w:val="00C076BE"/>
    <w:rsid w:val="00C07ADC"/>
    <w:rsid w:val="00C100FA"/>
    <w:rsid w:val="00C12288"/>
    <w:rsid w:val="00C124C5"/>
    <w:rsid w:val="00C134DD"/>
    <w:rsid w:val="00C14F8F"/>
    <w:rsid w:val="00C203CA"/>
    <w:rsid w:val="00C20DE3"/>
    <w:rsid w:val="00C24C18"/>
    <w:rsid w:val="00C25561"/>
    <w:rsid w:val="00C25C8C"/>
    <w:rsid w:val="00C2645C"/>
    <w:rsid w:val="00C2678F"/>
    <w:rsid w:val="00C26DA6"/>
    <w:rsid w:val="00C27111"/>
    <w:rsid w:val="00C27B57"/>
    <w:rsid w:val="00C3088C"/>
    <w:rsid w:val="00C30B59"/>
    <w:rsid w:val="00C32C57"/>
    <w:rsid w:val="00C32C8B"/>
    <w:rsid w:val="00C32DA8"/>
    <w:rsid w:val="00C32EA5"/>
    <w:rsid w:val="00C33E7B"/>
    <w:rsid w:val="00C3531E"/>
    <w:rsid w:val="00C37612"/>
    <w:rsid w:val="00C3761F"/>
    <w:rsid w:val="00C37C9C"/>
    <w:rsid w:val="00C403B8"/>
    <w:rsid w:val="00C40767"/>
    <w:rsid w:val="00C40B7D"/>
    <w:rsid w:val="00C419CF"/>
    <w:rsid w:val="00C41E1A"/>
    <w:rsid w:val="00C42B54"/>
    <w:rsid w:val="00C435F5"/>
    <w:rsid w:val="00C44035"/>
    <w:rsid w:val="00C44644"/>
    <w:rsid w:val="00C4579C"/>
    <w:rsid w:val="00C4615B"/>
    <w:rsid w:val="00C473BB"/>
    <w:rsid w:val="00C47900"/>
    <w:rsid w:val="00C50DAC"/>
    <w:rsid w:val="00C50E2D"/>
    <w:rsid w:val="00C50EA1"/>
    <w:rsid w:val="00C51F27"/>
    <w:rsid w:val="00C52DC6"/>
    <w:rsid w:val="00C537F8"/>
    <w:rsid w:val="00C5481B"/>
    <w:rsid w:val="00C54A00"/>
    <w:rsid w:val="00C5508C"/>
    <w:rsid w:val="00C5542C"/>
    <w:rsid w:val="00C559AD"/>
    <w:rsid w:val="00C55C37"/>
    <w:rsid w:val="00C5738B"/>
    <w:rsid w:val="00C57FD4"/>
    <w:rsid w:val="00C60970"/>
    <w:rsid w:val="00C612F9"/>
    <w:rsid w:val="00C61EA5"/>
    <w:rsid w:val="00C62E0B"/>
    <w:rsid w:val="00C62F49"/>
    <w:rsid w:val="00C63BB7"/>
    <w:rsid w:val="00C63C19"/>
    <w:rsid w:val="00C6436B"/>
    <w:rsid w:val="00C646E6"/>
    <w:rsid w:val="00C64A87"/>
    <w:rsid w:val="00C6615B"/>
    <w:rsid w:val="00C664EB"/>
    <w:rsid w:val="00C66AA1"/>
    <w:rsid w:val="00C67B6C"/>
    <w:rsid w:val="00C7195B"/>
    <w:rsid w:val="00C71CE8"/>
    <w:rsid w:val="00C725B8"/>
    <w:rsid w:val="00C742D0"/>
    <w:rsid w:val="00C745BC"/>
    <w:rsid w:val="00C75276"/>
    <w:rsid w:val="00C75A93"/>
    <w:rsid w:val="00C75F99"/>
    <w:rsid w:val="00C7630A"/>
    <w:rsid w:val="00C76440"/>
    <w:rsid w:val="00C772D1"/>
    <w:rsid w:val="00C7730A"/>
    <w:rsid w:val="00C7747A"/>
    <w:rsid w:val="00C8007D"/>
    <w:rsid w:val="00C80E31"/>
    <w:rsid w:val="00C80EC9"/>
    <w:rsid w:val="00C80F02"/>
    <w:rsid w:val="00C826FE"/>
    <w:rsid w:val="00C83D28"/>
    <w:rsid w:val="00C843B5"/>
    <w:rsid w:val="00C8458B"/>
    <w:rsid w:val="00C847E5"/>
    <w:rsid w:val="00C8488B"/>
    <w:rsid w:val="00C848B0"/>
    <w:rsid w:val="00C84A82"/>
    <w:rsid w:val="00C84CE5"/>
    <w:rsid w:val="00C85082"/>
    <w:rsid w:val="00C850AE"/>
    <w:rsid w:val="00C851D3"/>
    <w:rsid w:val="00C85F60"/>
    <w:rsid w:val="00C86C66"/>
    <w:rsid w:val="00C877D3"/>
    <w:rsid w:val="00C91A57"/>
    <w:rsid w:val="00C9261C"/>
    <w:rsid w:val="00C92CC6"/>
    <w:rsid w:val="00C93677"/>
    <w:rsid w:val="00C9422B"/>
    <w:rsid w:val="00C94232"/>
    <w:rsid w:val="00C94A6C"/>
    <w:rsid w:val="00C95ACB"/>
    <w:rsid w:val="00C95CEB"/>
    <w:rsid w:val="00C96503"/>
    <w:rsid w:val="00C96995"/>
    <w:rsid w:val="00C96C1F"/>
    <w:rsid w:val="00C97725"/>
    <w:rsid w:val="00C97F0F"/>
    <w:rsid w:val="00CA1792"/>
    <w:rsid w:val="00CA205E"/>
    <w:rsid w:val="00CA24DE"/>
    <w:rsid w:val="00CA2765"/>
    <w:rsid w:val="00CA4B73"/>
    <w:rsid w:val="00CA4E3E"/>
    <w:rsid w:val="00CA4F79"/>
    <w:rsid w:val="00CA4FF9"/>
    <w:rsid w:val="00CA7315"/>
    <w:rsid w:val="00CA7387"/>
    <w:rsid w:val="00CA77CE"/>
    <w:rsid w:val="00CA7BD4"/>
    <w:rsid w:val="00CB00E0"/>
    <w:rsid w:val="00CB0C12"/>
    <w:rsid w:val="00CB27AD"/>
    <w:rsid w:val="00CB3F4F"/>
    <w:rsid w:val="00CB4F3A"/>
    <w:rsid w:val="00CB5115"/>
    <w:rsid w:val="00CB54EB"/>
    <w:rsid w:val="00CB66A2"/>
    <w:rsid w:val="00CB66BB"/>
    <w:rsid w:val="00CB6A59"/>
    <w:rsid w:val="00CC26F0"/>
    <w:rsid w:val="00CC33E3"/>
    <w:rsid w:val="00CC3501"/>
    <w:rsid w:val="00CC3CE6"/>
    <w:rsid w:val="00CC400B"/>
    <w:rsid w:val="00CC6519"/>
    <w:rsid w:val="00CC7189"/>
    <w:rsid w:val="00CC7474"/>
    <w:rsid w:val="00CC7D92"/>
    <w:rsid w:val="00CD0069"/>
    <w:rsid w:val="00CD09A8"/>
    <w:rsid w:val="00CD1DF1"/>
    <w:rsid w:val="00CD244C"/>
    <w:rsid w:val="00CD2A08"/>
    <w:rsid w:val="00CD36E5"/>
    <w:rsid w:val="00CD3856"/>
    <w:rsid w:val="00CD3EB4"/>
    <w:rsid w:val="00CD77B4"/>
    <w:rsid w:val="00CD7AFC"/>
    <w:rsid w:val="00CE0D52"/>
    <w:rsid w:val="00CE0F9F"/>
    <w:rsid w:val="00CE1506"/>
    <w:rsid w:val="00CE1D0B"/>
    <w:rsid w:val="00CE24BE"/>
    <w:rsid w:val="00CE2B5D"/>
    <w:rsid w:val="00CE2FAA"/>
    <w:rsid w:val="00CE3496"/>
    <w:rsid w:val="00CE3943"/>
    <w:rsid w:val="00CE48D4"/>
    <w:rsid w:val="00CE4D66"/>
    <w:rsid w:val="00CE54CD"/>
    <w:rsid w:val="00CE5AE9"/>
    <w:rsid w:val="00CE5E61"/>
    <w:rsid w:val="00CE76DB"/>
    <w:rsid w:val="00CE7D4F"/>
    <w:rsid w:val="00CF05EA"/>
    <w:rsid w:val="00CF14AA"/>
    <w:rsid w:val="00CF16F5"/>
    <w:rsid w:val="00CF1812"/>
    <w:rsid w:val="00CF21DB"/>
    <w:rsid w:val="00CF29D5"/>
    <w:rsid w:val="00CF2F16"/>
    <w:rsid w:val="00CF4292"/>
    <w:rsid w:val="00CF4EC2"/>
    <w:rsid w:val="00CF50E5"/>
    <w:rsid w:val="00CF543E"/>
    <w:rsid w:val="00CF61CE"/>
    <w:rsid w:val="00CF666A"/>
    <w:rsid w:val="00CF6855"/>
    <w:rsid w:val="00CF725B"/>
    <w:rsid w:val="00CF7566"/>
    <w:rsid w:val="00D0171F"/>
    <w:rsid w:val="00D02884"/>
    <w:rsid w:val="00D031E1"/>
    <w:rsid w:val="00D04359"/>
    <w:rsid w:val="00D0457F"/>
    <w:rsid w:val="00D060BD"/>
    <w:rsid w:val="00D071A4"/>
    <w:rsid w:val="00D07C06"/>
    <w:rsid w:val="00D1055F"/>
    <w:rsid w:val="00D10D3F"/>
    <w:rsid w:val="00D111B5"/>
    <w:rsid w:val="00D11C1D"/>
    <w:rsid w:val="00D11E6B"/>
    <w:rsid w:val="00D13978"/>
    <w:rsid w:val="00D14B07"/>
    <w:rsid w:val="00D14B32"/>
    <w:rsid w:val="00D15749"/>
    <w:rsid w:val="00D1771A"/>
    <w:rsid w:val="00D17C29"/>
    <w:rsid w:val="00D2001D"/>
    <w:rsid w:val="00D21222"/>
    <w:rsid w:val="00D21897"/>
    <w:rsid w:val="00D2353E"/>
    <w:rsid w:val="00D23BFA"/>
    <w:rsid w:val="00D23FD8"/>
    <w:rsid w:val="00D2591D"/>
    <w:rsid w:val="00D25C37"/>
    <w:rsid w:val="00D2613E"/>
    <w:rsid w:val="00D26C95"/>
    <w:rsid w:val="00D27371"/>
    <w:rsid w:val="00D27F42"/>
    <w:rsid w:val="00D30B79"/>
    <w:rsid w:val="00D31A1E"/>
    <w:rsid w:val="00D31DFC"/>
    <w:rsid w:val="00D31E8E"/>
    <w:rsid w:val="00D338C8"/>
    <w:rsid w:val="00D347B9"/>
    <w:rsid w:val="00D3507D"/>
    <w:rsid w:val="00D358E0"/>
    <w:rsid w:val="00D358EA"/>
    <w:rsid w:val="00D36315"/>
    <w:rsid w:val="00D36CD2"/>
    <w:rsid w:val="00D36F7C"/>
    <w:rsid w:val="00D3768C"/>
    <w:rsid w:val="00D40BFF"/>
    <w:rsid w:val="00D417F2"/>
    <w:rsid w:val="00D41F96"/>
    <w:rsid w:val="00D42EC3"/>
    <w:rsid w:val="00D4347A"/>
    <w:rsid w:val="00D4391C"/>
    <w:rsid w:val="00D43DB3"/>
    <w:rsid w:val="00D44EE9"/>
    <w:rsid w:val="00D45EAB"/>
    <w:rsid w:val="00D46915"/>
    <w:rsid w:val="00D46BCC"/>
    <w:rsid w:val="00D46E3C"/>
    <w:rsid w:val="00D46EBE"/>
    <w:rsid w:val="00D47057"/>
    <w:rsid w:val="00D476C3"/>
    <w:rsid w:val="00D50503"/>
    <w:rsid w:val="00D507D8"/>
    <w:rsid w:val="00D50FAD"/>
    <w:rsid w:val="00D5162A"/>
    <w:rsid w:val="00D517FA"/>
    <w:rsid w:val="00D541C0"/>
    <w:rsid w:val="00D544EE"/>
    <w:rsid w:val="00D54E61"/>
    <w:rsid w:val="00D571A6"/>
    <w:rsid w:val="00D57F5B"/>
    <w:rsid w:val="00D60026"/>
    <w:rsid w:val="00D60A81"/>
    <w:rsid w:val="00D617DE"/>
    <w:rsid w:val="00D6192D"/>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815"/>
    <w:rsid w:val="00D77904"/>
    <w:rsid w:val="00D812AB"/>
    <w:rsid w:val="00D8182C"/>
    <w:rsid w:val="00D81DC3"/>
    <w:rsid w:val="00D82A49"/>
    <w:rsid w:val="00D84746"/>
    <w:rsid w:val="00D8498E"/>
    <w:rsid w:val="00D85889"/>
    <w:rsid w:val="00D86ADF"/>
    <w:rsid w:val="00D8768A"/>
    <w:rsid w:val="00D87DA9"/>
    <w:rsid w:val="00D900EA"/>
    <w:rsid w:val="00D904C4"/>
    <w:rsid w:val="00D91070"/>
    <w:rsid w:val="00D91390"/>
    <w:rsid w:val="00D918EF"/>
    <w:rsid w:val="00D919A7"/>
    <w:rsid w:val="00D919E7"/>
    <w:rsid w:val="00D9291F"/>
    <w:rsid w:val="00D92D54"/>
    <w:rsid w:val="00D93824"/>
    <w:rsid w:val="00D93DB2"/>
    <w:rsid w:val="00D94977"/>
    <w:rsid w:val="00D9539C"/>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12F"/>
    <w:rsid w:val="00DB25FE"/>
    <w:rsid w:val="00DB40E2"/>
    <w:rsid w:val="00DB4163"/>
    <w:rsid w:val="00DB5620"/>
    <w:rsid w:val="00DB5B89"/>
    <w:rsid w:val="00DB677D"/>
    <w:rsid w:val="00DB78DA"/>
    <w:rsid w:val="00DB7952"/>
    <w:rsid w:val="00DB7D23"/>
    <w:rsid w:val="00DC0E37"/>
    <w:rsid w:val="00DC15D8"/>
    <w:rsid w:val="00DC220C"/>
    <w:rsid w:val="00DC24F4"/>
    <w:rsid w:val="00DC3099"/>
    <w:rsid w:val="00DC32A0"/>
    <w:rsid w:val="00DC5BC4"/>
    <w:rsid w:val="00DC5CBF"/>
    <w:rsid w:val="00DC60F4"/>
    <w:rsid w:val="00DC6B1E"/>
    <w:rsid w:val="00DC7E9E"/>
    <w:rsid w:val="00DD142B"/>
    <w:rsid w:val="00DD25E2"/>
    <w:rsid w:val="00DD29B7"/>
    <w:rsid w:val="00DD360E"/>
    <w:rsid w:val="00DD4555"/>
    <w:rsid w:val="00DD48C9"/>
    <w:rsid w:val="00DD4A86"/>
    <w:rsid w:val="00DD5938"/>
    <w:rsid w:val="00DD6E44"/>
    <w:rsid w:val="00DE009D"/>
    <w:rsid w:val="00DE0B41"/>
    <w:rsid w:val="00DE13F6"/>
    <w:rsid w:val="00DE221A"/>
    <w:rsid w:val="00DE5603"/>
    <w:rsid w:val="00DE5759"/>
    <w:rsid w:val="00DE5839"/>
    <w:rsid w:val="00DE595C"/>
    <w:rsid w:val="00DE620A"/>
    <w:rsid w:val="00DE687E"/>
    <w:rsid w:val="00DE6F47"/>
    <w:rsid w:val="00DE76CF"/>
    <w:rsid w:val="00DE7800"/>
    <w:rsid w:val="00DF008A"/>
    <w:rsid w:val="00DF2FB3"/>
    <w:rsid w:val="00DF4E57"/>
    <w:rsid w:val="00DF5244"/>
    <w:rsid w:val="00DF5725"/>
    <w:rsid w:val="00DF573A"/>
    <w:rsid w:val="00DF626A"/>
    <w:rsid w:val="00DF664D"/>
    <w:rsid w:val="00DF75AE"/>
    <w:rsid w:val="00DF77FE"/>
    <w:rsid w:val="00DF7A26"/>
    <w:rsid w:val="00DF7B70"/>
    <w:rsid w:val="00E006E6"/>
    <w:rsid w:val="00E00859"/>
    <w:rsid w:val="00E01ABE"/>
    <w:rsid w:val="00E01C24"/>
    <w:rsid w:val="00E0297D"/>
    <w:rsid w:val="00E046F5"/>
    <w:rsid w:val="00E0515C"/>
    <w:rsid w:val="00E05516"/>
    <w:rsid w:val="00E06281"/>
    <w:rsid w:val="00E06F47"/>
    <w:rsid w:val="00E0738E"/>
    <w:rsid w:val="00E0785C"/>
    <w:rsid w:val="00E10299"/>
    <w:rsid w:val="00E10668"/>
    <w:rsid w:val="00E108BC"/>
    <w:rsid w:val="00E10BBC"/>
    <w:rsid w:val="00E12988"/>
    <w:rsid w:val="00E135AD"/>
    <w:rsid w:val="00E13B05"/>
    <w:rsid w:val="00E14B3B"/>
    <w:rsid w:val="00E1544D"/>
    <w:rsid w:val="00E1560E"/>
    <w:rsid w:val="00E17908"/>
    <w:rsid w:val="00E17C7C"/>
    <w:rsid w:val="00E20D80"/>
    <w:rsid w:val="00E215A8"/>
    <w:rsid w:val="00E215D7"/>
    <w:rsid w:val="00E2177D"/>
    <w:rsid w:val="00E21EDF"/>
    <w:rsid w:val="00E2236B"/>
    <w:rsid w:val="00E22756"/>
    <w:rsid w:val="00E2441A"/>
    <w:rsid w:val="00E24676"/>
    <w:rsid w:val="00E24A92"/>
    <w:rsid w:val="00E25107"/>
    <w:rsid w:val="00E25BD5"/>
    <w:rsid w:val="00E269FF"/>
    <w:rsid w:val="00E270D5"/>
    <w:rsid w:val="00E272A1"/>
    <w:rsid w:val="00E27DE1"/>
    <w:rsid w:val="00E30299"/>
    <w:rsid w:val="00E30895"/>
    <w:rsid w:val="00E32589"/>
    <w:rsid w:val="00E32604"/>
    <w:rsid w:val="00E32E17"/>
    <w:rsid w:val="00E34253"/>
    <w:rsid w:val="00E351A0"/>
    <w:rsid w:val="00E351B8"/>
    <w:rsid w:val="00E35B94"/>
    <w:rsid w:val="00E36313"/>
    <w:rsid w:val="00E36AC4"/>
    <w:rsid w:val="00E37BE0"/>
    <w:rsid w:val="00E40641"/>
    <w:rsid w:val="00E412F8"/>
    <w:rsid w:val="00E4295E"/>
    <w:rsid w:val="00E42ADF"/>
    <w:rsid w:val="00E43A0D"/>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F69"/>
    <w:rsid w:val="00E61FEB"/>
    <w:rsid w:val="00E6207D"/>
    <w:rsid w:val="00E63BD8"/>
    <w:rsid w:val="00E63EE9"/>
    <w:rsid w:val="00E64627"/>
    <w:rsid w:val="00E64872"/>
    <w:rsid w:val="00E70164"/>
    <w:rsid w:val="00E7073B"/>
    <w:rsid w:val="00E7124E"/>
    <w:rsid w:val="00E71B0C"/>
    <w:rsid w:val="00E71FA0"/>
    <w:rsid w:val="00E724C5"/>
    <w:rsid w:val="00E744EC"/>
    <w:rsid w:val="00E74C46"/>
    <w:rsid w:val="00E74CE5"/>
    <w:rsid w:val="00E75D7C"/>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4752"/>
    <w:rsid w:val="00E857C1"/>
    <w:rsid w:val="00E85C3E"/>
    <w:rsid w:val="00E86110"/>
    <w:rsid w:val="00E9042A"/>
    <w:rsid w:val="00E90F82"/>
    <w:rsid w:val="00E9141D"/>
    <w:rsid w:val="00E91DA1"/>
    <w:rsid w:val="00E92ABD"/>
    <w:rsid w:val="00E9349A"/>
    <w:rsid w:val="00E93D54"/>
    <w:rsid w:val="00E93E77"/>
    <w:rsid w:val="00E93EDB"/>
    <w:rsid w:val="00E94214"/>
    <w:rsid w:val="00E94ABA"/>
    <w:rsid w:val="00E95A82"/>
    <w:rsid w:val="00E95E68"/>
    <w:rsid w:val="00E96A00"/>
    <w:rsid w:val="00E96B90"/>
    <w:rsid w:val="00E9700C"/>
    <w:rsid w:val="00E97BE4"/>
    <w:rsid w:val="00EA02B6"/>
    <w:rsid w:val="00EA048F"/>
    <w:rsid w:val="00EA07E1"/>
    <w:rsid w:val="00EA08B8"/>
    <w:rsid w:val="00EA0AD2"/>
    <w:rsid w:val="00EA0C0B"/>
    <w:rsid w:val="00EA0C8F"/>
    <w:rsid w:val="00EA3608"/>
    <w:rsid w:val="00EA444C"/>
    <w:rsid w:val="00EA4BC2"/>
    <w:rsid w:val="00EA7BD8"/>
    <w:rsid w:val="00EB1618"/>
    <w:rsid w:val="00EB2078"/>
    <w:rsid w:val="00EB279C"/>
    <w:rsid w:val="00EB2A6F"/>
    <w:rsid w:val="00EB2C90"/>
    <w:rsid w:val="00EB3BB1"/>
    <w:rsid w:val="00EB3C41"/>
    <w:rsid w:val="00EB40B0"/>
    <w:rsid w:val="00EB4557"/>
    <w:rsid w:val="00EB4C3B"/>
    <w:rsid w:val="00EB4DD1"/>
    <w:rsid w:val="00EB6BDC"/>
    <w:rsid w:val="00EB77FF"/>
    <w:rsid w:val="00EB78EE"/>
    <w:rsid w:val="00EB7A51"/>
    <w:rsid w:val="00EC039E"/>
    <w:rsid w:val="00EC1633"/>
    <w:rsid w:val="00EC2E14"/>
    <w:rsid w:val="00EC2E64"/>
    <w:rsid w:val="00EC3844"/>
    <w:rsid w:val="00EC3D66"/>
    <w:rsid w:val="00EC42E0"/>
    <w:rsid w:val="00EC4CDD"/>
    <w:rsid w:val="00EC525D"/>
    <w:rsid w:val="00EC5A68"/>
    <w:rsid w:val="00EC5E58"/>
    <w:rsid w:val="00EC7515"/>
    <w:rsid w:val="00EC78AC"/>
    <w:rsid w:val="00EC7A7F"/>
    <w:rsid w:val="00EC7B7D"/>
    <w:rsid w:val="00ED06CD"/>
    <w:rsid w:val="00ED076A"/>
    <w:rsid w:val="00ED077B"/>
    <w:rsid w:val="00ED0B5F"/>
    <w:rsid w:val="00ED225F"/>
    <w:rsid w:val="00ED238C"/>
    <w:rsid w:val="00ED2A93"/>
    <w:rsid w:val="00ED3CE2"/>
    <w:rsid w:val="00ED5BFC"/>
    <w:rsid w:val="00ED5F25"/>
    <w:rsid w:val="00ED674A"/>
    <w:rsid w:val="00ED67D0"/>
    <w:rsid w:val="00ED76EF"/>
    <w:rsid w:val="00EE3C2E"/>
    <w:rsid w:val="00EE43FB"/>
    <w:rsid w:val="00EE4E1E"/>
    <w:rsid w:val="00EE52E7"/>
    <w:rsid w:val="00EE57DC"/>
    <w:rsid w:val="00EE5872"/>
    <w:rsid w:val="00EE5A0E"/>
    <w:rsid w:val="00EE6E81"/>
    <w:rsid w:val="00EE7F37"/>
    <w:rsid w:val="00EF129C"/>
    <w:rsid w:val="00EF1464"/>
    <w:rsid w:val="00EF224B"/>
    <w:rsid w:val="00EF32F7"/>
    <w:rsid w:val="00EF3B7F"/>
    <w:rsid w:val="00EF40BE"/>
    <w:rsid w:val="00EF49E1"/>
    <w:rsid w:val="00EF53C0"/>
    <w:rsid w:val="00EF5792"/>
    <w:rsid w:val="00EF59AB"/>
    <w:rsid w:val="00EF641F"/>
    <w:rsid w:val="00EF6871"/>
    <w:rsid w:val="00EF6BF4"/>
    <w:rsid w:val="00F0070A"/>
    <w:rsid w:val="00F00746"/>
    <w:rsid w:val="00F015BA"/>
    <w:rsid w:val="00F025BD"/>
    <w:rsid w:val="00F0293D"/>
    <w:rsid w:val="00F02F97"/>
    <w:rsid w:val="00F03080"/>
    <w:rsid w:val="00F03E06"/>
    <w:rsid w:val="00F051AE"/>
    <w:rsid w:val="00F05658"/>
    <w:rsid w:val="00F0627E"/>
    <w:rsid w:val="00F068AE"/>
    <w:rsid w:val="00F06D31"/>
    <w:rsid w:val="00F10FC1"/>
    <w:rsid w:val="00F11F26"/>
    <w:rsid w:val="00F12992"/>
    <w:rsid w:val="00F1470E"/>
    <w:rsid w:val="00F176F6"/>
    <w:rsid w:val="00F17AF7"/>
    <w:rsid w:val="00F20003"/>
    <w:rsid w:val="00F20289"/>
    <w:rsid w:val="00F20F7B"/>
    <w:rsid w:val="00F211D9"/>
    <w:rsid w:val="00F21FED"/>
    <w:rsid w:val="00F23A01"/>
    <w:rsid w:val="00F23ED4"/>
    <w:rsid w:val="00F243E2"/>
    <w:rsid w:val="00F24671"/>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568C"/>
    <w:rsid w:val="00F36FF5"/>
    <w:rsid w:val="00F37209"/>
    <w:rsid w:val="00F37E5A"/>
    <w:rsid w:val="00F404FB"/>
    <w:rsid w:val="00F40BFA"/>
    <w:rsid w:val="00F428CF"/>
    <w:rsid w:val="00F431D0"/>
    <w:rsid w:val="00F440BA"/>
    <w:rsid w:val="00F44641"/>
    <w:rsid w:val="00F44ED7"/>
    <w:rsid w:val="00F4652C"/>
    <w:rsid w:val="00F471CD"/>
    <w:rsid w:val="00F47450"/>
    <w:rsid w:val="00F47CDE"/>
    <w:rsid w:val="00F47EDE"/>
    <w:rsid w:val="00F47F20"/>
    <w:rsid w:val="00F52179"/>
    <w:rsid w:val="00F559DD"/>
    <w:rsid w:val="00F56596"/>
    <w:rsid w:val="00F5729F"/>
    <w:rsid w:val="00F57964"/>
    <w:rsid w:val="00F601B8"/>
    <w:rsid w:val="00F60681"/>
    <w:rsid w:val="00F606B7"/>
    <w:rsid w:val="00F6083D"/>
    <w:rsid w:val="00F60DC7"/>
    <w:rsid w:val="00F60E42"/>
    <w:rsid w:val="00F613B7"/>
    <w:rsid w:val="00F621B5"/>
    <w:rsid w:val="00F62832"/>
    <w:rsid w:val="00F63615"/>
    <w:rsid w:val="00F63EFE"/>
    <w:rsid w:val="00F64A62"/>
    <w:rsid w:val="00F64DC5"/>
    <w:rsid w:val="00F656DC"/>
    <w:rsid w:val="00F675A3"/>
    <w:rsid w:val="00F70080"/>
    <w:rsid w:val="00F71055"/>
    <w:rsid w:val="00F721DB"/>
    <w:rsid w:val="00F72E2D"/>
    <w:rsid w:val="00F74E9B"/>
    <w:rsid w:val="00F752BC"/>
    <w:rsid w:val="00F757B6"/>
    <w:rsid w:val="00F761D8"/>
    <w:rsid w:val="00F769DB"/>
    <w:rsid w:val="00F76B31"/>
    <w:rsid w:val="00F7719D"/>
    <w:rsid w:val="00F77386"/>
    <w:rsid w:val="00F8211A"/>
    <w:rsid w:val="00F828EC"/>
    <w:rsid w:val="00F83E8B"/>
    <w:rsid w:val="00F841EC"/>
    <w:rsid w:val="00F84987"/>
    <w:rsid w:val="00F84CB3"/>
    <w:rsid w:val="00F85C70"/>
    <w:rsid w:val="00F85D8A"/>
    <w:rsid w:val="00F87CAE"/>
    <w:rsid w:val="00F9056F"/>
    <w:rsid w:val="00F90A32"/>
    <w:rsid w:val="00F90D90"/>
    <w:rsid w:val="00F92236"/>
    <w:rsid w:val="00F92817"/>
    <w:rsid w:val="00F92C2E"/>
    <w:rsid w:val="00F94193"/>
    <w:rsid w:val="00F94286"/>
    <w:rsid w:val="00F94A0A"/>
    <w:rsid w:val="00F95BD4"/>
    <w:rsid w:val="00F96430"/>
    <w:rsid w:val="00F96D40"/>
    <w:rsid w:val="00F97DF3"/>
    <w:rsid w:val="00F97F6A"/>
    <w:rsid w:val="00FA075B"/>
    <w:rsid w:val="00FA0E4F"/>
    <w:rsid w:val="00FA10A3"/>
    <w:rsid w:val="00FA1590"/>
    <w:rsid w:val="00FA15A7"/>
    <w:rsid w:val="00FA1AF9"/>
    <w:rsid w:val="00FA33A7"/>
    <w:rsid w:val="00FA396E"/>
    <w:rsid w:val="00FA3A12"/>
    <w:rsid w:val="00FA4385"/>
    <w:rsid w:val="00FA4465"/>
    <w:rsid w:val="00FA47ED"/>
    <w:rsid w:val="00FA5C44"/>
    <w:rsid w:val="00FA6130"/>
    <w:rsid w:val="00FB10B1"/>
    <w:rsid w:val="00FB16DB"/>
    <w:rsid w:val="00FB2510"/>
    <w:rsid w:val="00FB26D8"/>
    <w:rsid w:val="00FB3A1C"/>
    <w:rsid w:val="00FB3F73"/>
    <w:rsid w:val="00FB455A"/>
    <w:rsid w:val="00FB5609"/>
    <w:rsid w:val="00FB6A78"/>
    <w:rsid w:val="00FB6F58"/>
    <w:rsid w:val="00FB731A"/>
    <w:rsid w:val="00FB73B7"/>
    <w:rsid w:val="00FB74D0"/>
    <w:rsid w:val="00FC0476"/>
    <w:rsid w:val="00FC0960"/>
    <w:rsid w:val="00FC0B12"/>
    <w:rsid w:val="00FC122E"/>
    <w:rsid w:val="00FC1508"/>
    <w:rsid w:val="00FC15E5"/>
    <w:rsid w:val="00FC1A58"/>
    <w:rsid w:val="00FC1ABA"/>
    <w:rsid w:val="00FC1C72"/>
    <w:rsid w:val="00FC2065"/>
    <w:rsid w:val="00FC445E"/>
    <w:rsid w:val="00FC44B6"/>
    <w:rsid w:val="00FC580E"/>
    <w:rsid w:val="00FC61C7"/>
    <w:rsid w:val="00FC6895"/>
    <w:rsid w:val="00FC6A66"/>
    <w:rsid w:val="00FC6D0D"/>
    <w:rsid w:val="00FC7AE1"/>
    <w:rsid w:val="00FD1208"/>
    <w:rsid w:val="00FD1E25"/>
    <w:rsid w:val="00FD2528"/>
    <w:rsid w:val="00FD292D"/>
    <w:rsid w:val="00FD2EE8"/>
    <w:rsid w:val="00FD3AD5"/>
    <w:rsid w:val="00FD3F9A"/>
    <w:rsid w:val="00FD5E27"/>
    <w:rsid w:val="00FD6D26"/>
    <w:rsid w:val="00FD6D43"/>
    <w:rsid w:val="00FD6E8E"/>
    <w:rsid w:val="00FD7265"/>
    <w:rsid w:val="00FD7440"/>
    <w:rsid w:val="00FD74A5"/>
    <w:rsid w:val="00FD7519"/>
    <w:rsid w:val="00FD7769"/>
    <w:rsid w:val="00FD7B17"/>
    <w:rsid w:val="00FD7C43"/>
    <w:rsid w:val="00FE02A7"/>
    <w:rsid w:val="00FE1383"/>
    <w:rsid w:val="00FE1736"/>
    <w:rsid w:val="00FE1770"/>
    <w:rsid w:val="00FE19D2"/>
    <w:rsid w:val="00FE2BCC"/>
    <w:rsid w:val="00FE3D1A"/>
    <w:rsid w:val="00FE4932"/>
    <w:rsid w:val="00FE4EEF"/>
    <w:rsid w:val="00FE5529"/>
    <w:rsid w:val="00FE5A4A"/>
    <w:rsid w:val="00FE6745"/>
    <w:rsid w:val="00FE707B"/>
    <w:rsid w:val="00FF0C14"/>
    <w:rsid w:val="00FF14BB"/>
    <w:rsid w:val="00FF1AFF"/>
    <w:rsid w:val="00FF32E9"/>
    <w:rsid w:val="00FF3CD6"/>
    <w:rsid w:val="00FF3F94"/>
    <w:rsid w:val="00FF40B1"/>
    <w:rsid w:val="00FF58EF"/>
    <w:rsid w:val="00FF59A5"/>
    <w:rsid w:val="00FF6103"/>
    <w:rsid w:val="00FF6AD3"/>
    <w:rsid w:val="00FF73F2"/>
    <w:rsid w:val="00FF7BF4"/>
    <w:rsid w:val="00FF7F9A"/>
    <w:rsid w:val="0124683C"/>
    <w:rsid w:val="017738AF"/>
    <w:rsid w:val="01FC6752"/>
    <w:rsid w:val="01FD4469"/>
    <w:rsid w:val="02683825"/>
    <w:rsid w:val="02C92414"/>
    <w:rsid w:val="030719AC"/>
    <w:rsid w:val="038D0D6B"/>
    <w:rsid w:val="03D62017"/>
    <w:rsid w:val="0435334E"/>
    <w:rsid w:val="049820AD"/>
    <w:rsid w:val="04FA6940"/>
    <w:rsid w:val="05026CE4"/>
    <w:rsid w:val="05B9052D"/>
    <w:rsid w:val="069F7723"/>
    <w:rsid w:val="074107DA"/>
    <w:rsid w:val="075E65F7"/>
    <w:rsid w:val="0858402D"/>
    <w:rsid w:val="08E616F2"/>
    <w:rsid w:val="0957288F"/>
    <w:rsid w:val="09A84B40"/>
    <w:rsid w:val="0AA5714F"/>
    <w:rsid w:val="0BB23563"/>
    <w:rsid w:val="0BB6484B"/>
    <w:rsid w:val="0E3F272E"/>
    <w:rsid w:val="0E83792A"/>
    <w:rsid w:val="0F1130C0"/>
    <w:rsid w:val="0F514856"/>
    <w:rsid w:val="0FAB4284"/>
    <w:rsid w:val="10A75CE3"/>
    <w:rsid w:val="111D0683"/>
    <w:rsid w:val="11F56B6F"/>
    <w:rsid w:val="123F43C4"/>
    <w:rsid w:val="127203E1"/>
    <w:rsid w:val="12DF17F8"/>
    <w:rsid w:val="12F86B39"/>
    <w:rsid w:val="130C6ECC"/>
    <w:rsid w:val="135062A3"/>
    <w:rsid w:val="13B94F2E"/>
    <w:rsid w:val="153118E1"/>
    <w:rsid w:val="15693843"/>
    <w:rsid w:val="17AC7EF2"/>
    <w:rsid w:val="18025199"/>
    <w:rsid w:val="1838462F"/>
    <w:rsid w:val="196056EA"/>
    <w:rsid w:val="1974516C"/>
    <w:rsid w:val="19B3285C"/>
    <w:rsid w:val="19C71013"/>
    <w:rsid w:val="1A227F1E"/>
    <w:rsid w:val="1A23669C"/>
    <w:rsid w:val="1A84066E"/>
    <w:rsid w:val="1AB74EEC"/>
    <w:rsid w:val="1AE71067"/>
    <w:rsid w:val="1B746F78"/>
    <w:rsid w:val="1D4D13CE"/>
    <w:rsid w:val="1D931D3A"/>
    <w:rsid w:val="1E0D6DAC"/>
    <w:rsid w:val="1EC71AB5"/>
    <w:rsid w:val="1F4145DE"/>
    <w:rsid w:val="1FDF698A"/>
    <w:rsid w:val="20766D73"/>
    <w:rsid w:val="20CA314D"/>
    <w:rsid w:val="20CD1D42"/>
    <w:rsid w:val="20F040BD"/>
    <w:rsid w:val="21134B3E"/>
    <w:rsid w:val="220152DE"/>
    <w:rsid w:val="220A2750"/>
    <w:rsid w:val="22567656"/>
    <w:rsid w:val="2264521C"/>
    <w:rsid w:val="22DD50E3"/>
    <w:rsid w:val="232F19D7"/>
    <w:rsid w:val="239A00BA"/>
    <w:rsid w:val="23AC7F3C"/>
    <w:rsid w:val="23CA7E50"/>
    <w:rsid w:val="23D135AE"/>
    <w:rsid w:val="24333D63"/>
    <w:rsid w:val="26AA4B36"/>
    <w:rsid w:val="28E004DD"/>
    <w:rsid w:val="29E62B97"/>
    <w:rsid w:val="2A047D12"/>
    <w:rsid w:val="2A186CEF"/>
    <w:rsid w:val="2A4F6F0B"/>
    <w:rsid w:val="2AE71DF0"/>
    <w:rsid w:val="2BB05D69"/>
    <w:rsid w:val="2BE041B6"/>
    <w:rsid w:val="2D0B5F28"/>
    <w:rsid w:val="2E2959A0"/>
    <w:rsid w:val="2E933762"/>
    <w:rsid w:val="2E956743"/>
    <w:rsid w:val="2E9F7664"/>
    <w:rsid w:val="2EC954AE"/>
    <w:rsid w:val="2F104DB2"/>
    <w:rsid w:val="2F902146"/>
    <w:rsid w:val="30EA47D4"/>
    <w:rsid w:val="313827D7"/>
    <w:rsid w:val="31D73965"/>
    <w:rsid w:val="32D16607"/>
    <w:rsid w:val="334F0940"/>
    <w:rsid w:val="33796518"/>
    <w:rsid w:val="33E9752E"/>
    <w:rsid w:val="35A869C4"/>
    <w:rsid w:val="364A3FA5"/>
    <w:rsid w:val="36872495"/>
    <w:rsid w:val="36F15A3F"/>
    <w:rsid w:val="36F51770"/>
    <w:rsid w:val="38706120"/>
    <w:rsid w:val="38881A8D"/>
    <w:rsid w:val="39F72DF7"/>
    <w:rsid w:val="3CF12B26"/>
    <w:rsid w:val="3D7A1E60"/>
    <w:rsid w:val="3D7E7D22"/>
    <w:rsid w:val="3E233019"/>
    <w:rsid w:val="3E447F1F"/>
    <w:rsid w:val="3F012022"/>
    <w:rsid w:val="3F1838D2"/>
    <w:rsid w:val="40275AB8"/>
    <w:rsid w:val="40CC5EF5"/>
    <w:rsid w:val="41A72ADD"/>
    <w:rsid w:val="42B05C5D"/>
    <w:rsid w:val="42FB3663"/>
    <w:rsid w:val="43125A96"/>
    <w:rsid w:val="43186CF5"/>
    <w:rsid w:val="44330ECF"/>
    <w:rsid w:val="443F5AC6"/>
    <w:rsid w:val="44871A95"/>
    <w:rsid w:val="44BF2763"/>
    <w:rsid w:val="44C10289"/>
    <w:rsid w:val="44E37FCE"/>
    <w:rsid w:val="4535184A"/>
    <w:rsid w:val="45383140"/>
    <w:rsid w:val="458616E3"/>
    <w:rsid w:val="45D86360"/>
    <w:rsid w:val="47796812"/>
    <w:rsid w:val="48F40E29"/>
    <w:rsid w:val="49430CDD"/>
    <w:rsid w:val="4B1C1647"/>
    <w:rsid w:val="4B1D432D"/>
    <w:rsid w:val="4B4B73DD"/>
    <w:rsid w:val="4BB260DE"/>
    <w:rsid w:val="4C3B0AE9"/>
    <w:rsid w:val="4C5B236A"/>
    <w:rsid w:val="4C64045E"/>
    <w:rsid w:val="4CD6689C"/>
    <w:rsid w:val="4CE60E9A"/>
    <w:rsid w:val="4DB820D9"/>
    <w:rsid w:val="4EB0594F"/>
    <w:rsid w:val="4FFD31F9"/>
    <w:rsid w:val="50421F61"/>
    <w:rsid w:val="50577E57"/>
    <w:rsid w:val="506F72BD"/>
    <w:rsid w:val="508B5BEF"/>
    <w:rsid w:val="51181B78"/>
    <w:rsid w:val="51821EAD"/>
    <w:rsid w:val="51C72AFE"/>
    <w:rsid w:val="527D649D"/>
    <w:rsid w:val="5334770E"/>
    <w:rsid w:val="54AC7A3E"/>
    <w:rsid w:val="54B72B11"/>
    <w:rsid w:val="55C148A9"/>
    <w:rsid w:val="55E92AFF"/>
    <w:rsid w:val="563B1615"/>
    <w:rsid w:val="56D05B1A"/>
    <w:rsid w:val="5854400C"/>
    <w:rsid w:val="58893182"/>
    <w:rsid w:val="593F3A1A"/>
    <w:rsid w:val="59756D76"/>
    <w:rsid w:val="59FE4105"/>
    <w:rsid w:val="5AAD1AE8"/>
    <w:rsid w:val="5B8A2B56"/>
    <w:rsid w:val="5C773E66"/>
    <w:rsid w:val="5D4D4FBA"/>
    <w:rsid w:val="5D8154CF"/>
    <w:rsid w:val="5D9923EC"/>
    <w:rsid w:val="5DCF111D"/>
    <w:rsid w:val="5DDD21F2"/>
    <w:rsid w:val="5E5B3BCE"/>
    <w:rsid w:val="5E7E13F0"/>
    <w:rsid w:val="5EDB2372"/>
    <w:rsid w:val="5F9D3BEB"/>
    <w:rsid w:val="5FC70EB1"/>
    <w:rsid w:val="5FD77B34"/>
    <w:rsid w:val="601E0A8A"/>
    <w:rsid w:val="609B3C2C"/>
    <w:rsid w:val="623358B0"/>
    <w:rsid w:val="623D4573"/>
    <w:rsid w:val="636F08D1"/>
    <w:rsid w:val="650B1656"/>
    <w:rsid w:val="65267312"/>
    <w:rsid w:val="66102A2C"/>
    <w:rsid w:val="66715E2F"/>
    <w:rsid w:val="66A75FC4"/>
    <w:rsid w:val="686B6F60"/>
    <w:rsid w:val="69365A50"/>
    <w:rsid w:val="69690360"/>
    <w:rsid w:val="6A3271A6"/>
    <w:rsid w:val="6A9C057A"/>
    <w:rsid w:val="6C2D26D8"/>
    <w:rsid w:val="6C7A2348"/>
    <w:rsid w:val="6D2E0FD0"/>
    <w:rsid w:val="6D336AB4"/>
    <w:rsid w:val="6DE42B74"/>
    <w:rsid w:val="6F013B3F"/>
    <w:rsid w:val="6F581EB7"/>
    <w:rsid w:val="6F585FB4"/>
    <w:rsid w:val="6FAC2509"/>
    <w:rsid w:val="718933E0"/>
    <w:rsid w:val="72721ECF"/>
    <w:rsid w:val="73AB17E9"/>
    <w:rsid w:val="73E536E4"/>
    <w:rsid w:val="74253A54"/>
    <w:rsid w:val="74865ADD"/>
    <w:rsid w:val="75895579"/>
    <w:rsid w:val="76DE441B"/>
    <w:rsid w:val="770F4B00"/>
    <w:rsid w:val="7734470B"/>
    <w:rsid w:val="77756B2D"/>
    <w:rsid w:val="78006396"/>
    <w:rsid w:val="78ED0487"/>
    <w:rsid w:val="797D3399"/>
    <w:rsid w:val="79A94DE0"/>
    <w:rsid w:val="79C31CC3"/>
    <w:rsid w:val="79F3642F"/>
    <w:rsid w:val="7AE552F3"/>
    <w:rsid w:val="7B9559F0"/>
    <w:rsid w:val="7CDC3977"/>
    <w:rsid w:val="7D0B7F22"/>
    <w:rsid w:val="7D21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qFormat="1" w:uiPriority="99" w:semiHidden="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0"/>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82"/>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83"/>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84"/>
    <w:qFormat/>
    <w:uiPriority w:val="0"/>
    <w:pPr>
      <w:keepNext/>
      <w:keepLines/>
      <w:spacing w:before="240" w:after="64" w:line="320" w:lineRule="auto"/>
      <w:outlineLvl w:val="5"/>
    </w:pPr>
    <w:rPr>
      <w:rFonts w:ascii="Cambria" w:hAnsi="Cambria"/>
      <w:b/>
      <w:bCs/>
      <w:kern w:val="0"/>
      <w:sz w:val="24"/>
    </w:rPr>
  </w:style>
  <w:style w:type="paragraph" w:styleId="8">
    <w:name w:val="heading 7"/>
    <w:basedOn w:val="1"/>
    <w:next w:val="1"/>
    <w:link w:val="85"/>
    <w:qFormat/>
    <w:uiPriority w:val="0"/>
    <w:pPr>
      <w:keepNext/>
      <w:keepLines/>
      <w:spacing w:line="360" w:lineRule="auto"/>
      <w:ind w:left="425" w:hanging="425"/>
      <w:outlineLvl w:val="6"/>
    </w:pPr>
    <w:rPr>
      <w:b/>
      <w:bCs/>
      <w:sz w:val="24"/>
    </w:rPr>
  </w:style>
  <w:style w:type="paragraph" w:styleId="9">
    <w:name w:val="heading 8"/>
    <w:basedOn w:val="1"/>
    <w:next w:val="1"/>
    <w:link w:val="86"/>
    <w:qFormat/>
    <w:uiPriority w:val="0"/>
    <w:pPr>
      <w:keepNext/>
      <w:keepLines/>
      <w:spacing w:line="360" w:lineRule="auto"/>
      <w:ind w:left="425" w:hanging="425"/>
      <w:outlineLvl w:val="7"/>
    </w:pPr>
    <w:rPr>
      <w:b/>
      <w:sz w:val="24"/>
    </w:rPr>
  </w:style>
  <w:style w:type="paragraph" w:styleId="10">
    <w:name w:val="heading 9"/>
    <w:basedOn w:val="1"/>
    <w:next w:val="1"/>
    <w:link w:val="87"/>
    <w:qFormat/>
    <w:uiPriority w:val="0"/>
    <w:pPr>
      <w:keepNext/>
      <w:spacing w:line="600" w:lineRule="exact"/>
      <w:jc w:val="center"/>
      <w:outlineLvl w:val="8"/>
    </w:pPr>
    <w:rPr>
      <w:rFonts w:ascii="仿宋_GB2312" w:hAnsi="Calibri" w:eastAsia="仿宋_GB2312"/>
      <w:sz w:val="32"/>
      <w:szCs w:val="22"/>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cs="Calibri"/>
      <w:sz w:val="18"/>
      <w:szCs w:val="18"/>
    </w:rPr>
  </w:style>
  <w:style w:type="paragraph" w:styleId="12">
    <w:name w:val="List Bullet 4"/>
    <w:basedOn w:val="1"/>
    <w:unhideWhenUsed/>
    <w:qFormat/>
    <w:uiPriority w:val="0"/>
    <w:pPr>
      <w:tabs>
        <w:tab w:val="left" w:pos="360"/>
      </w:tabs>
      <w:spacing w:line="380" w:lineRule="exact"/>
      <w:ind w:left="360" w:hanging="360"/>
    </w:pPr>
    <w:rPr>
      <w:rFonts w:ascii="Calibri" w:hAnsi="Calibri"/>
      <w:sz w:val="28"/>
      <w:szCs w:val="22"/>
    </w:rPr>
  </w:style>
  <w:style w:type="paragraph" w:styleId="13">
    <w:name w:val="index 8"/>
    <w:basedOn w:val="1"/>
    <w:next w:val="1"/>
    <w:unhideWhenUsed/>
    <w:qFormat/>
    <w:uiPriority w:val="0"/>
    <w:pPr>
      <w:ind w:left="1400" w:leftChars="1400"/>
    </w:pPr>
    <w:rPr>
      <w:rFonts w:ascii="Calibri" w:hAnsi="Calibri"/>
      <w:szCs w:val="22"/>
    </w:rPr>
  </w:style>
  <w:style w:type="paragraph" w:styleId="14">
    <w:name w:val="List Number"/>
    <w:basedOn w:val="1"/>
    <w:unhideWhenUsed/>
    <w:qFormat/>
    <w:uiPriority w:val="0"/>
    <w:pPr>
      <w:tabs>
        <w:tab w:val="left" w:pos="0"/>
        <w:tab w:val="left" w:pos="840"/>
      </w:tabs>
      <w:spacing w:line="360" w:lineRule="auto"/>
    </w:pPr>
    <w:rPr>
      <w:rFonts w:ascii="Calibri" w:hAnsi="Calibri"/>
      <w:szCs w:val="22"/>
    </w:rPr>
  </w:style>
  <w:style w:type="paragraph" w:styleId="15">
    <w:name w:val="Normal Indent"/>
    <w:basedOn w:val="1"/>
    <w:link w:val="88"/>
    <w:unhideWhenUsed/>
    <w:qFormat/>
    <w:uiPriority w:val="0"/>
    <w:pPr>
      <w:ind w:firstLine="420" w:firstLineChars="200"/>
    </w:pPr>
    <w:rPr>
      <w:kern w:val="0"/>
      <w:sz w:val="20"/>
    </w:rPr>
  </w:style>
  <w:style w:type="paragraph" w:styleId="16">
    <w:name w:val="caption"/>
    <w:basedOn w:val="1"/>
    <w:next w:val="1"/>
    <w:link w:val="89"/>
    <w:qFormat/>
    <w:uiPriority w:val="0"/>
    <w:pPr>
      <w:spacing w:beforeLines="50" w:afterLines="50" w:line="360" w:lineRule="auto"/>
      <w:jc w:val="center"/>
    </w:pPr>
    <w:rPr>
      <w:rFonts w:ascii="Arial" w:hAnsi="Arial"/>
      <w:sz w:val="24"/>
      <w:szCs w:val="20"/>
    </w:rPr>
  </w:style>
  <w:style w:type="paragraph" w:styleId="17">
    <w:name w:val="index 5"/>
    <w:basedOn w:val="1"/>
    <w:next w:val="1"/>
    <w:unhideWhenUsed/>
    <w:qFormat/>
    <w:uiPriority w:val="0"/>
    <w:pPr>
      <w:ind w:left="800" w:leftChars="800"/>
    </w:pPr>
    <w:rPr>
      <w:rFonts w:ascii="Calibri" w:hAnsi="Calibri"/>
      <w:szCs w:val="22"/>
    </w:rPr>
  </w:style>
  <w:style w:type="paragraph" w:styleId="18">
    <w:name w:val="List Bullet"/>
    <w:basedOn w:val="1"/>
    <w:unhideWhenUsed/>
    <w:qFormat/>
    <w:uiPriority w:val="0"/>
    <w:pPr>
      <w:tabs>
        <w:tab w:val="left" w:pos="840"/>
      </w:tabs>
      <w:spacing w:line="360" w:lineRule="auto"/>
      <w:ind w:left="962" w:hanging="480"/>
    </w:pPr>
    <w:rPr>
      <w:rFonts w:ascii="Calibri" w:hAnsi="Calibri"/>
      <w:sz w:val="24"/>
      <w:szCs w:val="22"/>
    </w:rPr>
  </w:style>
  <w:style w:type="paragraph" w:styleId="19">
    <w:name w:val="Document Map"/>
    <w:basedOn w:val="1"/>
    <w:link w:val="90"/>
    <w:qFormat/>
    <w:uiPriority w:val="99"/>
    <w:pPr>
      <w:shd w:val="clear" w:color="auto" w:fill="000080"/>
    </w:pPr>
  </w:style>
  <w:style w:type="paragraph" w:styleId="20">
    <w:name w:val="annotation text"/>
    <w:basedOn w:val="1"/>
    <w:link w:val="91"/>
    <w:unhideWhenUsed/>
    <w:qFormat/>
    <w:uiPriority w:val="99"/>
    <w:pPr>
      <w:jc w:val="left"/>
    </w:pPr>
  </w:style>
  <w:style w:type="paragraph" w:styleId="21">
    <w:name w:val="index 6"/>
    <w:basedOn w:val="1"/>
    <w:next w:val="1"/>
    <w:unhideWhenUsed/>
    <w:qFormat/>
    <w:uiPriority w:val="0"/>
    <w:pPr>
      <w:ind w:left="1000" w:leftChars="1000"/>
    </w:pPr>
    <w:rPr>
      <w:rFonts w:ascii="Calibri" w:hAnsi="Calibri"/>
      <w:szCs w:val="22"/>
    </w:rPr>
  </w:style>
  <w:style w:type="paragraph" w:styleId="22">
    <w:name w:val="Body Text 3"/>
    <w:basedOn w:val="1"/>
    <w:link w:val="92"/>
    <w:qFormat/>
    <w:uiPriority w:val="0"/>
    <w:rPr>
      <w:rFonts w:ascii="楷体_GB2312" w:hAnsi="Arial" w:eastAsia="楷体_GB2312"/>
      <w:b/>
      <w:bCs/>
      <w:color w:val="000000"/>
      <w:sz w:val="24"/>
    </w:rPr>
  </w:style>
  <w:style w:type="paragraph" w:styleId="23">
    <w:name w:val="List Bullet 3"/>
    <w:basedOn w:val="1"/>
    <w:unhideWhenUsed/>
    <w:qFormat/>
    <w:uiPriority w:val="0"/>
    <w:pPr>
      <w:tabs>
        <w:tab w:val="left" w:pos="1200"/>
      </w:tabs>
      <w:spacing w:line="380" w:lineRule="exact"/>
      <w:ind w:left="1200" w:hanging="360"/>
    </w:pPr>
    <w:rPr>
      <w:rFonts w:ascii="Calibri" w:hAnsi="Calibri"/>
      <w:sz w:val="28"/>
      <w:szCs w:val="22"/>
    </w:rPr>
  </w:style>
  <w:style w:type="paragraph" w:styleId="24">
    <w:name w:val="Body Text"/>
    <w:basedOn w:val="1"/>
    <w:next w:val="25"/>
    <w:link w:val="77"/>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customStyle="1" w:styleId="25">
    <w:name w:val="style4"/>
    <w:basedOn w:val="1"/>
    <w:next w:val="26"/>
    <w:qFormat/>
    <w:uiPriority w:val="0"/>
    <w:pPr>
      <w:widowControl/>
      <w:spacing w:before="280" w:after="280"/>
    </w:pPr>
    <w:rPr>
      <w:rFonts w:ascii="宋体"/>
      <w:sz w:val="18"/>
    </w:rPr>
  </w:style>
  <w:style w:type="paragraph" w:customStyle="1" w:styleId="26">
    <w:name w:val="2"/>
    <w:basedOn w:val="1"/>
    <w:next w:val="1"/>
    <w:qFormat/>
    <w:uiPriority w:val="0"/>
    <w:rPr>
      <w:rFonts w:ascii="宋体"/>
      <w:b/>
      <w:bCs/>
      <w:sz w:val="24"/>
    </w:rPr>
  </w:style>
  <w:style w:type="paragraph" w:styleId="27">
    <w:name w:val="Body Text Indent"/>
    <w:basedOn w:val="1"/>
    <w:next w:val="28"/>
    <w:link w:val="93"/>
    <w:unhideWhenUsed/>
    <w:qFormat/>
    <w:uiPriority w:val="0"/>
    <w:pPr>
      <w:spacing w:after="120"/>
      <w:ind w:left="420" w:leftChars="200"/>
    </w:pPr>
    <w:rPr>
      <w:kern w:val="0"/>
      <w:sz w:val="20"/>
    </w:rPr>
  </w:style>
  <w:style w:type="paragraph" w:styleId="28">
    <w:name w:val="envelope return"/>
    <w:basedOn w:val="1"/>
    <w:unhideWhenUsed/>
    <w:qFormat/>
    <w:uiPriority w:val="99"/>
    <w:pPr>
      <w:snapToGrid w:val="0"/>
    </w:pPr>
    <w:rPr>
      <w:rFonts w:ascii="Arial" w:hAnsi="Arial"/>
    </w:rPr>
  </w:style>
  <w:style w:type="paragraph" w:styleId="29">
    <w:name w:val="Block Text"/>
    <w:basedOn w:val="1"/>
    <w:qFormat/>
    <w:uiPriority w:val="0"/>
    <w:pPr>
      <w:adjustRightInd w:val="0"/>
      <w:ind w:left="420" w:right="33"/>
      <w:jc w:val="left"/>
      <w:textAlignment w:val="baseline"/>
    </w:pPr>
    <w:rPr>
      <w:kern w:val="0"/>
      <w:sz w:val="24"/>
      <w:szCs w:val="20"/>
    </w:rPr>
  </w:style>
  <w:style w:type="paragraph" w:styleId="30">
    <w:name w:val="List Bullet 2"/>
    <w:basedOn w:val="1"/>
    <w:unhideWhenUsed/>
    <w:qFormat/>
    <w:uiPriority w:val="0"/>
    <w:pPr>
      <w:tabs>
        <w:tab w:val="left" w:pos="720"/>
      </w:tabs>
      <w:spacing w:line="360" w:lineRule="auto"/>
      <w:ind w:left="720" w:hanging="360"/>
    </w:pPr>
    <w:rPr>
      <w:rFonts w:ascii="Calibri" w:hAnsi="Calibri"/>
      <w:sz w:val="24"/>
      <w:szCs w:val="22"/>
    </w:rPr>
  </w:style>
  <w:style w:type="paragraph" w:styleId="31">
    <w:name w:val="HTML Address"/>
    <w:basedOn w:val="1"/>
    <w:link w:val="94"/>
    <w:unhideWhenUsed/>
    <w:qFormat/>
    <w:uiPriority w:val="0"/>
    <w:rPr>
      <w:rFonts w:ascii="Calibri" w:hAnsi="Calibri"/>
      <w:i/>
      <w:iCs/>
      <w:szCs w:val="22"/>
    </w:rPr>
  </w:style>
  <w:style w:type="paragraph" w:styleId="32">
    <w:name w:val="index 4"/>
    <w:basedOn w:val="1"/>
    <w:next w:val="1"/>
    <w:qFormat/>
    <w:uiPriority w:val="0"/>
    <w:pPr>
      <w:ind w:left="600" w:leftChars="600"/>
    </w:pPr>
    <w:rPr>
      <w:rFonts w:ascii="Verdana" w:hAnsi="Verdana"/>
      <w:szCs w:val="20"/>
    </w:rPr>
  </w:style>
  <w:style w:type="paragraph" w:styleId="33">
    <w:name w:val="toc 5"/>
    <w:basedOn w:val="1"/>
    <w:next w:val="1"/>
    <w:unhideWhenUsed/>
    <w:qFormat/>
    <w:uiPriority w:val="39"/>
    <w:pPr>
      <w:ind w:left="840"/>
      <w:jc w:val="left"/>
    </w:pPr>
    <w:rPr>
      <w:rFonts w:ascii="Calibri" w:hAnsi="Calibri" w:cs="Calibri"/>
      <w:sz w:val="18"/>
      <w:szCs w:val="18"/>
    </w:rPr>
  </w:style>
  <w:style w:type="paragraph" w:styleId="34">
    <w:name w:val="Plain Text"/>
    <w:basedOn w:val="1"/>
    <w:link w:val="95"/>
    <w:qFormat/>
    <w:uiPriority w:val="0"/>
    <w:rPr>
      <w:rFonts w:ascii="宋体" w:hAnsi="Courier New"/>
      <w:szCs w:val="20"/>
    </w:rPr>
  </w:style>
  <w:style w:type="paragraph" w:styleId="35">
    <w:name w:val="List Bullet 5"/>
    <w:basedOn w:val="1"/>
    <w:unhideWhenUsed/>
    <w:qFormat/>
    <w:uiPriority w:val="0"/>
    <w:pPr>
      <w:tabs>
        <w:tab w:val="left" w:pos="720"/>
      </w:tabs>
      <w:spacing w:line="380" w:lineRule="exact"/>
      <w:ind w:left="720" w:hanging="360"/>
    </w:pPr>
    <w:rPr>
      <w:rFonts w:ascii="Calibri" w:hAnsi="Calibri"/>
      <w:sz w:val="28"/>
      <w:szCs w:val="22"/>
    </w:rPr>
  </w:style>
  <w:style w:type="paragraph" w:styleId="36">
    <w:name w:val="toc 8"/>
    <w:basedOn w:val="1"/>
    <w:next w:val="1"/>
    <w:unhideWhenUsed/>
    <w:qFormat/>
    <w:uiPriority w:val="39"/>
    <w:pPr>
      <w:ind w:left="1470"/>
      <w:jc w:val="left"/>
    </w:pPr>
    <w:rPr>
      <w:rFonts w:ascii="Calibri" w:hAnsi="Calibri" w:cs="Calibri"/>
      <w:sz w:val="18"/>
      <w:szCs w:val="18"/>
    </w:rPr>
  </w:style>
  <w:style w:type="paragraph" w:styleId="37">
    <w:name w:val="index 3"/>
    <w:basedOn w:val="1"/>
    <w:next w:val="1"/>
    <w:unhideWhenUsed/>
    <w:qFormat/>
    <w:uiPriority w:val="0"/>
    <w:pPr>
      <w:ind w:left="400" w:leftChars="400"/>
    </w:pPr>
    <w:rPr>
      <w:rFonts w:ascii="Calibri" w:hAnsi="Calibri"/>
      <w:szCs w:val="22"/>
    </w:rPr>
  </w:style>
  <w:style w:type="paragraph" w:styleId="38">
    <w:name w:val="Date"/>
    <w:basedOn w:val="1"/>
    <w:next w:val="1"/>
    <w:link w:val="96"/>
    <w:qFormat/>
    <w:uiPriority w:val="0"/>
    <w:pPr>
      <w:ind w:left="100"/>
    </w:pPr>
    <w:rPr>
      <w:rFonts w:ascii="仿宋_GB2312" w:hAnsi="Courier New" w:eastAsia="仿宋_GB2312"/>
      <w:sz w:val="28"/>
      <w:szCs w:val="20"/>
    </w:rPr>
  </w:style>
  <w:style w:type="paragraph" w:styleId="39">
    <w:name w:val="Body Text Indent 2"/>
    <w:basedOn w:val="1"/>
    <w:link w:val="97"/>
    <w:qFormat/>
    <w:uiPriority w:val="99"/>
    <w:pPr>
      <w:spacing w:after="120" w:line="480" w:lineRule="auto"/>
      <w:ind w:left="420" w:leftChars="200"/>
    </w:pPr>
  </w:style>
  <w:style w:type="paragraph" w:styleId="40">
    <w:name w:val="endnote text"/>
    <w:basedOn w:val="1"/>
    <w:link w:val="98"/>
    <w:unhideWhenUsed/>
    <w:qFormat/>
    <w:uiPriority w:val="0"/>
    <w:pPr>
      <w:widowControl/>
      <w:snapToGrid w:val="0"/>
      <w:jc w:val="left"/>
    </w:pPr>
    <w:rPr>
      <w:rFonts w:ascii="宋体" w:hAnsi="Calibri"/>
      <w:bCs/>
      <w:kern w:val="0"/>
      <w:szCs w:val="21"/>
    </w:rPr>
  </w:style>
  <w:style w:type="paragraph" w:styleId="41">
    <w:name w:val="Balloon Text"/>
    <w:basedOn w:val="1"/>
    <w:link w:val="99"/>
    <w:unhideWhenUsed/>
    <w:qFormat/>
    <w:uiPriority w:val="99"/>
    <w:rPr>
      <w:kern w:val="0"/>
      <w:sz w:val="18"/>
      <w:szCs w:val="18"/>
    </w:rPr>
  </w:style>
  <w:style w:type="paragraph" w:styleId="42">
    <w:name w:val="footer"/>
    <w:basedOn w:val="1"/>
    <w:link w:val="100"/>
    <w:unhideWhenUsed/>
    <w:qFormat/>
    <w:uiPriority w:val="99"/>
    <w:pPr>
      <w:tabs>
        <w:tab w:val="center" w:pos="4153"/>
        <w:tab w:val="right" w:pos="8306"/>
      </w:tabs>
      <w:snapToGrid w:val="0"/>
      <w:jc w:val="left"/>
    </w:pPr>
    <w:rPr>
      <w:sz w:val="18"/>
      <w:szCs w:val="18"/>
    </w:rPr>
  </w:style>
  <w:style w:type="paragraph" w:styleId="43">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4">
    <w:name w:val="toc 1"/>
    <w:basedOn w:val="1"/>
    <w:next w:val="1"/>
    <w:qFormat/>
    <w:uiPriority w:val="39"/>
  </w:style>
  <w:style w:type="paragraph" w:styleId="45">
    <w:name w:val="toc 4"/>
    <w:basedOn w:val="1"/>
    <w:next w:val="1"/>
    <w:unhideWhenUsed/>
    <w:qFormat/>
    <w:uiPriority w:val="39"/>
    <w:pPr>
      <w:ind w:left="630"/>
      <w:jc w:val="left"/>
    </w:pPr>
    <w:rPr>
      <w:rFonts w:ascii="Calibri" w:hAnsi="Calibri" w:cs="Calibri"/>
      <w:sz w:val="18"/>
      <w:szCs w:val="18"/>
    </w:rPr>
  </w:style>
  <w:style w:type="paragraph" w:styleId="46">
    <w:name w:val="index heading"/>
    <w:basedOn w:val="1"/>
    <w:next w:val="47"/>
    <w:unhideWhenUsed/>
    <w:qFormat/>
    <w:uiPriority w:val="0"/>
    <w:rPr>
      <w:rFonts w:ascii="Calibri" w:hAnsi="Calibri"/>
      <w:szCs w:val="22"/>
    </w:rPr>
  </w:style>
  <w:style w:type="paragraph" w:styleId="47">
    <w:name w:val="index 1"/>
    <w:basedOn w:val="1"/>
    <w:next w:val="1"/>
    <w:unhideWhenUsed/>
    <w:qFormat/>
    <w:uiPriority w:val="0"/>
    <w:rPr>
      <w:rFonts w:ascii="Calibri" w:hAnsi="Calibri"/>
      <w:szCs w:val="22"/>
    </w:rPr>
  </w:style>
  <w:style w:type="paragraph" w:styleId="48">
    <w:name w:val="List"/>
    <w:basedOn w:val="1"/>
    <w:qFormat/>
    <w:uiPriority w:val="0"/>
    <w:pPr>
      <w:ind w:left="200" w:hanging="200" w:hangingChars="200"/>
    </w:pPr>
  </w:style>
  <w:style w:type="paragraph" w:styleId="49">
    <w:name w:val="footnote text"/>
    <w:basedOn w:val="1"/>
    <w:link w:val="102"/>
    <w:unhideWhenUsed/>
    <w:qFormat/>
    <w:uiPriority w:val="0"/>
    <w:pPr>
      <w:adjustRightInd w:val="0"/>
      <w:snapToGrid w:val="0"/>
      <w:jc w:val="left"/>
    </w:pPr>
    <w:rPr>
      <w:rFonts w:ascii="宋体" w:hAnsi="Calibri"/>
      <w:bCs/>
      <w:kern w:val="0"/>
      <w:sz w:val="18"/>
      <w:szCs w:val="18"/>
    </w:rPr>
  </w:style>
  <w:style w:type="paragraph" w:styleId="50">
    <w:name w:val="toc 6"/>
    <w:basedOn w:val="1"/>
    <w:next w:val="1"/>
    <w:unhideWhenUsed/>
    <w:qFormat/>
    <w:uiPriority w:val="39"/>
    <w:pPr>
      <w:ind w:left="1050"/>
      <w:jc w:val="left"/>
    </w:pPr>
    <w:rPr>
      <w:rFonts w:ascii="Calibri" w:hAnsi="Calibri" w:cs="Calibri"/>
      <w:sz w:val="18"/>
      <w:szCs w:val="18"/>
    </w:rPr>
  </w:style>
  <w:style w:type="paragraph" w:styleId="51">
    <w:name w:val="Body Text Indent 3"/>
    <w:basedOn w:val="1"/>
    <w:link w:val="103"/>
    <w:qFormat/>
    <w:uiPriority w:val="0"/>
    <w:pPr>
      <w:ind w:firstLine="420" w:firstLineChars="200"/>
    </w:pPr>
    <w:rPr>
      <w:rFonts w:eastAsia="楷体_GB2312"/>
    </w:rPr>
  </w:style>
  <w:style w:type="paragraph" w:styleId="52">
    <w:name w:val="index 7"/>
    <w:basedOn w:val="1"/>
    <w:next w:val="1"/>
    <w:unhideWhenUsed/>
    <w:qFormat/>
    <w:uiPriority w:val="0"/>
    <w:pPr>
      <w:ind w:left="1200" w:leftChars="1200"/>
    </w:pPr>
    <w:rPr>
      <w:rFonts w:ascii="Calibri" w:hAnsi="Calibri"/>
      <w:szCs w:val="22"/>
    </w:rPr>
  </w:style>
  <w:style w:type="paragraph" w:styleId="53">
    <w:name w:val="index 9"/>
    <w:basedOn w:val="1"/>
    <w:next w:val="1"/>
    <w:unhideWhenUsed/>
    <w:qFormat/>
    <w:uiPriority w:val="0"/>
    <w:pPr>
      <w:ind w:left="1600" w:leftChars="1600"/>
    </w:pPr>
    <w:rPr>
      <w:rFonts w:ascii="Calibri" w:hAnsi="Calibri"/>
      <w:szCs w:val="22"/>
    </w:rPr>
  </w:style>
  <w:style w:type="paragraph" w:styleId="54">
    <w:name w:val="table of figures"/>
    <w:basedOn w:val="1"/>
    <w:next w:val="1"/>
    <w:unhideWhenUsed/>
    <w:qFormat/>
    <w:uiPriority w:val="0"/>
    <w:pPr>
      <w:widowControl/>
      <w:ind w:left="400" w:leftChars="200" w:hanging="200" w:hangingChars="200"/>
      <w:jc w:val="left"/>
    </w:pPr>
    <w:rPr>
      <w:rFonts w:ascii="宋体" w:hAnsi="Calibri"/>
      <w:bCs/>
      <w:kern w:val="0"/>
      <w:szCs w:val="21"/>
    </w:rPr>
  </w:style>
  <w:style w:type="paragraph" w:styleId="55">
    <w:name w:val="toc 9"/>
    <w:basedOn w:val="1"/>
    <w:next w:val="1"/>
    <w:unhideWhenUsed/>
    <w:qFormat/>
    <w:uiPriority w:val="39"/>
    <w:pPr>
      <w:ind w:left="1680"/>
      <w:jc w:val="left"/>
    </w:pPr>
    <w:rPr>
      <w:rFonts w:ascii="Calibri" w:hAnsi="Calibri" w:cs="Calibri"/>
      <w:sz w:val="18"/>
      <w:szCs w:val="18"/>
    </w:rPr>
  </w:style>
  <w:style w:type="paragraph" w:styleId="56">
    <w:name w:val="Body Text 2"/>
    <w:basedOn w:val="1"/>
    <w:link w:val="104"/>
    <w:qFormat/>
    <w:uiPriority w:val="99"/>
    <w:pPr>
      <w:spacing w:line="440" w:lineRule="exact"/>
    </w:pPr>
    <w:rPr>
      <w:rFonts w:ascii="楷体_GB2312" w:eastAsia="楷体_GB2312"/>
      <w:sz w:val="28"/>
    </w:rPr>
  </w:style>
  <w:style w:type="paragraph" w:styleId="57">
    <w:name w:val="List Continue 2"/>
    <w:basedOn w:val="1"/>
    <w:unhideWhenUsed/>
    <w:qFormat/>
    <w:uiPriority w:val="0"/>
    <w:pPr>
      <w:spacing w:after="120"/>
      <w:ind w:left="840" w:leftChars="400"/>
    </w:pPr>
    <w:rPr>
      <w:rFonts w:ascii="Calibri" w:hAnsi="Calibri"/>
      <w:szCs w:val="22"/>
    </w:rPr>
  </w:style>
  <w:style w:type="paragraph" w:styleId="58">
    <w:name w:val="HTML Preformatted"/>
    <w:basedOn w:val="1"/>
    <w:link w:val="10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0">
    <w:name w:val="index 2"/>
    <w:basedOn w:val="1"/>
    <w:next w:val="1"/>
    <w:unhideWhenUsed/>
    <w:qFormat/>
    <w:uiPriority w:val="0"/>
    <w:pPr>
      <w:ind w:left="200" w:leftChars="200"/>
    </w:pPr>
    <w:rPr>
      <w:rFonts w:ascii="Calibri" w:hAnsi="Calibri"/>
      <w:szCs w:val="22"/>
    </w:rPr>
  </w:style>
  <w:style w:type="paragraph" w:styleId="61">
    <w:name w:val="Title"/>
    <w:basedOn w:val="1"/>
    <w:link w:val="106"/>
    <w:qFormat/>
    <w:uiPriority w:val="0"/>
    <w:pPr>
      <w:spacing w:before="240" w:after="60"/>
      <w:jc w:val="center"/>
      <w:outlineLvl w:val="0"/>
    </w:pPr>
    <w:rPr>
      <w:rFonts w:ascii="Cambria" w:hAnsi="Cambria"/>
      <w:b/>
      <w:bCs/>
      <w:sz w:val="32"/>
      <w:szCs w:val="32"/>
    </w:rPr>
  </w:style>
  <w:style w:type="paragraph" w:styleId="62">
    <w:name w:val="annotation subject"/>
    <w:basedOn w:val="20"/>
    <w:next w:val="20"/>
    <w:link w:val="107"/>
    <w:unhideWhenUsed/>
    <w:qFormat/>
    <w:uiPriority w:val="99"/>
    <w:rPr>
      <w:b/>
      <w:bCs/>
    </w:rPr>
  </w:style>
  <w:style w:type="paragraph" w:styleId="63">
    <w:name w:val="Body Text First Indent"/>
    <w:basedOn w:val="24"/>
    <w:link w:val="78"/>
    <w:qFormat/>
    <w:uiPriority w:val="0"/>
    <w:pPr>
      <w:spacing w:after="291" w:afterLines="100"/>
      <w:jc w:val="center"/>
    </w:pPr>
  </w:style>
  <w:style w:type="paragraph" w:styleId="64">
    <w:name w:val="Body Text First Indent 2"/>
    <w:basedOn w:val="27"/>
    <w:link w:val="108"/>
    <w:qFormat/>
    <w:uiPriority w:val="99"/>
    <w:pPr>
      <w:widowControl/>
      <w:ind w:firstLine="420" w:firstLineChars="200"/>
    </w:pPr>
    <w:rPr>
      <w:rFonts w:ascii="仿宋_GB2312" w:eastAsia="仿宋_GB2312"/>
      <w:color w:val="FF6600"/>
      <w:kern w:val="2"/>
      <w:sz w:val="21"/>
      <w:szCs w:val="20"/>
    </w:r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endnote reference"/>
    <w:unhideWhenUsed/>
    <w:qFormat/>
    <w:uiPriority w:val="0"/>
    <w:rPr>
      <w:vertAlign w:val="superscript"/>
    </w:rPr>
  </w:style>
  <w:style w:type="character" w:styleId="70">
    <w:name w:val="page number"/>
    <w:unhideWhenUsed/>
    <w:qFormat/>
    <w:uiPriority w:val="0"/>
  </w:style>
  <w:style w:type="character" w:styleId="71">
    <w:name w:val="FollowedHyperlink"/>
    <w:unhideWhenUsed/>
    <w:qFormat/>
    <w:uiPriority w:val="99"/>
    <w:rPr>
      <w:color w:val="954F72"/>
      <w:u w:val="single"/>
    </w:rPr>
  </w:style>
  <w:style w:type="character" w:styleId="72">
    <w:name w:val="Emphasis"/>
    <w:qFormat/>
    <w:uiPriority w:val="0"/>
    <w:rPr>
      <w:i/>
      <w:iCs/>
    </w:rPr>
  </w:style>
  <w:style w:type="character" w:styleId="73">
    <w:name w:val="HTML Typewriter"/>
    <w:unhideWhenUsed/>
    <w:qFormat/>
    <w:uiPriority w:val="0"/>
    <w:rPr>
      <w:rFonts w:hint="eastAsia" w:ascii="宋体" w:hAnsi="Times New Roman" w:eastAsia="宋体" w:cs="宋体"/>
      <w:sz w:val="24"/>
      <w:szCs w:val="24"/>
      <w:lang w:bidi="ar-SA"/>
    </w:rPr>
  </w:style>
  <w:style w:type="character" w:styleId="74">
    <w:name w:val="Hyperlink"/>
    <w:unhideWhenUsed/>
    <w:qFormat/>
    <w:uiPriority w:val="99"/>
    <w:rPr>
      <w:color w:val="0000FF"/>
      <w:u w:val="single"/>
    </w:rPr>
  </w:style>
  <w:style w:type="character" w:styleId="75">
    <w:name w:val="annotation reference"/>
    <w:qFormat/>
    <w:uiPriority w:val="99"/>
    <w:rPr>
      <w:sz w:val="21"/>
      <w:szCs w:val="21"/>
    </w:rPr>
  </w:style>
  <w:style w:type="character" w:styleId="76">
    <w:name w:val="footnote reference"/>
    <w:unhideWhenUsed/>
    <w:qFormat/>
    <w:uiPriority w:val="0"/>
    <w:rPr>
      <w:vertAlign w:val="superscript"/>
    </w:rPr>
  </w:style>
  <w:style w:type="character" w:customStyle="1" w:styleId="77">
    <w:name w:val="正文文本 Char"/>
    <w:link w:val="24"/>
    <w:qFormat/>
    <w:uiPriority w:val="0"/>
    <w:rPr>
      <w:rFonts w:ascii="华文彩云" w:hAnsi="宋体" w:eastAsia="华文彩云"/>
      <w:bCs/>
      <w:color w:val="000000"/>
      <w:kern w:val="2"/>
      <w:sz w:val="28"/>
      <w:szCs w:val="24"/>
    </w:rPr>
  </w:style>
  <w:style w:type="character" w:customStyle="1" w:styleId="78">
    <w:name w:val="正文首行缩进 Char"/>
    <w:link w:val="63"/>
    <w:qFormat/>
    <w:uiPriority w:val="0"/>
    <w:rPr>
      <w:rFonts w:ascii="华文彩云" w:hAnsi="宋体" w:eastAsia="华文彩云"/>
      <w:bCs/>
      <w:color w:val="000000"/>
      <w:kern w:val="2"/>
      <w:sz w:val="28"/>
      <w:szCs w:val="24"/>
    </w:rPr>
  </w:style>
  <w:style w:type="character" w:customStyle="1" w:styleId="79">
    <w:name w:val="标题 1 Char"/>
    <w:link w:val="2"/>
    <w:qFormat/>
    <w:uiPriority w:val="0"/>
    <w:rPr>
      <w:rFonts w:ascii="Times New Roman" w:hAnsi="Times New Roman" w:eastAsia="宋体" w:cs="Times New Roman"/>
      <w:b/>
      <w:bCs/>
      <w:kern w:val="44"/>
      <w:sz w:val="44"/>
      <w:szCs w:val="44"/>
    </w:rPr>
  </w:style>
  <w:style w:type="character" w:customStyle="1" w:styleId="80">
    <w:name w:val="标题 2 Char"/>
    <w:link w:val="3"/>
    <w:qFormat/>
    <w:uiPriority w:val="0"/>
    <w:rPr>
      <w:rFonts w:ascii="Cambria" w:hAnsi="Cambria" w:eastAsia="宋体" w:cs="黑体"/>
      <w:b/>
      <w:bCs/>
      <w:sz w:val="32"/>
      <w:szCs w:val="32"/>
    </w:rPr>
  </w:style>
  <w:style w:type="character" w:customStyle="1" w:styleId="81">
    <w:name w:val="标题 3 Char"/>
    <w:link w:val="4"/>
    <w:qFormat/>
    <w:uiPriority w:val="0"/>
    <w:rPr>
      <w:rFonts w:ascii="Times New Roman" w:hAnsi="Times New Roman" w:eastAsia="宋体" w:cs="Times New Roman"/>
      <w:b/>
      <w:bCs/>
      <w:sz w:val="32"/>
      <w:szCs w:val="32"/>
    </w:rPr>
  </w:style>
  <w:style w:type="character" w:customStyle="1" w:styleId="82">
    <w:name w:val="标题 4 Char"/>
    <w:link w:val="5"/>
    <w:qFormat/>
    <w:uiPriority w:val="0"/>
    <w:rPr>
      <w:rFonts w:ascii="Cambria" w:hAnsi="Cambria" w:eastAsia="宋体" w:cs="黑体"/>
      <w:b/>
      <w:bCs/>
      <w:sz w:val="28"/>
      <w:szCs w:val="28"/>
    </w:rPr>
  </w:style>
  <w:style w:type="character" w:customStyle="1" w:styleId="83">
    <w:name w:val="标题 5 Char"/>
    <w:link w:val="6"/>
    <w:qFormat/>
    <w:uiPriority w:val="0"/>
    <w:rPr>
      <w:rFonts w:ascii="Times New Roman" w:hAnsi="Times New Roman" w:eastAsia="宋体" w:cs="Times New Roman"/>
      <w:b/>
      <w:bCs/>
      <w:sz w:val="28"/>
      <w:szCs w:val="28"/>
    </w:rPr>
  </w:style>
  <w:style w:type="character" w:customStyle="1" w:styleId="84">
    <w:name w:val="标题 6 Char"/>
    <w:link w:val="7"/>
    <w:qFormat/>
    <w:uiPriority w:val="0"/>
    <w:rPr>
      <w:rFonts w:ascii="Cambria" w:hAnsi="Cambria" w:eastAsia="宋体" w:cs="黑体"/>
      <w:b/>
      <w:bCs/>
      <w:sz w:val="24"/>
      <w:szCs w:val="24"/>
    </w:rPr>
  </w:style>
  <w:style w:type="character" w:customStyle="1" w:styleId="85">
    <w:name w:val="标题 7 Char"/>
    <w:link w:val="8"/>
    <w:qFormat/>
    <w:uiPriority w:val="0"/>
    <w:rPr>
      <w:b/>
      <w:bCs/>
      <w:kern w:val="2"/>
      <w:sz w:val="24"/>
      <w:szCs w:val="24"/>
    </w:rPr>
  </w:style>
  <w:style w:type="character" w:customStyle="1" w:styleId="86">
    <w:name w:val="标题 8 Char"/>
    <w:link w:val="9"/>
    <w:qFormat/>
    <w:uiPriority w:val="0"/>
    <w:rPr>
      <w:b/>
      <w:kern w:val="2"/>
      <w:sz w:val="24"/>
      <w:szCs w:val="24"/>
    </w:rPr>
  </w:style>
  <w:style w:type="character" w:customStyle="1" w:styleId="87">
    <w:name w:val="标题 9 Char"/>
    <w:link w:val="10"/>
    <w:qFormat/>
    <w:uiPriority w:val="0"/>
    <w:rPr>
      <w:rFonts w:ascii="仿宋_GB2312" w:hAnsi="Calibri" w:eastAsia="仿宋_GB2312"/>
      <w:kern w:val="2"/>
      <w:sz w:val="32"/>
      <w:szCs w:val="22"/>
    </w:rPr>
  </w:style>
  <w:style w:type="character" w:customStyle="1" w:styleId="88">
    <w:name w:val="正文缩进 Char"/>
    <w:link w:val="15"/>
    <w:qFormat/>
    <w:locked/>
    <w:uiPriority w:val="0"/>
    <w:rPr>
      <w:szCs w:val="24"/>
    </w:rPr>
  </w:style>
  <w:style w:type="character" w:customStyle="1" w:styleId="89">
    <w:name w:val="题注 Char"/>
    <w:link w:val="16"/>
    <w:qFormat/>
    <w:locked/>
    <w:uiPriority w:val="0"/>
    <w:rPr>
      <w:rFonts w:ascii="Arial" w:hAnsi="Arial" w:cs="Arial"/>
      <w:kern w:val="2"/>
      <w:sz w:val="24"/>
    </w:rPr>
  </w:style>
  <w:style w:type="character" w:customStyle="1" w:styleId="90">
    <w:name w:val="文档结构图 Char"/>
    <w:link w:val="19"/>
    <w:qFormat/>
    <w:uiPriority w:val="99"/>
    <w:rPr>
      <w:kern w:val="2"/>
      <w:sz w:val="21"/>
      <w:szCs w:val="24"/>
      <w:shd w:val="clear" w:color="auto" w:fill="000080"/>
    </w:rPr>
  </w:style>
  <w:style w:type="character" w:customStyle="1" w:styleId="91">
    <w:name w:val="批注文字 Char"/>
    <w:link w:val="20"/>
    <w:qFormat/>
    <w:uiPriority w:val="99"/>
    <w:rPr>
      <w:kern w:val="2"/>
      <w:sz w:val="21"/>
      <w:szCs w:val="24"/>
    </w:rPr>
  </w:style>
  <w:style w:type="character" w:customStyle="1" w:styleId="92">
    <w:name w:val="正文文本 3 Char"/>
    <w:link w:val="22"/>
    <w:qFormat/>
    <w:uiPriority w:val="0"/>
    <w:rPr>
      <w:rFonts w:ascii="楷体_GB2312" w:hAnsi="Arial" w:eastAsia="楷体_GB2312" w:cs="Arial"/>
      <w:b/>
      <w:bCs/>
      <w:color w:val="000000"/>
      <w:kern w:val="2"/>
      <w:sz w:val="24"/>
      <w:szCs w:val="24"/>
    </w:rPr>
  </w:style>
  <w:style w:type="character" w:customStyle="1" w:styleId="93">
    <w:name w:val="正文文本缩进 Char"/>
    <w:link w:val="27"/>
    <w:qFormat/>
    <w:uiPriority w:val="0"/>
    <w:rPr>
      <w:rFonts w:ascii="Times New Roman" w:hAnsi="Times New Roman" w:eastAsia="宋体" w:cs="Times New Roman"/>
      <w:szCs w:val="24"/>
    </w:rPr>
  </w:style>
  <w:style w:type="character" w:customStyle="1" w:styleId="94">
    <w:name w:val="HTML 地址 Char"/>
    <w:link w:val="31"/>
    <w:qFormat/>
    <w:uiPriority w:val="0"/>
    <w:rPr>
      <w:rFonts w:ascii="Calibri" w:hAnsi="Calibri" w:cs="宋体"/>
      <w:i/>
      <w:iCs/>
      <w:kern w:val="2"/>
      <w:sz w:val="21"/>
      <w:szCs w:val="22"/>
    </w:rPr>
  </w:style>
  <w:style w:type="character" w:customStyle="1" w:styleId="95">
    <w:name w:val="纯文本 Char"/>
    <w:link w:val="34"/>
    <w:qFormat/>
    <w:uiPriority w:val="0"/>
    <w:rPr>
      <w:rFonts w:ascii="宋体" w:hAnsi="Courier New"/>
      <w:kern w:val="2"/>
      <w:sz w:val="21"/>
    </w:rPr>
  </w:style>
  <w:style w:type="character" w:customStyle="1" w:styleId="96">
    <w:name w:val="日期 Char"/>
    <w:link w:val="38"/>
    <w:qFormat/>
    <w:uiPriority w:val="0"/>
    <w:rPr>
      <w:rFonts w:ascii="仿宋_GB2312" w:hAnsi="Courier New" w:eastAsia="仿宋_GB2312"/>
      <w:kern w:val="2"/>
      <w:sz w:val="28"/>
    </w:rPr>
  </w:style>
  <w:style w:type="character" w:customStyle="1" w:styleId="97">
    <w:name w:val="正文文本缩进 2 Char"/>
    <w:link w:val="39"/>
    <w:qFormat/>
    <w:uiPriority w:val="99"/>
    <w:rPr>
      <w:kern w:val="2"/>
      <w:sz w:val="21"/>
      <w:szCs w:val="24"/>
    </w:rPr>
  </w:style>
  <w:style w:type="character" w:customStyle="1" w:styleId="98">
    <w:name w:val="尾注文本 Char"/>
    <w:link w:val="40"/>
    <w:qFormat/>
    <w:uiPriority w:val="0"/>
    <w:rPr>
      <w:rFonts w:ascii="宋体" w:hAnsi="Calibri"/>
      <w:bCs/>
      <w:sz w:val="21"/>
      <w:szCs w:val="21"/>
    </w:rPr>
  </w:style>
  <w:style w:type="character" w:customStyle="1" w:styleId="99">
    <w:name w:val="批注框文本 Char"/>
    <w:link w:val="41"/>
    <w:qFormat/>
    <w:uiPriority w:val="99"/>
    <w:rPr>
      <w:rFonts w:ascii="Times New Roman" w:hAnsi="Times New Roman" w:eastAsia="宋体" w:cs="Times New Roman"/>
      <w:sz w:val="18"/>
      <w:szCs w:val="18"/>
    </w:rPr>
  </w:style>
  <w:style w:type="character" w:customStyle="1" w:styleId="100">
    <w:name w:val="页脚 Char"/>
    <w:link w:val="42"/>
    <w:qFormat/>
    <w:uiPriority w:val="99"/>
    <w:rPr>
      <w:kern w:val="2"/>
      <w:sz w:val="18"/>
      <w:szCs w:val="18"/>
    </w:rPr>
  </w:style>
  <w:style w:type="character" w:customStyle="1" w:styleId="101">
    <w:name w:val="页眉 Char"/>
    <w:link w:val="43"/>
    <w:qFormat/>
    <w:uiPriority w:val="99"/>
    <w:rPr>
      <w:rFonts w:ascii="Times New Roman" w:hAnsi="Times New Roman" w:eastAsia="宋体" w:cs="Times New Roman"/>
      <w:sz w:val="18"/>
      <w:szCs w:val="18"/>
    </w:rPr>
  </w:style>
  <w:style w:type="character" w:customStyle="1" w:styleId="102">
    <w:name w:val="脚注文本 Char"/>
    <w:link w:val="49"/>
    <w:qFormat/>
    <w:uiPriority w:val="0"/>
    <w:rPr>
      <w:rFonts w:ascii="宋体" w:hAnsi="Calibri"/>
      <w:bCs/>
      <w:sz w:val="18"/>
      <w:szCs w:val="18"/>
    </w:rPr>
  </w:style>
  <w:style w:type="character" w:customStyle="1" w:styleId="103">
    <w:name w:val="正文文本缩进 3 Char"/>
    <w:link w:val="51"/>
    <w:qFormat/>
    <w:uiPriority w:val="0"/>
    <w:rPr>
      <w:rFonts w:eastAsia="楷体_GB2312"/>
      <w:kern w:val="2"/>
      <w:sz w:val="21"/>
      <w:szCs w:val="24"/>
    </w:rPr>
  </w:style>
  <w:style w:type="character" w:customStyle="1" w:styleId="104">
    <w:name w:val="正文文本 2 Char"/>
    <w:link w:val="56"/>
    <w:qFormat/>
    <w:uiPriority w:val="99"/>
    <w:rPr>
      <w:rFonts w:ascii="楷体_GB2312" w:eastAsia="楷体_GB2312"/>
      <w:kern w:val="2"/>
      <w:sz w:val="28"/>
      <w:szCs w:val="24"/>
    </w:rPr>
  </w:style>
  <w:style w:type="character" w:customStyle="1" w:styleId="105">
    <w:name w:val="HTML 预设格式 Char"/>
    <w:link w:val="58"/>
    <w:qFormat/>
    <w:uiPriority w:val="0"/>
    <w:rPr>
      <w:rFonts w:ascii="Arial" w:hAnsi="Arial" w:cs="Arial"/>
      <w:sz w:val="24"/>
      <w:szCs w:val="22"/>
    </w:rPr>
  </w:style>
  <w:style w:type="character" w:customStyle="1" w:styleId="106">
    <w:name w:val="标题 Char"/>
    <w:link w:val="61"/>
    <w:qFormat/>
    <w:uiPriority w:val="0"/>
    <w:rPr>
      <w:rFonts w:ascii="Cambria" w:hAnsi="Cambria"/>
      <w:b/>
      <w:bCs/>
      <w:kern w:val="2"/>
      <w:sz w:val="32"/>
      <w:szCs w:val="32"/>
    </w:rPr>
  </w:style>
  <w:style w:type="character" w:customStyle="1" w:styleId="107">
    <w:name w:val="批注主题 Char"/>
    <w:link w:val="62"/>
    <w:qFormat/>
    <w:uiPriority w:val="99"/>
    <w:rPr>
      <w:b/>
      <w:bCs/>
      <w:kern w:val="2"/>
      <w:sz w:val="21"/>
      <w:szCs w:val="24"/>
    </w:rPr>
  </w:style>
  <w:style w:type="character" w:customStyle="1" w:styleId="108">
    <w:name w:val="正文首行缩进 2 Char"/>
    <w:link w:val="64"/>
    <w:qFormat/>
    <w:uiPriority w:val="99"/>
    <w:rPr>
      <w:rFonts w:ascii="仿宋_GB2312" w:eastAsia="仿宋_GB2312"/>
      <w:color w:val="FF6600"/>
      <w:kern w:val="2"/>
      <w:sz w:val="21"/>
    </w:rPr>
  </w:style>
  <w:style w:type="character" w:customStyle="1" w:styleId="109">
    <w:name w:val="样式2 Char Char"/>
    <w:link w:val="110"/>
    <w:qFormat/>
    <w:uiPriority w:val="0"/>
    <w:rPr>
      <w:b/>
      <w:bCs/>
      <w:kern w:val="44"/>
      <w:sz w:val="28"/>
      <w:szCs w:val="44"/>
    </w:rPr>
  </w:style>
  <w:style w:type="paragraph" w:customStyle="1" w:styleId="110">
    <w:name w:val="样式2"/>
    <w:basedOn w:val="2"/>
    <w:link w:val="109"/>
    <w:qFormat/>
    <w:uiPriority w:val="0"/>
    <w:pPr>
      <w:adjustRightInd w:val="0"/>
      <w:snapToGrid w:val="0"/>
      <w:spacing w:line="360" w:lineRule="auto"/>
    </w:pPr>
    <w:rPr>
      <w:sz w:val="28"/>
    </w:rPr>
  </w:style>
  <w:style w:type="character" w:customStyle="1" w:styleId="111">
    <w:name w:val="param-name"/>
    <w:qFormat/>
    <w:uiPriority w:val="0"/>
  </w:style>
  <w:style w:type="character" w:customStyle="1" w:styleId="112">
    <w:name w:val="纯文本 Char1"/>
    <w:semiHidden/>
    <w:qFormat/>
    <w:uiPriority w:val="0"/>
    <w:rPr>
      <w:rFonts w:ascii="宋体" w:hAnsi="Courier New" w:cs="Courier New"/>
      <w:kern w:val="2"/>
      <w:sz w:val="21"/>
      <w:szCs w:val="21"/>
    </w:rPr>
  </w:style>
  <w:style w:type="character" w:customStyle="1" w:styleId="113">
    <w:name w:val="正文缩进2格 Char Char"/>
    <w:link w:val="114"/>
    <w:qFormat/>
    <w:locked/>
    <w:uiPriority w:val="0"/>
    <w:rPr>
      <w:rFonts w:ascii="仿宋_GB2312" w:hAnsi="宋体" w:eastAsia="仿宋_GB2312"/>
      <w:sz w:val="31"/>
      <w:szCs w:val="28"/>
    </w:rPr>
  </w:style>
  <w:style w:type="paragraph" w:customStyle="1" w:styleId="114">
    <w:name w:val="正文缩进2格"/>
    <w:basedOn w:val="1"/>
    <w:link w:val="113"/>
    <w:qFormat/>
    <w:uiPriority w:val="0"/>
    <w:pPr>
      <w:spacing w:line="600" w:lineRule="exact"/>
      <w:ind w:firstLine="639" w:firstLineChars="206"/>
    </w:pPr>
    <w:rPr>
      <w:rFonts w:ascii="仿宋_GB2312" w:hAnsi="宋体" w:eastAsia="仿宋_GB2312"/>
      <w:kern w:val="0"/>
      <w:sz w:val="31"/>
      <w:szCs w:val="28"/>
    </w:rPr>
  </w:style>
  <w:style w:type="character" w:customStyle="1" w:styleId="115">
    <w:name w:val="列出段落 Char"/>
    <w:link w:val="116"/>
    <w:qFormat/>
    <w:locked/>
    <w:uiPriority w:val="34"/>
  </w:style>
  <w:style w:type="paragraph" w:customStyle="1" w:styleId="116">
    <w:name w:val="列出段落1"/>
    <w:basedOn w:val="1"/>
    <w:link w:val="115"/>
    <w:qFormat/>
    <w:uiPriority w:val="34"/>
    <w:pPr>
      <w:ind w:firstLine="420" w:firstLineChars="200"/>
    </w:pPr>
    <w:rPr>
      <w:rFonts w:ascii="Calibri" w:hAnsi="Calibri" w:cs="黑体"/>
      <w:szCs w:val="22"/>
    </w:rPr>
  </w:style>
  <w:style w:type="character" w:customStyle="1" w:styleId="117">
    <w:name w:val="段落正文 字符"/>
    <w:link w:val="118"/>
    <w:qFormat/>
    <w:uiPriority w:val="0"/>
    <w:rPr>
      <w:kern w:val="2"/>
      <w:sz w:val="24"/>
      <w:szCs w:val="21"/>
    </w:rPr>
  </w:style>
  <w:style w:type="paragraph" w:customStyle="1" w:styleId="118">
    <w:name w:val="段落正文"/>
    <w:basedOn w:val="1"/>
    <w:link w:val="117"/>
    <w:qFormat/>
    <w:uiPriority w:val="0"/>
    <w:pPr>
      <w:spacing w:line="360" w:lineRule="auto"/>
      <w:ind w:firstLine="200" w:firstLineChars="200"/>
    </w:pPr>
    <w:rPr>
      <w:sz w:val="24"/>
      <w:szCs w:val="21"/>
    </w:rPr>
  </w:style>
  <w:style w:type="character" w:customStyle="1" w:styleId="119">
    <w:name w:val="纯文本 Char Char Char Char"/>
    <w:qFormat/>
    <w:uiPriority w:val="0"/>
    <w:rPr>
      <w:rFonts w:ascii="宋体" w:hAnsi="Courier New"/>
      <w:kern w:val="2"/>
      <w:sz w:val="21"/>
    </w:rPr>
  </w:style>
  <w:style w:type="character" w:customStyle="1" w:styleId="120">
    <w:name w:val="apple-converted-space"/>
    <w:qFormat/>
    <w:uiPriority w:val="0"/>
  </w:style>
  <w:style w:type="character" w:customStyle="1" w:styleId="121">
    <w:name w:val="fontstyle01"/>
    <w:qFormat/>
    <w:uiPriority w:val="0"/>
    <w:rPr>
      <w:rFonts w:hint="eastAsia" w:ascii="宋体" w:hAnsi="宋体" w:eastAsia="宋体"/>
      <w:color w:val="000000"/>
      <w:sz w:val="22"/>
      <w:szCs w:val="22"/>
    </w:rPr>
  </w:style>
  <w:style w:type="character" w:customStyle="1" w:styleId="122">
    <w:name w:val="无间隔 Char"/>
    <w:link w:val="123"/>
    <w:qFormat/>
    <w:uiPriority w:val="1"/>
    <w:rPr>
      <w:rFonts w:ascii="Calibri" w:hAnsi="Calibri" w:eastAsia="仿宋_GB2312"/>
      <w:kern w:val="2"/>
      <w:sz w:val="28"/>
      <w:szCs w:val="22"/>
      <w:lang w:val="en-US" w:eastAsia="zh-CN" w:bidi="ar-SA"/>
    </w:rPr>
  </w:style>
  <w:style w:type="paragraph" w:styleId="123">
    <w:name w:val="No Spacing"/>
    <w:link w:val="122"/>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4">
    <w:name w:val="标题 1 Char Char"/>
    <w:qFormat/>
    <w:uiPriority w:val="0"/>
    <w:rPr>
      <w:rFonts w:hint="eastAsia" w:ascii="宋体" w:hAnsi="宋体" w:eastAsia="宋体"/>
      <w:b/>
      <w:spacing w:val="-2"/>
      <w:sz w:val="24"/>
      <w:lang w:val="en-US" w:eastAsia="zh-CN"/>
    </w:rPr>
  </w:style>
  <w:style w:type="character" w:customStyle="1" w:styleId="125">
    <w:name w:val="fontstyle21"/>
    <w:qFormat/>
    <w:uiPriority w:val="0"/>
    <w:rPr>
      <w:rFonts w:hint="default" w:ascii="Calibri" w:hAnsi="Calibri" w:cs="Calibri"/>
      <w:color w:val="000000"/>
      <w:sz w:val="22"/>
      <w:szCs w:val="22"/>
    </w:rPr>
  </w:style>
  <w:style w:type="paragraph" w:customStyle="1" w:styleId="126">
    <w:name w:val="表中文字"/>
    <w:basedOn w:val="1"/>
    <w:next w:val="1"/>
    <w:qFormat/>
    <w:uiPriority w:val="0"/>
    <w:pPr>
      <w:widowControl/>
      <w:spacing w:line="320" w:lineRule="exact"/>
      <w:jc w:val="center"/>
    </w:pPr>
    <w:rPr>
      <w:color w:val="000000"/>
      <w:szCs w:val="20"/>
    </w:rPr>
  </w:style>
  <w:style w:type="paragraph" w:customStyle="1" w:styleId="127">
    <w:name w:val="Style Normal Indent表正文正文非缩进特点ALT+Z标题4段1正文（首行缩进两字） Char正文（首行...1"/>
    <w:basedOn w:val="15"/>
    <w:qFormat/>
    <w:uiPriority w:val="0"/>
    <w:pPr>
      <w:spacing w:line="360" w:lineRule="auto"/>
      <w:ind w:firstLine="590" w:firstLineChars="246"/>
    </w:pPr>
    <w:rPr>
      <w:sz w:val="24"/>
    </w:rPr>
  </w:style>
  <w:style w:type="paragraph" w:styleId="128">
    <w:name w:val="List Paragraph"/>
    <w:basedOn w:val="1"/>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9">
    <w:name w:val="列出段落2"/>
    <w:basedOn w:val="1"/>
    <w:qFormat/>
    <w:uiPriority w:val="34"/>
    <w:pPr>
      <w:ind w:firstLine="420" w:firstLineChars="200"/>
    </w:pPr>
    <w:rPr>
      <w:szCs w:val="20"/>
    </w:rPr>
  </w:style>
  <w:style w:type="paragraph" w:customStyle="1" w:styleId="130">
    <w:name w:val="正文1"/>
    <w:basedOn w:val="1"/>
    <w:qFormat/>
    <w:uiPriority w:val="0"/>
    <w:pPr>
      <w:spacing w:line="300" w:lineRule="auto"/>
      <w:contextualSpacing/>
    </w:pPr>
    <w:rPr>
      <w:rFonts w:ascii="Arial" w:hAnsi="Arial" w:cs="Arial"/>
      <w:sz w:val="24"/>
    </w:rPr>
  </w:style>
  <w:style w:type="paragraph" w:customStyle="1" w:styleId="13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GP正文(首行缩进)"/>
    <w:basedOn w:val="1"/>
    <w:qFormat/>
    <w:uiPriority w:val="0"/>
    <w:pPr>
      <w:spacing w:line="360" w:lineRule="auto"/>
      <w:ind w:firstLine="480" w:firstLineChars="200"/>
      <w:jc w:val="left"/>
    </w:pPr>
    <w:rPr>
      <w:rFonts w:hAnsi="宋体"/>
      <w:sz w:val="24"/>
    </w:rPr>
  </w:style>
  <w:style w:type="paragraph" w:customStyle="1" w:styleId="13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4">
    <w:name w:val="表内容"/>
    <w:basedOn w:val="1"/>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5">
    <w:name w:val="p0"/>
    <w:basedOn w:val="1"/>
    <w:qFormat/>
    <w:uiPriority w:val="0"/>
    <w:pPr>
      <w:widowControl/>
    </w:pPr>
    <w:rPr>
      <w:kern w:val="0"/>
      <w:szCs w:val="21"/>
    </w:rPr>
  </w:style>
  <w:style w:type="paragraph" w:customStyle="1" w:styleId="136">
    <w:name w:val="纯文本2"/>
    <w:basedOn w:val="1"/>
    <w:qFormat/>
    <w:uiPriority w:val="0"/>
    <w:rPr>
      <w:rFonts w:ascii="宋体" w:hAnsi="Courier New"/>
      <w:sz w:val="28"/>
    </w:rPr>
  </w:style>
  <w:style w:type="paragraph" w:customStyle="1" w:styleId="137">
    <w:name w:val="从CC出差"/>
    <w:basedOn w:val="110"/>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8">
    <w:name w:val="样式 标题 2 + 黑色 行距: 1.5 倍行距"/>
    <w:basedOn w:val="3"/>
    <w:qFormat/>
    <w:uiPriority w:val="99"/>
    <w:pPr>
      <w:spacing w:line="360" w:lineRule="auto"/>
      <w:ind w:firstLine="3502" w:firstLineChars="1246"/>
    </w:pPr>
    <w:rPr>
      <w:rFonts w:ascii="楷体_GB2312" w:hAnsi="宋体" w:eastAsia="楷体_GB2312" w:cs="仿宋_GB2312"/>
      <w:sz w:val="28"/>
      <w:szCs w:val="28"/>
    </w:rPr>
  </w:style>
  <w:style w:type="paragraph" w:customStyle="1" w:styleId="139">
    <w:name w:val="HU正文"/>
    <w:basedOn w:val="1"/>
    <w:qFormat/>
    <w:uiPriority w:val="0"/>
    <w:pPr>
      <w:adjustRightInd w:val="0"/>
      <w:spacing w:line="312" w:lineRule="auto"/>
      <w:ind w:left="420" w:firstLine="420" w:firstLineChars="200"/>
      <w:textAlignment w:val="baseline"/>
    </w:pPr>
    <w:rPr>
      <w:szCs w:val="21"/>
    </w:rPr>
  </w:style>
  <w:style w:type="table" w:customStyle="1" w:styleId="140">
    <w:name w:val="网格型1"/>
    <w:basedOn w:val="65"/>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1">
    <w:name w:val="p15"/>
    <w:basedOn w:val="1"/>
    <w:qFormat/>
    <w:uiPriority w:val="0"/>
    <w:pPr>
      <w:widowControl/>
      <w:ind w:firstLine="420"/>
    </w:pPr>
    <w:rPr>
      <w:kern w:val="0"/>
      <w:szCs w:val="20"/>
    </w:rPr>
  </w:style>
  <w:style w:type="paragraph" w:customStyle="1" w:styleId="142">
    <w:name w:val="_Style 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style91"/>
    <w:qFormat/>
    <w:uiPriority w:val="0"/>
    <w:rPr>
      <w:color w:val="2060C0"/>
      <w:sz w:val="24"/>
      <w:szCs w:val="24"/>
    </w:rPr>
  </w:style>
  <w:style w:type="character" w:customStyle="1" w:styleId="144">
    <w:name w:val="Comment Text Char"/>
    <w:qFormat/>
    <w:uiPriority w:val="0"/>
    <w:rPr>
      <w:rFonts w:hint="default" w:ascii="Times New Roman" w:hAnsi="Times New Roman" w:cs="Times New Roman"/>
      <w:sz w:val="21"/>
      <w:szCs w:val="21"/>
      <w:lang w:bidi="ar-SA"/>
    </w:rPr>
  </w:style>
  <w:style w:type="character" w:customStyle="1" w:styleId="145">
    <w:name w:val="ca-1"/>
    <w:qFormat/>
    <w:uiPriority w:val="0"/>
  </w:style>
  <w:style w:type="character" w:customStyle="1" w:styleId="146">
    <w:name w:val="纯文本 Char_0"/>
    <w:link w:val="147"/>
    <w:qFormat/>
    <w:locked/>
    <w:uiPriority w:val="0"/>
    <w:rPr>
      <w:rFonts w:ascii="宋体" w:hAnsi="Courier New"/>
      <w:kern w:val="2"/>
      <w:sz w:val="21"/>
      <w:szCs w:val="21"/>
    </w:rPr>
  </w:style>
  <w:style w:type="paragraph" w:customStyle="1" w:styleId="147">
    <w:name w:val="纯文本_0"/>
    <w:basedOn w:val="148"/>
    <w:link w:val="146"/>
    <w:qFormat/>
    <w:uiPriority w:val="0"/>
    <w:rPr>
      <w:rFonts w:ascii="宋体" w:hAnsi="Courier New"/>
      <w:szCs w:val="21"/>
    </w:rPr>
  </w:style>
  <w:style w:type="paragraph" w:customStyle="1" w:styleId="14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Char Char23"/>
    <w:qFormat/>
    <w:uiPriority w:val="0"/>
    <w:rPr>
      <w:kern w:val="2"/>
      <w:sz w:val="24"/>
      <w:szCs w:val="21"/>
      <w:lang w:bidi="ar-SA"/>
    </w:rPr>
  </w:style>
  <w:style w:type="character" w:customStyle="1" w:styleId="150">
    <w:name w:val="Char Char1"/>
    <w:qFormat/>
    <w:uiPriority w:val="0"/>
    <w:rPr>
      <w:rFonts w:hint="eastAsia" w:ascii="宋体" w:hAnsi="宋体" w:eastAsia="宋体"/>
      <w:kern w:val="2"/>
      <w:sz w:val="21"/>
      <w:lang w:val="en-US" w:eastAsia="zh-CN"/>
    </w:rPr>
  </w:style>
  <w:style w:type="character" w:customStyle="1" w:styleId="151">
    <w:name w:val="ca-31"/>
    <w:qFormat/>
    <w:uiPriority w:val="0"/>
    <w:rPr>
      <w:rFonts w:hint="eastAsia" w:ascii="宋体" w:hAnsi="宋体" w:eastAsia="宋体"/>
      <w:color w:val="000000"/>
      <w:sz w:val="21"/>
      <w:szCs w:val="21"/>
    </w:rPr>
  </w:style>
  <w:style w:type="character" w:customStyle="1" w:styleId="152">
    <w:name w:val="wj1"/>
    <w:qFormat/>
    <w:uiPriority w:val="0"/>
    <w:rPr>
      <w:color w:val="000000"/>
      <w:sz w:val="18"/>
      <w:szCs w:val="18"/>
      <w:u w:val="none"/>
    </w:rPr>
  </w:style>
  <w:style w:type="character" w:customStyle="1" w:styleId="153">
    <w:name w:val="Header Char"/>
    <w:qFormat/>
    <w:uiPriority w:val="0"/>
    <w:rPr>
      <w:rFonts w:hint="eastAsia" w:ascii="宋体" w:hAnsi="宋体" w:eastAsia="宋体"/>
      <w:kern w:val="2"/>
      <w:sz w:val="18"/>
      <w:lang w:val="en-US" w:eastAsia="zh-CN"/>
    </w:rPr>
  </w:style>
  <w:style w:type="character" w:customStyle="1" w:styleId="154">
    <w:name w:val="List Paragraph Char"/>
    <w:link w:val="155"/>
    <w:qFormat/>
    <w:locked/>
    <w:uiPriority w:val="99"/>
    <w:rPr>
      <w:rFonts w:ascii="Calibri" w:hAnsi="Calibri"/>
      <w:kern w:val="2"/>
      <w:sz w:val="21"/>
      <w:szCs w:val="22"/>
    </w:rPr>
  </w:style>
  <w:style w:type="paragraph" w:customStyle="1" w:styleId="155">
    <w:name w:val="列出段落11"/>
    <w:basedOn w:val="1"/>
    <w:link w:val="154"/>
    <w:qFormat/>
    <w:uiPriority w:val="99"/>
    <w:pPr>
      <w:ind w:firstLine="200" w:firstLineChars="200"/>
    </w:pPr>
    <w:rPr>
      <w:rFonts w:ascii="Calibri" w:hAnsi="Calibri"/>
      <w:szCs w:val="22"/>
    </w:rPr>
  </w:style>
  <w:style w:type="character" w:customStyle="1" w:styleId="156">
    <w:name w:val="ca-41"/>
    <w:qFormat/>
    <w:uiPriority w:val="0"/>
    <w:rPr>
      <w:rFonts w:hint="eastAsia" w:ascii="宋体" w:hAnsi="宋体" w:eastAsia="宋体"/>
      <w:b/>
      <w:bCs/>
      <w:color w:val="000000"/>
      <w:spacing w:val="-20"/>
      <w:sz w:val="21"/>
      <w:szCs w:val="21"/>
    </w:rPr>
  </w:style>
  <w:style w:type="character" w:customStyle="1" w:styleId="157">
    <w:name w:val="z12 style23"/>
    <w:qFormat/>
    <w:uiPriority w:val="0"/>
  </w:style>
  <w:style w:type="character" w:customStyle="1" w:styleId="158">
    <w:name w:val="段 Char"/>
    <w:link w:val="159"/>
    <w:qFormat/>
    <w:locked/>
    <w:uiPriority w:val="0"/>
    <w:rPr>
      <w:rFonts w:ascii="宋体"/>
      <w:sz w:val="21"/>
      <w:lang w:val="en-US" w:eastAsia="zh-CN" w:bidi="ar-SA"/>
    </w:rPr>
  </w:style>
  <w:style w:type="paragraph" w:customStyle="1" w:styleId="159">
    <w:name w:val="段"/>
    <w:link w:val="1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0">
    <w:name w:val="Heading 4 Char"/>
    <w:qFormat/>
    <w:uiPriority w:val="0"/>
    <w:rPr>
      <w:rFonts w:hint="default" w:ascii="Cambria" w:hAnsi="Cambria" w:eastAsia="宋体" w:cs="Cambria"/>
      <w:b/>
      <w:bCs/>
      <w:sz w:val="28"/>
      <w:szCs w:val="28"/>
      <w:lang w:bidi="ar-SA"/>
    </w:rPr>
  </w:style>
  <w:style w:type="character" w:customStyle="1" w:styleId="161">
    <w:name w:val="Heading 2 Char"/>
    <w:qFormat/>
    <w:uiPriority w:val="0"/>
    <w:rPr>
      <w:rFonts w:hint="default" w:ascii="Arial" w:hAnsi="Arial" w:eastAsia="黑体" w:cs="Arial"/>
      <w:b/>
      <w:bCs/>
      <w:kern w:val="2"/>
      <w:sz w:val="32"/>
      <w:szCs w:val="32"/>
      <w:lang w:val="en-US" w:eastAsia="zh-CN" w:bidi="ar-SA"/>
    </w:rPr>
  </w:style>
  <w:style w:type="character" w:customStyle="1" w:styleId="162">
    <w:name w:val="纯文本 Char_0_0"/>
    <w:link w:val="163"/>
    <w:qFormat/>
    <w:locked/>
    <w:uiPriority w:val="0"/>
    <w:rPr>
      <w:rFonts w:ascii="宋体" w:hAnsi="Courier New"/>
      <w:szCs w:val="21"/>
    </w:rPr>
  </w:style>
  <w:style w:type="paragraph" w:customStyle="1" w:styleId="163">
    <w:name w:val="纯文本_0_0"/>
    <w:basedOn w:val="164"/>
    <w:link w:val="162"/>
    <w:qFormat/>
    <w:uiPriority w:val="0"/>
    <w:rPr>
      <w:rFonts w:ascii="宋体" w:hAnsi="Courier New"/>
      <w:szCs w:val="21"/>
    </w:rPr>
  </w:style>
  <w:style w:type="paragraph" w:customStyle="1" w:styleId="164">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5">
    <w:name w:val="Plain Text Char"/>
    <w:qFormat/>
    <w:locked/>
    <w:uiPriority w:val="0"/>
    <w:rPr>
      <w:rFonts w:ascii="宋体" w:hAnsi="Courier New" w:eastAsia="宋体"/>
      <w:kern w:val="2"/>
      <w:sz w:val="21"/>
      <w:lang w:val="en-US" w:eastAsia="zh-CN" w:bidi="ar-SA"/>
    </w:rPr>
  </w:style>
  <w:style w:type="character" w:customStyle="1" w:styleId="166">
    <w:name w:val="正文缩进 Char1_0"/>
    <w:link w:val="167"/>
    <w:qFormat/>
    <w:locked/>
    <w:uiPriority w:val="0"/>
    <w:rPr>
      <w:kern w:val="2"/>
      <w:sz w:val="21"/>
      <w:szCs w:val="22"/>
    </w:rPr>
  </w:style>
  <w:style w:type="paragraph" w:customStyle="1" w:styleId="167">
    <w:name w:val="正文缩进_0"/>
    <w:basedOn w:val="148"/>
    <w:link w:val="166"/>
    <w:qFormat/>
    <w:uiPriority w:val="0"/>
    <w:pPr>
      <w:ind w:firstLine="420" w:firstLineChars="200"/>
    </w:pPr>
    <w:rPr>
      <w:szCs w:val="22"/>
    </w:rPr>
  </w:style>
  <w:style w:type="character" w:customStyle="1" w:styleId="168">
    <w:name w:val="Char Char3"/>
    <w:qFormat/>
    <w:uiPriority w:val="0"/>
    <w:rPr>
      <w:rFonts w:hint="default" w:ascii="Arial" w:hAnsi="Arial" w:eastAsia="黑体" w:cs="Times New Roman"/>
      <w:b/>
      <w:bCs/>
      <w:kern w:val="2"/>
      <w:sz w:val="32"/>
      <w:szCs w:val="32"/>
      <w:lang w:val="en-US" w:eastAsia="zh-CN" w:bidi="ar-SA"/>
    </w:rPr>
  </w:style>
  <w:style w:type="character" w:customStyle="1" w:styleId="169">
    <w:name w:val="Font Style29"/>
    <w:qFormat/>
    <w:uiPriority w:val="0"/>
    <w:rPr>
      <w:rFonts w:ascii="Arial" w:hAnsi="Arial" w:cs="Arial"/>
      <w:sz w:val="14"/>
      <w:szCs w:val="14"/>
    </w:rPr>
  </w:style>
  <w:style w:type="character" w:customStyle="1" w:styleId="170">
    <w:name w:val="font21"/>
    <w:qFormat/>
    <w:uiPriority w:val="0"/>
    <w:rPr>
      <w:rFonts w:hint="default" w:ascii="Times New Roman" w:hAnsi="Times New Roman" w:cs="Times New Roman"/>
      <w:color w:val="000000"/>
      <w:sz w:val="20"/>
      <w:u w:val="none"/>
    </w:rPr>
  </w:style>
  <w:style w:type="character" w:customStyle="1" w:styleId="171">
    <w:name w:val="Font Style36"/>
    <w:qFormat/>
    <w:uiPriority w:val="0"/>
    <w:rPr>
      <w:rFonts w:ascii="宋体" w:eastAsia="宋体" w:cs="宋体"/>
      <w:sz w:val="16"/>
      <w:szCs w:val="16"/>
    </w:rPr>
  </w:style>
  <w:style w:type="character" w:customStyle="1" w:styleId="172">
    <w:name w:val="maywed421"/>
    <w:qFormat/>
    <w:uiPriority w:val="0"/>
    <w:rPr>
      <w:color w:val="366FB6"/>
      <w:u w:val="none"/>
    </w:rPr>
  </w:style>
  <w:style w:type="character" w:customStyle="1" w:styleId="173">
    <w:name w:val="ca-01"/>
    <w:qFormat/>
    <w:uiPriority w:val="0"/>
    <w:rPr>
      <w:rFonts w:hint="eastAsia" w:ascii="宋体" w:hAnsi="宋体" w:eastAsia="宋体"/>
      <w:b/>
      <w:bCs/>
      <w:spacing w:val="-20"/>
      <w:sz w:val="24"/>
      <w:szCs w:val="24"/>
    </w:rPr>
  </w:style>
  <w:style w:type="character" w:customStyle="1" w:styleId="174">
    <w:name w:val="正文文本 Char1"/>
    <w:qFormat/>
    <w:uiPriority w:val="0"/>
    <w:rPr>
      <w:rFonts w:ascii="华文彩云" w:hAnsi="宋体" w:eastAsia="华文彩云"/>
      <w:bCs/>
      <w:color w:val="000000"/>
      <w:kern w:val="2"/>
      <w:sz w:val="28"/>
      <w:szCs w:val="24"/>
    </w:rPr>
  </w:style>
  <w:style w:type="character" w:customStyle="1" w:styleId="175">
    <w:name w:val="正文（编号） Char Char"/>
    <w:link w:val="176"/>
    <w:qFormat/>
    <w:locked/>
    <w:uiPriority w:val="0"/>
    <w:rPr>
      <w:kern w:val="2"/>
      <w:sz w:val="24"/>
      <w:szCs w:val="24"/>
    </w:rPr>
  </w:style>
  <w:style w:type="paragraph" w:customStyle="1" w:styleId="176">
    <w:name w:val="正文（编号）"/>
    <w:basedOn w:val="177"/>
    <w:link w:val="175"/>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7">
    <w:name w:val="正文（缩进）"/>
    <w:basedOn w:val="1"/>
    <w:qFormat/>
    <w:uiPriority w:val="0"/>
    <w:pPr>
      <w:spacing w:beforeLines="50" w:afterLines="50" w:line="360" w:lineRule="auto"/>
      <w:ind w:firstLine="200" w:firstLineChars="200"/>
    </w:pPr>
    <w:rPr>
      <w:rFonts w:ascii="Calibri" w:hAnsi="Calibri"/>
      <w:sz w:val="24"/>
      <w:szCs w:val="22"/>
    </w:rPr>
  </w:style>
  <w:style w:type="character" w:customStyle="1" w:styleId="178">
    <w:name w:val="正文（缩进） Char Char"/>
    <w:qFormat/>
    <w:uiPriority w:val="0"/>
    <w:rPr>
      <w:rFonts w:hint="eastAsia" w:ascii="宋体" w:hAnsi="宋体" w:eastAsia="宋体"/>
      <w:kern w:val="2"/>
      <w:sz w:val="24"/>
      <w:szCs w:val="24"/>
      <w:lang w:val="en-US" w:eastAsia="zh-CN" w:bidi="ar-SA"/>
    </w:rPr>
  </w:style>
  <w:style w:type="character" w:customStyle="1" w:styleId="179">
    <w:name w:val="Footer Char"/>
    <w:qFormat/>
    <w:uiPriority w:val="0"/>
    <w:rPr>
      <w:rFonts w:hint="eastAsia" w:ascii="宋体" w:hAnsi="宋体" w:eastAsia="宋体"/>
      <w:kern w:val="2"/>
      <w:sz w:val="18"/>
      <w:lang w:val="en-US" w:eastAsia="zh-CN"/>
    </w:rPr>
  </w:style>
  <w:style w:type="character" w:customStyle="1" w:styleId="180">
    <w:name w:val="批注文字 Char2"/>
    <w:qFormat/>
    <w:uiPriority w:val="0"/>
    <w:rPr>
      <w:kern w:val="2"/>
      <w:sz w:val="21"/>
      <w:szCs w:val="24"/>
    </w:rPr>
  </w:style>
  <w:style w:type="character" w:customStyle="1" w:styleId="181">
    <w:name w:val="纯文本 Char_1"/>
    <w:link w:val="182"/>
    <w:qFormat/>
    <w:locked/>
    <w:uiPriority w:val="0"/>
    <w:rPr>
      <w:rFonts w:ascii="Calibri" w:hAnsi="Calibri"/>
      <w:kern w:val="2"/>
      <w:sz w:val="21"/>
      <w:szCs w:val="22"/>
    </w:rPr>
  </w:style>
  <w:style w:type="paragraph" w:customStyle="1" w:styleId="182">
    <w:name w:val="纯文本_1"/>
    <w:basedOn w:val="1"/>
    <w:link w:val="181"/>
    <w:qFormat/>
    <w:uiPriority w:val="0"/>
    <w:rPr>
      <w:rFonts w:ascii="Calibri" w:hAnsi="Calibri"/>
      <w:szCs w:val="22"/>
    </w:rPr>
  </w:style>
  <w:style w:type="character" w:customStyle="1" w:styleId="183">
    <w:name w:val="Char Char"/>
    <w:qFormat/>
    <w:uiPriority w:val="0"/>
    <w:rPr>
      <w:rFonts w:hint="eastAsia" w:ascii="宋体" w:hAnsi="宋体" w:eastAsia="宋体"/>
      <w:kern w:val="2"/>
      <w:sz w:val="18"/>
      <w:lang w:val="en-US" w:eastAsia="zh-CN"/>
    </w:rPr>
  </w:style>
  <w:style w:type="character" w:customStyle="1" w:styleId="184">
    <w:name w:val="Plain Text Char1"/>
    <w:qFormat/>
    <w:uiPriority w:val="0"/>
    <w:rPr>
      <w:rFonts w:hint="eastAsia" w:ascii="宋体" w:hAnsi="宋体" w:eastAsia="宋体"/>
      <w:kern w:val="2"/>
      <w:sz w:val="21"/>
      <w:szCs w:val="21"/>
      <w:lang w:val="en-US" w:eastAsia="zh-CN" w:bidi="ar-SA"/>
    </w:rPr>
  </w:style>
  <w:style w:type="character" w:customStyle="1" w:styleId="185">
    <w:name w:val="ca-51"/>
    <w:qFormat/>
    <w:uiPriority w:val="0"/>
    <w:rPr>
      <w:rFonts w:hint="eastAsia" w:ascii="楷体_GB2312" w:eastAsia="楷体_GB2312"/>
      <w:b/>
      <w:bCs/>
      <w:spacing w:val="-20"/>
      <w:sz w:val="24"/>
      <w:szCs w:val="24"/>
    </w:rPr>
  </w:style>
  <w:style w:type="character" w:customStyle="1" w:styleId="186">
    <w:name w:val="正文文本_"/>
    <w:link w:val="187"/>
    <w:qFormat/>
    <w:locked/>
    <w:uiPriority w:val="99"/>
    <w:rPr>
      <w:rFonts w:ascii="宋体" w:hAnsi="宋体"/>
      <w:sz w:val="22"/>
      <w:lang w:val="zh-CN"/>
    </w:rPr>
  </w:style>
  <w:style w:type="paragraph" w:customStyle="1" w:styleId="187">
    <w:name w:val="正文文本1"/>
    <w:basedOn w:val="1"/>
    <w:link w:val="186"/>
    <w:qFormat/>
    <w:uiPriority w:val="99"/>
    <w:pPr>
      <w:spacing w:line="432" w:lineRule="auto"/>
      <w:jc w:val="left"/>
    </w:pPr>
    <w:rPr>
      <w:rFonts w:ascii="宋体" w:hAnsi="宋体"/>
      <w:kern w:val="0"/>
      <w:sz w:val="22"/>
      <w:szCs w:val="20"/>
      <w:lang w:val="zh-CN"/>
    </w:rPr>
  </w:style>
  <w:style w:type="character" w:customStyle="1" w:styleId="188">
    <w:name w:val="Heading 3 Char"/>
    <w:qFormat/>
    <w:uiPriority w:val="0"/>
    <w:rPr>
      <w:rFonts w:hint="default" w:ascii="Times New Roman" w:hAnsi="Times New Roman" w:cs="Times New Roman"/>
      <w:b/>
      <w:bCs/>
      <w:sz w:val="32"/>
      <w:szCs w:val="32"/>
      <w:lang w:bidi="ar-SA"/>
    </w:rPr>
  </w:style>
  <w:style w:type="character" w:customStyle="1" w:styleId="189">
    <w:name w:val="ca-11"/>
    <w:qFormat/>
    <w:uiPriority w:val="0"/>
    <w:rPr>
      <w:rFonts w:hint="eastAsia" w:ascii="宋体" w:hAnsi="宋体" w:eastAsia="宋体"/>
      <w:b/>
      <w:bCs/>
      <w:color w:val="000000"/>
      <w:spacing w:val="-20"/>
      <w:sz w:val="28"/>
      <w:szCs w:val="28"/>
    </w:rPr>
  </w:style>
  <w:style w:type="character" w:customStyle="1" w:styleId="190">
    <w:name w:val="z1"/>
    <w:qFormat/>
    <w:uiPriority w:val="0"/>
  </w:style>
  <w:style w:type="character" w:customStyle="1" w:styleId="191">
    <w:name w:val="正文（标记） Char2"/>
    <w:link w:val="192"/>
    <w:qFormat/>
    <w:locked/>
    <w:uiPriority w:val="0"/>
    <w:rPr>
      <w:kern w:val="2"/>
      <w:sz w:val="24"/>
      <w:szCs w:val="24"/>
    </w:rPr>
  </w:style>
  <w:style w:type="paragraph" w:customStyle="1" w:styleId="192">
    <w:name w:val="正文（标记）"/>
    <w:basedOn w:val="1"/>
    <w:link w:val="191"/>
    <w:qFormat/>
    <w:uiPriority w:val="0"/>
    <w:pPr>
      <w:tabs>
        <w:tab w:val="left" w:pos="0"/>
        <w:tab w:val="left" w:pos="840"/>
      </w:tabs>
      <w:spacing w:beforeLines="50" w:afterLines="50"/>
    </w:pPr>
    <w:rPr>
      <w:sz w:val="24"/>
    </w:rPr>
  </w:style>
  <w:style w:type="character" w:customStyle="1" w:styleId="193">
    <w:name w:val="Header Char1"/>
    <w:qFormat/>
    <w:uiPriority w:val="0"/>
    <w:rPr>
      <w:rFonts w:hint="default" w:ascii="Times New Roman" w:hAnsi="Times New Roman" w:cs="Times New Roman"/>
      <w:sz w:val="18"/>
      <w:szCs w:val="18"/>
      <w:lang w:bidi="ar-SA"/>
    </w:rPr>
  </w:style>
  <w:style w:type="character" w:customStyle="1" w:styleId="194">
    <w:name w:val="Font Style37"/>
    <w:qFormat/>
    <w:uiPriority w:val="0"/>
    <w:rPr>
      <w:rFonts w:ascii="Arial" w:hAnsi="Arial" w:cs="Arial"/>
      <w:sz w:val="16"/>
      <w:szCs w:val="16"/>
    </w:rPr>
  </w:style>
  <w:style w:type="character" w:customStyle="1" w:styleId="195">
    <w:name w:val="Char Char2"/>
    <w:qFormat/>
    <w:uiPriority w:val="0"/>
    <w:rPr>
      <w:kern w:val="2"/>
      <w:sz w:val="18"/>
      <w:szCs w:val="18"/>
    </w:rPr>
  </w:style>
  <w:style w:type="character" w:customStyle="1" w:styleId="196">
    <w:name w:val="Font Style28"/>
    <w:qFormat/>
    <w:uiPriority w:val="0"/>
    <w:rPr>
      <w:rFonts w:ascii="Constantia" w:hAnsi="Constantia" w:cs="Constantia"/>
      <w:sz w:val="28"/>
      <w:szCs w:val="28"/>
    </w:rPr>
  </w:style>
  <w:style w:type="character" w:customStyle="1" w:styleId="197">
    <w:name w:val="style15"/>
    <w:qFormat/>
    <w:uiPriority w:val="0"/>
  </w:style>
  <w:style w:type="character" w:customStyle="1" w:styleId="198">
    <w:name w:val="+正文 Char3"/>
    <w:link w:val="199"/>
    <w:qFormat/>
    <w:uiPriority w:val="0"/>
    <w:rPr>
      <w:rFonts w:ascii="Calibri" w:hAnsi="Calibri"/>
      <w:kern w:val="2"/>
      <w:sz w:val="24"/>
      <w:szCs w:val="28"/>
    </w:rPr>
  </w:style>
  <w:style w:type="paragraph" w:customStyle="1" w:styleId="199">
    <w:name w:val="+正文"/>
    <w:basedOn w:val="1"/>
    <w:link w:val="198"/>
    <w:qFormat/>
    <w:uiPriority w:val="0"/>
    <w:pPr>
      <w:spacing w:line="360" w:lineRule="auto"/>
      <w:ind w:firstLine="200" w:firstLineChars="200"/>
    </w:pPr>
    <w:rPr>
      <w:rFonts w:ascii="Calibri" w:hAnsi="Calibri"/>
      <w:sz w:val="24"/>
      <w:szCs w:val="28"/>
    </w:rPr>
  </w:style>
  <w:style w:type="character" w:customStyle="1" w:styleId="200">
    <w:name w:val="Footer Char1"/>
    <w:qFormat/>
    <w:uiPriority w:val="0"/>
    <w:rPr>
      <w:rFonts w:hint="default" w:ascii="Times New Roman" w:hAnsi="Times New Roman" w:cs="Times New Roman"/>
      <w:sz w:val="18"/>
      <w:szCs w:val="18"/>
      <w:lang w:bidi="ar-SA"/>
    </w:rPr>
  </w:style>
  <w:style w:type="character" w:customStyle="1" w:styleId="201">
    <w:name w:val="Font Style30"/>
    <w:qFormat/>
    <w:uiPriority w:val="0"/>
    <w:rPr>
      <w:rFonts w:ascii="宋体" w:eastAsia="宋体" w:cs="宋体"/>
      <w:sz w:val="14"/>
      <w:szCs w:val="14"/>
    </w:rPr>
  </w:style>
  <w:style w:type="character" w:customStyle="1" w:styleId="202">
    <w:name w:val="ca-21"/>
    <w:qFormat/>
    <w:uiPriority w:val="0"/>
    <w:rPr>
      <w:rFonts w:hint="eastAsia" w:ascii="宋体" w:hAnsi="宋体" w:eastAsia="宋体"/>
      <w:sz w:val="21"/>
    </w:rPr>
  </w:style>
  <w:style w:type="character" w:customStyle="1" w:styleId="203">
    <w:name w:val="超链接_0"/>
    <w:qFormat/>
    <w:uiPriority w:val="99"/>
    <w:rPr>
      <w:rFonts w:hint="default" w:ascii="Calibri" w:hAnsi="Calibri"/>
      <w:color w:val="0000FF"/>
      <w:u w:val="single"/>
    </w:rPr>
  </w:style>
  <w:style w:type="character" w:customStyle="1" w:styleId="204">
    <w:name w:val="marklong"/>
    <w:qFormat/>
    <w:uiPriority w:val="0"/>
  </w:style>
  <w:style w:type="character" w:customStyle="1" w:styleId="205">
    <w:name w:val="style161"/>
    <w:qFormat/>
    <w:uiPriority w:val="0"/>
    <w:rPr>
      <w:rFonts w:hint="default" w:ascii="Verdana" w:hAnsi="Verdana" w:eastAsia="宋体"/>
      <w:b/>
      <w:color w:val="0A246A"/>
      <w:sz w:val="24"/>
      <w:szCs w:val="24"/>
      <w:lang w:val="en-US" w:eastAsia="zh-CN" w:bidi="ar-SA"/>
    </w:rPr>
  </w:style>
  <w:style w:type="character" w:customStyle="1" w:styleId="206">
    <w:name w:val="其他_"/>
    <w:link w:val="207"/>
    <w:qFormat/>
    <w:locked/>
    <w:uiPriority w:val="99"/>
    <w:rPr>
      <w:rFonts w:ascii="宋体" w:hAnsi="宋体"/>
      <w:sz w:val="22"/>
      <w:lang w:val="zh-CN"/>
    </w:rPr>
  </w:style>
  <w:style w:type="paragraph" w:customStyle="1" w:styleId="207">
    <w:name w:val="其他"/>
    <w:basedOn w:val="1"/>
    <w:link w:val="206"/>
    <w:qFormat/>
    <w:uiPriority w:val="99"/>
    <w:pPr>
      <w:spacing w:line="432" w:lineRule="auto"/>
      <w:jc w:val="left"/>
    </w:pPr>
    <w:rPr>
      <w:rFonts w:ascii="宋体" w:hAnsi="宋体"/>
      <w:kern w:val="0"/>
      <w:sz w:val="22"/>
      <w:szCs w:val="20"/>
      <w:lang w:val="zh-CN"/>
    </w:rPr>
  </w:style>
  <w:style w:type="character" w:customStyle="1" w:styleId="208">
    <w:name w:val="question-title"/>
    <w:qFormat/>
    <w:uiPriority w:val="0"/>
  </w:style>
  <w:style w:type="character" w:customStyle="1" w:styleId="209">
    <w:name w:val="标题 2 Char Char Char"/>
    <w:qFormat/>
    <w:uiPriority w:val="0"/>
    <w:rPr>
      <w:rFonts w:hint="default" w:ascii="Arial" w:hAnsi="Arial" w:eastAsia="宋体" w:cs="Arial"/>
      <w:b/>
      <w:bCs/>
      <w:i/>
      <w:iCs/>
      <w:sz w:val="28"/>
      <w:szCs w:val="28"/>
      <w:lang w:val="en-US" w:eastAsia="zh-CN" w:bidi="ar-SA"/>
    </w:rPr>
  </w:style>
  <w:style w:type="character" w:customStyle="1" w:styleId="210">
    <w:name w:val="段落 Char"/>
    <w:qFormat/>
    <w:uiPriority w:val="0"/>
    <w:rPr>
      <w:rFonts w:hint="eastAsia" w:ascii="仿宋_GB2312" w:eastAsia="仿宋_GB2312"/>
      <w:kern w:val="2"/>
      <w:sz w:val="24"/>
      <w:szCs w:val="24"/>
      <w:lang w:val="en-US" w:eastAsia="zh-CN" w:bidi="ar-SA"/>
    </w:rPr>
  </w:style>
  <w:style w:type="paragraph" w:customStyle="1" w:styleId="211">
    <w:name w:val="pa-4"/>
    <w:basedOn w:val="1"/>
    <w:qFormat/>
    <w:uiPriority w:val="0"/>
    <w:pPr>
      <w:widowControl/>
      <w:spacing w:line="280" w:lineRule="atLeast"/>
      <w:jc w:val="center"/>
    </w:pPr>
    <w:rPr>
      <w:rFonts w:ascii="宋体" w:hAnsi="Calibri" w:cs="宋体"/>
      <w:kern w:val="0"/>
      <w:sz w:val="24"/>
      <w:szCs w:val="22"/>
    </w:rPr>
  </w:style>
  <w:style w:type="paragraph" w:customStyle="1" w:styleId="212">
    <w:name w:val="_Style 56"/>
    <w:basedOn w:val="19"/>
    <w:qFormat/>
    <w:uiPriority w:val="0"/>
    <w:pPr>
      <w:spacing w:line="436" w:lineRule="exact"/>
    </w:pPr>
    <w:rPr>
      <w:szCs w:val="20"/>
    </w:rPr>
  </w:style>
  <w:style w:type="paragraph" w:customStyle="1" w:styleId="213">
    <w:name w:val="Normal_20_0"/>
    <w:qFormat/>
    <w:uiPriority w:val="0"/>
    <w:pPr>
      <w:widowControl w:val="0"/>
      <w:jc w:val="both"/>
    </w:pPr>
    <w:rPr>
      <w:rFonts w:ascii="Times New Roman" w:hAnsi="Times New Roman" w:eastAsia="Times New Roman" w:cs="Times New Roman"/>
      <w:lang w:val="en-US" w:eastAsia="zh-CN" w:bidi="ar-SA"/>
    </w:rPr>
  </w:style>
  <w:style w:type="paragraph" w:customStyle="1" w:styleId="214">
    <w:name w:val="Char Char Char Char Char Char Char1 Char"/>
    <w:basedOn w:val="1"/>
    <w:qFormat/>
    <w:uiPriority w:val="0"/>
    <w:rPr>
      <w:rFonts w:ascii="Tahoma" w:hAnsi="Tahoma"/>
      <w:sz w:val="24"/>
      <w:szCs w:val="20"/>
    </w:rPr>
  </w:style>
  <w:style w:type="paragraph" w:customStyle="1" w:styleId="215">
    <w:name w:val="三级条标题"/>
    <w:basedOn w:val="216"/>
    <w:next w:val="159"/>
    <w:qFormat/>
    <w:uiPriority w:val="0"/>
    <w:pPr>
      <w:ind w:left="1050"/>
      <w:outlineLvl w:val="4"/>
    </w:pPr>
  </w:style>
  <w:style w:type="paragraph" w:customStyle="1" w:styleId="216">
    <w:name w:val="二级条标题"/>
    <w:basedOn w:val="217"/>
    <w:next w:val="159"/>
    <w:qFormat/>
    <w:uiPriority w:val="0"/>
    <w:pPr>
      <w:ind w:left="360"/>
      <w:outlineLvl w:val="3"/>
    </w:pPr>
  </w:style>
  <w:style w:type="paragraph" w:customStyle="1" w:styleId="217">
    <w:name w:val="一级条标题"/>
    <w:next w:val="159"/>
    <w:qFormat/>
    <w:uiPriority w:val="0"/>
    <w:pPr>
      <w:outlineLvl w:val="2"/>
    </w:pPr>
    <w:rPr>
      <w:rFonts w:ascii="Times New Roman" w:hAnsi="Times New Roman" w:eastAsia="黑体" w:cs="Times New Roman"/>
      <w:sz w:val="21"/>
      <w:lang w:val="en-US" w:eastAsia="zh-CN" w:bidi="ar-SA"/>
    </w:rPr>
  </w:style>
  <w:style w:type="paragraph" w:customStyle="1" w:styleId="2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9">
    <w:name w:val="HTML 地址 Char1"/>
    <w:semiHidden/>
    <w:qFormat/>
    <w:uiPriority w:val="0"/>
    <w:rPr>
      <w:i/>
      <w:iCs/>
      <w:kern w:val="2"/>
      <w:sz w:val="21"/>
      <w:szCs w:val="24"/>
    </w:rPr>
  </w:style>
  <w:style w:type="paragraph" w:customStyle="1" w:styleId="220">
    <w:name w:val="技术方案正文"/>
    <w:basedOn w:val="1"/>
    <w:qFormat/>
    <w:uiPriority w:val="0"/>
    <w:pPr>
      <w:spacing w:line="360" w:lineRule="auto"/>
      <w:ind w:firstLine="480"/>
    </w:pPr>
    <w:rPr>
      <w:rFonts w:ascii="宋体" w:hAnsi="Calibri"/>
      <w:sz w:val="24"/>
      <w:szCs w:val="22"/>
    </w:rPr>
  </w:style>
  <w:style w:type="paragraph" w:customStyle="1" w:styleId="221">
    <w:name w:val="序号-----------"/>
    <w:basedOn w:val="1"/>
    <w:qFormat/>
    <w:uiPriority w:val="0"/>
    <w:pPr>
      <w:widowControl/>
      <w:jc w:val="left"/>
    </w:pPr>
    <w:rPr>
      <w:rFonts w:ascii="宋体" w:hAnsi="Calibri"/>
      <w:bCs/>
      <w:kern w:val="0"/>
      <w:szCs w:val="21"/>
    </w:rPr>
  </w:style>
  <w:style w:type="paragraph" w:customStyle="1" w:styleId="222">
    <w:name w:val="Normal_6"/>
    <w:qFormat/>
    <w:uiPriority w:val="0"/>
    <w:rPr>
      <w:rFonts w:ascii="黑体" w:hAnsi="黑体" w:eastAsia="黑体" w:cs="Times New Roman"/>
      <w:b/>
      <w:sz w:val="32"/>
      <w:szCs w:val="24"/>
      <w:lang w:val="en-US" w:eastAsia="zh-CN" w:bidi="ar-SA"/>
    </w:rPr>
  </w:style>
  <w:style w:type="character" w:customStyle="1" w:styleId="223">
    <w:name w:val="脚注文本 Char1"/>
    <w:semiHidden/>
    <w:qFormat/>
    <w:uiPriority w:val="0"/>
    <w:rPr>
      <w:kern w:val="2"/>
      <w:sz w:val="18"/>
      <w:szCs w:val="18"/>
    </w:rPr>
  </w:style>
  <w:style w:type="paragraph" w:customStyle="1" w:styleId="22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39"/>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6">
    <w:name w:val="正文文本缩进 2 Char1"/>
    <w:semiHidden/>
    <w:qFormat/>
    <w:uiPriority w:val="0"/>
    <w:rPr>
      <w:kern w:val="2"/>
      <w:sz w:val="21"/>
      <w:szCs w:val="24"/>
    </w:rPr>
  </w:style>
  <w:style w:type="paragraph" w:customStyle="1" w:styleId="227">
    <w:name w:val="Normal_0_3"/>
    <w:qFormat/>
    <w:uiPriority w:val="0"/>
    <w:rPr>
      <w:rFonts w:ascii="黑体" w:hAnsi="黑体" w:eastAsia="黑体" w:cs="Times New Roman"/>
      <w:b/>
      <w:sz w:val="32"/>
      <w:szCs w:val="24"/>
      <w:lang w:val="en-US" w:eastAsia="zh-CN" w:bidi="ar-SA"/>
    </w:rPr>
  </w:style>
  <w:style w:type="paragraph" w:customStyle="1" w:styleId="228">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Normal_1_2"/>
    <w:qFormat/>
    <w:uiPriority w:val="0"/>
    <w:rPr>
      <w:rFonts w:ascii="Times New Roman" w:hAnsi="Times New Roman" w:eastAsia="Times New Roman" w:cs="Times New Roman"/>
      <w:sz w:val="24"/>
      <w:szCs w:val="24"/>
      <w:lang w:val="en-US" w:eastAsia="zh-CN" w:bidi="ar-SA"/>
    </w:rPr>
  </w:style>
  <w:style w:type="paragraph" w:customStyle="1" w:styleId="230">
    <w:name w:val="Char"/>
    <w:basedOn w:val="1"/>
    <w:qFormat/>
    <w:uiPriority w:val="0"/>
    <w:pPr>
      <w:tabs>
        <w:tab w:val="left" w:pos="360"/>
      </w:tabs>
    </w:pPr>
    <w:rPr>
      <w:sz w:val="24"/>
    </w:rPr>
  </w:style>
  <w:style w:type="paragraph" w:customStyle="1" w:styleId="231">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3">
    <w:name w:val="Normal_11_0"/>
    <w:qFormat/>
    <w:uiPriority w:val="0"/>
    <w:rPr>
      <w:rFonts w:ascii="黑体" w:hAnsi="黑体" w:eastAsia="黑体" w:cs="Times New Roman"/>
      <w:b/>
      <w:sz w:val="32"/>
      <w:szCs w:val="24"/>
      <w:lang w:val="en-US" w:eastAsia="zh-CN" w:bidi="ar-SA"/>
    </w:rPr>
  </w:style>
  <w:style w:type="paragraph" w:customStyle="1" w:styleId="234">
    <w:name w:val="Char Char Char"/>
    <w:basedOn w:val="1"/>
    <w:qFormat/>
    <w:uiPriority w:val="0"/>
    <w:rPr>
      <w:rFonts w:ascii="Calibri" w:hAnsi="Calibri"/>
      <w:szCs w:val="21"/>
    </w:rPr>
  </w:style>
  <w:style w:type="paragraph" w:customStyle="1" w:styleId="235">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0_1"/>
    <w:qFormat/>
    <w:uiPriority w:val="0"/>
    <w:rPr>
      <w:rFonts w:ascii="黑体" w:hAnsi="黑体" w:eastAsia="黑体" w:cs="Times New Roman"/>
      <w:b/>
      <w:sz w:val="32"/>
      <w:szCs w:val="24"/>
      <w:lang w:val="en-US" w:eastAsia="zh-CN" w:bidi="ar-SA"/>
    </w:rPr>
  </w:style>
  <w:style w:type="character" w:customStyle="1" w:styleId="237">
    <w:name w:val="标题 Char1"/>
    <w:qFormat/>
    <w:uiPriority w:val="10"/>
    <w:rPr>
      <w:rFonts w:ascii="Cambria" w:hAnsi="Cambria" w:cs="Times New Roman"/>
      <w:b/>
      <w:bCs/>
      <w:kern w:val="2"/>
      <w:sz w:val="32"/>
      <w:szCs w:val="32"/>
    </w:rPr>
  </w:style>
  <w:style w:type="paragraph" w:customStyle="1" w:styleId="238">
    <w:name w:val="默认段落字体 Para Char Char Char Char Char Char Char Char Char1"/>
    <w:basedOn w:val="1"/>
    <w:qFormat/>
    <w:uiPriority w:val="0"/>
    <w:rPr>
      <w:rFonts w:ascii="Tahoma" w:hAnsi="Tahoma"/>
      <w:sz w:val="24"/>
      <w:szCs w:val="20"/>
    </w:rPr>
  </w:style>
  <w:style w:type="paragraph" w:customStyle="1" w:styleId="2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3">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4">
    <w:name w:val="正文首行缩进 2 Char1"/>
    <w:semiHidden/>
    <w:qFormat/>
    <w:uiPriority w:val="0"/>
    <w:rPr>
      <w:rFonts w:ascii="Times New Roman" w:hAnsi="Times New Roman" w:eastAsia="宋体" w:cs="Times New Roman"/>
      <w:kern w:val="2"/>
      <w:sz w:val="21"/>
      <w:szCs w:val="24"/>
    </w:rPr>
  </w:style>
  <w:style w:type="character" w:customStyle="1" w:styleId="245">
    <w:name w:val="正文文本 2 Char1"/>
    <w:semiHidden/>
    <w:qFormat/>
    <w:uiPriority w:val="0"/>
    <w:rPr>
      <w:kern w:val="2"/>
      <w:sz w:val="21"/>
      <w:szCs w:val="24"/>
    </w:rPr>
  </w:style>
  <w:style w:type="paragraph" w:customStyle="1" w:styleId="246">
    <w:name w:val="Normal_13_0"/>
    <w:qFormat/>
    <w:uiPriority w:val="0"/>
    <w:rPr>
      <w:rFonts w:ascii="黑体" w:hAnsi="黑体" w:eastAsia="黑体" w:cs="Times New Roman"/>
      <w:b/>
      <w:sz w:val="32"/>
      <w:szCs w:val="24"/>
      <w:lang w:val="en-US" w:eastAsia="zh-CN" w:bidi="ar-SA"/>
    </w:rPr>
  </w:style>
  <w:style w:type="paragraph" w:customStyle="1" w:styleId="247">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8">
    <w:name w:val="xl4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0">
    <w:name w:val="pa-2"/>
    <w:basedOn w:val="1"/>
    <w:qFormat/>
    <w:uiPriority w:val="0"/>
    <w:pPr>
      <w:widowControl/>
      <w:spacing w:line="360" w:lineRule="atLeast"/>
    </w:pPr>
    <w:rPr>
      <w:rFonts w:ascii="宋体" w:hAnsi="Calibri" w:cs="宋体"/>
      <w:kern w:val="0"/>
      <w:sz w:val="24"/>
      <w:szCs w:val="22"/>
    </w:rPr>
  </w:style>
  <w:style w:type="paragraph" w:customStyle="1" w:styleId="251">
    <w:name w:val="Normal_20"/>
    <w:qFormat/>
    <w:uiPriority w:val="0"/>
    <w:rPr>
      <w:rFonts w:ascii="黑体" w:hAnsi="黑体" w:eastAsia="黑体" w:cs="Times New Roman"/>
      <w:b/>
      <w:sz w:val="32"/>
      <w:szCs w:val="24"/>
      <w:lang w:val="en-US" w:eastAsia="zh-CN" w:bidi="ar-SA"/>
    </w:rPr>
  </w:style>
  <w:style w:type="paragraph" w:customStyle="1" w:styleId="252">
    <w:name w:val="正文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正文（首行缩进）"/>
    <w:basedOn w:val="1"/>
    <w:qFormat/>
    <w:uiPriority w:val="0"/>
    <w:pPr>
      <w:widowControl/>
      <w:spacing w:before="120" w:line="360" w:lineRule="auto"/>
      <w:ind w:firstLine="482"/>
    </w:pPr>
    <w:rPr>
      <w:rFonts w:ascii="Calibri" w:hAnsi="Calibri"/>
      <w:sz w:val="24"/>
      <w:szCs w:val="20"/>
    </w:rPr>
  </w:style>
  <w:style w:type="character" w:customStyle="1" w:styleId="254">
    <w:name w:val="HTML 预设格式 Char1"/>
    <w:semiHidden/>
    <w:qFormat/>
    <w:uiPriority w:val="0"/>
    <w:rPr>
      <w:rFonts w:ascii="Courier New" w:hAnsi="Courier New" w:cs="Courier New"/>
      <w:kern w:val="2"/>
    </w:rPr>
  </w:style>
  <w:style w:type="paragraph" w:customStyle="1" w:styleId="255">
    <w:name w:val="篇名"/>
    <w:next w:val="2"/>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6">
    <w:name w:val="英文音标"/>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7">
    <w:name w:val="尾注文本 Char1"/>
    <w:semiHidden/>
    <w:qFormat/>
    <w:uiPriority w:val="0"/>
    <w:rPr>
      <w:kern w:val="2"/>
      <w:sz w:val="21"/>
      <w:szCs w:val="24"/>
    </w:rPr>
  </w:style>
  <w:style w:type="paragraph" w:customStyle="1" w:styleId="258">
    <w:name w:val="Normal_17"/>
    <w:qFormat/>
    <w:uiPriority w:val="0"/>
    <w:rPr>
      <w:rFonts w:ascii="黑体" w:hAnsi="黑体" w:eastAsia="黑体" w:cs="Times New Roman"/>
      <w:b/>
      <w:sz w:val="32"/>
      <w:szCs w:val="24"/>
      <w:lang w:val="en-US" w:eastAsia="zh-CN" w:bidi="ar-SA"/>
    </w:rPr>
  </w:style>
  <w:style w:type="paragraph" w:customStyle="1" w:styleId="259">
    <w:name w:val="font8"/>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6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1">
    <w:name w:val="正文文本 3 Char1"/>
    <w:semiHidden/>
    <w:qFormat/>
    <w:uiPriority w:val="0"/>
    <w:rPr>
      <w:kern w:val="2"/>
      <w:sz w:val="16"/>
      <w:szCs w:val="16"/>
    </w:rPr>
  </w:style>
  <w:style w:type="paragraph" w:customStyle="1" w:styleId="26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Char111"/>
    <w:basedOn w:val="1"/>
    <w:qFormat/>
    <w:uiPriority w:val="0"/>
    <w:pPr>
      <w:tabs>
        <w:tab w:val="left" w:pos="420"/>
      </w:tabs>
      <w:ind w:left="420" w:hanging="420" w:firstLineChars="200"/>
      <w:jc w:val="left"/>
    </w:pPr>
    <w:rPr>
      <w:szCs w:val="20"/>
    </w:rPr>
  </w:style>
  <w:style w:type="paragraph" w:customStyle="1" w:styleId="264">
    <w:name w:val="正文_1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5">
    <w:name w:val="正文文本缩进 3 Char1"/>
    <w:semiHidden/>
    <w:qFormat/>
    <w:uiPriority w:val="0"/>
    <w:rPr>
      <w:kern w:val="2"/>
      <w:sz w:val="16"/>
      <w:szCs w:val="16"/>
    </w:rPr>
  </w:style>
  <w:style w:type="paragraph" w:customStyle="1" w:styleId="266">
    <w:name w:val="font9"/>
    <w:basedOn w:val="1"/>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7">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pa-9"/>
    <w:basedOn w:val="1"/>
    <w:qFormat/>
    <w:uiPriority w:val="0"/>
    <w:pPr>
      <w:widowControl/>
      <w:spacing w:line="360" w:lineRule="atLeast"/>
      <w:jc w:val="center"/>
    </w:pPr>
    <w:rPr>
      <w:rFonts w:ascii="宋体" w:hAnsi="Calibri" w:cs="宋体"/>
      <w:kern w:val="0"/>
      <w:sz w:val="24"/>
      <w:szCs w:val="22"/>
    </w:rPr>
  </w:style>
  <w:style w:type="paragraph" w:customStyle="1" w:styleId="269">
    <w:name w:val="pa-6"/>
    <w:basedOn w:val="1"/>
    <w:qFormat/>
    <w:uiPriority w:val="0"/>
    <w:pPr>
      <w:widowControl/>
      <w:spacing w:line="360" w:lineRule="atLeast"/>
    </w:pPr>
    <w:rPr>
      <w:rFonts w:ascii="宋体" w:hAnsi="Calibri"/>
      <w:kern w:val="0"/>
      <w:sz w:val="24"/>
      <w:szCs w:val="20"/>
    </w:rPr>
  </w:style>
  <w:style w:type="character" w:customStyle="1" w:styleId="270">
    <w:name w:val="文档结构图 Char1"/>
    <w:semiHidden/>
    <w:qFormat/>
    <w:uiPriority w:val="0"/>
    <w:rPr>
      <w:rFonts w:ascii="宋体"/>
      <w:kern w:val="2"/>
      <w:sz w:val="18"/>
      <w:szCs w:val="18"/>
    </w:rPr>
  </w:style>
  <w:style w:type="paragraph" w:customStyle="1" w:styleId="271">
    <w:name w:val="Normal_12"/>
    <w:qFormat/>
    <w:uiPriority w:val="0"/>
    <w:rPr>
      <w:rFonts w:ascii="黑体" w:hAnsi="黑体" w:eastAsia="黑体" w:cs="Times New Roman"/>
      <w:b/>
      <w:sz w:val="32"/>
      <w:szCs w:val="24"/>
      <w:lang w:val="en-US" w:eastAsia="zh-CN" w:bidi="ar-SA"/>
    </w:rPr>
  </w:style>
  <w:style w:type="paragraph" w:customStyle="1" w:styleId="27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3">
    <w:name w:val="样式3"/>
    <w:basedOn w:val="4"/>
    <w:qFormat/>
    <w:uiPriority w:val="0"/>
    <w:pPr>
      <w:spacing w:line="412" w:lineRule="auto"/>
    </w:pPr>
    <w:rPr>
      <w:rFonts w:ascii="Calibri" w:hAnsi="Calibri"/>
      <w:kern w:val="2"/>
      <w:sz w:val="28"/>
      <w:szCs w:val="28"/>
    </w:rPr>
  </w:style>
  <w:style w:type="paragraph" w:customStyle="1" w:styleId="274">
    <w:name w:val="pa-0"/>
    <w:basedOn w:val="1"/>
    <w:qFormat/>
    <w:uiPriority w:val="0"/>
    <w:pPr>
      <w:widowControl/>
      <w:spacing w:line="360" w:lineRule="atLeast"/>
      <w:ind w:firstLine="480"/>
    </w:pPr>
    <w:rPr>
      <w:rFonts w:ascii="宋体" w:hAnsi="Calibri" w:cs="宋体"/>
      <w:kern w:val="0"/>
      <w:sz w:val="24"/>
      <w:szCs w:val="22"/>
    </w:rPr>
  </w:style>
  <w:style w:type="paragraph" w:customStyle="1" w:styleId="275">
    <w:name w:val="Char Char1 Char Char Char Char Char Char"/>
    <w:basedOn w:val="1"/>
    <w:qFormat/>
    <w:uiPriority w:val="0"/>
    <w:pPr>
      <w:widowControl/>
      <w:jc w:val="center"/>
    </w:pPr>
    <w:rPr>
      <w:rFonts w:ascii="宋体" w:hAnsi="宋体"/>
      <w:b/>
      <w:kern w:val="0"/>
      <w:sz w:val="24"/>
      <w:lang w:eastAsia="en-US"/>
    </w:rPr>
  </w:style>
  <w:style w:type="paragraph" w:customStyle="1" w:styleId="276">
    <w:name w:val="默认段落字体 Para Char"/>
    <w:basedOn w:val="1"/>
    <w:qFormat/>
    <w:uiPriority w:val="0"/>
    <w:rPr>
      <w:rFonts w:ascii="宋体" w:hAnsi="Calibri"/>
      <w:b/>
      <w:sz w:val="28"/>
      <w:szCs w:val="28"/>
    </w:rPr>
  </w:style>
  <w:style w:type="paragraph" w:customStyle="1" w:styleId="277">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8">
    <w:name w:val="ibm-list-ne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79">
    <w:name w:val="Normal_4"/>
    <w:qFormat/>
    <w:uiPriority w:val="0"/>
    <w:rPr>
      <w:rFonts w:ascii="黑体" w:hAnsi="黑体" w:eastAsia="黑体" w:cs="Times New Roman"/>
      <w:b/>
      <w:sz w:val="32"/>
      <w:szCs w:val="24"/>
      <w:lang w:val="en-US" w:eastAsia="zh-CN" w:bidi="ar-SA"/>
    </w:rPr>
  </w:style>
  <w:style w:type="paragraph" w:customStyle="1" w:styleId="280">
    <w:name w:val="正文（黑体）"/>
    <w:basedOn w:val="1"/>
    <w:next w:val="1"/>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1">
    <w:name w:val="样式 序号----------- + 仿宋_GB2312"/>
    <w:basedOn w:val="221"/>
    <w:qFormat/>
    <w:uiPriority w:val="0"/>
    <w:pPr>
      <w:spacing w:line="360" w:lineRule="auto"/>
      <w:ind w:firstLine="200" w:firstLineChars="200"/>
    </w:pPr>
    <w:rPr>
      <w:rFonts w:ascii="仿宋_GB2312" w:eastAsia="仿宋_GB2312"/>
      <w:bCs w:val="0"/>
    </w:rPr>
  </w:style>
  <w:style w:type="paragraph" w:customStyle="1" w:styleId="282">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283">
    <w:name w:val="标题2"/>
    <w:basedOn w:val="1"/>
    <w:qFormat/>
    <w:uiPriority w:val="0"/>
    <w:pPr>
      <w:tabs>
        <w:tab w:val="left" w:pos="0"/>
      </w:tabs>
    </w:pPr>
    <w:rPr>
      <w:rFonts w:ascii="黑体" w:hAnsi="Calibri" w:eastAsia="黑体"/>
      <w:sz w:val="24"/>
      <w:szCs w:val="22"/>
    </w:rPr>
  </w:style>
  <w:style w:type="paragraph" w:customStyle="1" w:styleId="284">
    <w:name w:val="Normal_13"/>
    <w:qFormat/>
    <w:uiPriority w:val="0"/>
    <w:rPr>
      <w:rFonts w:ascii="黑体" w:hAnsi="黑体" w:eastAsia="黑体" w:cs="Times New Roman"/>
      <w:b/>
      <w:sz w:val="32"/>
      <w:szCs w:val="24"/>
      <w:lang w:val="en-US" w:eastAsia="zh-CN" w:bidi="ar-SA"/>
    </w:rPr>
  </w:style>
  <w:style w:type="paragraph" w:customStyle="1" w:styleId="285">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6">
    <w:name w:val="pa-8"/>
    <w:basedOn w:val="1"/>
    <w:qFormat/>
    <w:uiPriority w:val="0"/>
    <w:pPr>
      <w:widowControl/>
      <w:spacing w:line="280" w:lineRule="atLeast"/>
      <w:ind w:firstLine="480"/>
    </w:pPr>
    <w:rPr>
      <w:rFonts w:ascii="宋体" w:hAnsi="Calibri" w:cs="宋体"/>
      <w:kern w:val="0"/>
      <w:sz w:val="24"/>
      <w:szCs w:val="22"/>
    </w:rPr>
  </w:style>
  <w:style w:type="paragraph" w:customStyle="1" w:styleId="287">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8">
    <w:name w:val="四级条标题"/>
    <w:basedOn w:val="215"/>
    <w:next w:val="159"/>
    <w:qFormat/>
    <w:uiPriority w:val="0"/>
    <w:pPr>
      <w:ind w:left="0"/>
      <w:outlineLvl w:val="5"/>
    </w:pPr>
  </w:style>
  <w:style w:type="paragraph" w:customStyle="1" w:styleId="289">
    <w:name w:val="t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90">
    <w:name w:val="正文 + 宋体"/>
    <w:basedOn w:val="1"/>
    <w:qFormat/>
    <w:uiPriority w:val="0"/>
    <w:pPr>
      <w:ind w:firstLine="250" w:firstLineChars="250"/>
    </w:pPr>
    <w:rPr>
      <w:rFonts w:ascii="宋体" w:hAnsi="Calibri"/>
      <w:szCs w:val="21"/>
    </w:rPr>
  </w:style>
  <w:style w:type="paragraph" w:customStyle="1" w:styleId="291">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2">
    <w:name w:val="特点"/>
    <w:basedOn w:val="1"/>
    <w:next w:val="1"/>
    <w:qFormat/>
    <w:uiPriority w:val="0"/>
    <w:pPr>
      <w:spacing w:line="360" w:lineRule="auto"/>
      <w:jc w:val="center"/>
    </w:pPr>
    <w:rPr>
      <w:rFonts w:ascii="Arial" w:hAnsi="Arial"/>
      <w:sz w:val="24"/>
      <w:szCs w:val="20"/>
    </w:rPr>
  </w:style>
  <w:style w:type="paragraph" w:customStyle="1" w:styleId="293">
    <w:name w:val="Normal_0_0"/>
    <w:qFormat/>
    <w:uiPriority w:val="0"/>
    <w:rPr>
      <w:rFonts w:ascii="黑体" w:hAnsi="黑体" w:eastAsia="黑体" w:cs="Times New Roman"/>
      <w:b/>
      <w:sz w:val="40"/>
      <w:szCs w:val="24"/>
      <w:lang w:val="en-US" w:eastAsia="zh-CN" w:bidi="ar-SA"/>
    </w:rPr>
  </w:style>
  <w:style w:type="paragraph" w:customStyle="1" w:styleId="294">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295">
    <w:name w:val="Char12"/>
    <w:basedOn w:val="1"/>
    <w:qFormat/>
    <w:uiPriority w:val="0"/>
    <w:pPr>
      <w:tabs>
        <w:tab w:val="left" w:pos="360"/>
      </w:tabs>
      <w:spacing w:line="480" w:lineRule="auto"/>
      <w:ind w:left="360" w:right="202" w:firstLine="360"/>
    </w:pPr>
    <w:rPr>
      <w:rFonts w:ascii="Calibri" w:hAnsi="Calibri"/>
      <w:sz w:val="24"/>
      <w:szCs w:val="22"/>
    </w:rPr>
  </w:style>
  <w:style w:type="paragraph" w:customStyle="1" w:styleId="296">
    <w:name w:val="五级条标题"/>
    <w:basedOn w:val="288"/>
    <w:next w:val="159"/>
    <w:qFormat/>
    <w:uiPriority w:val="0"/>
    <w:pPr>
      <w:outlineLvl w:val="6"/>
    </w:pPr>
  </w:style>
  <w:style w:type="paragraph" w:customStyle="1" w:styleId="297">
    <w:name w:val="Normal_15"/>
    <w:qFormat/>
    <w:uiPriority w:val="0"/>
    <w:rPr>
      <w:rFonts w:ascii="黑体" w:hAnsi="黑体" w:eastAsia="黑体" w:cs="Times New Roman"/>
      <w:b/>
      <w:sz w:val="32"/>
      <w:szCs w:val="24"/>
      <w:lang w:val="en-US" w:eastAsia="zh-CN" w:bidi="ar-SA"/>
    </w:rPr>
  </w:style>
  <w:style w:type="paragraph" w:customStyle="1" w:styleId="298">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0">
    <w:name w:val="Char Char1 Char Char Char Char Char Char Char Char"/>
    <w:basedOn w:val="1"/>
    <w:qFormat/>
    <w:uiPriority w:val="0"/>
    <w:pPr>
      <w:widowControl/>
      <w:spacing w:after="160" w:line="240" w:lineRule="exact"/>
      <w:jc w:val="left"/>
    </w:pPr>
    <w:rPr>
      <w:rFonts w:ascii="Calibri" w:hAnsi="Calibri"/>
      <w:szCs w:val="22"/>
    </w:rPr>
  </w:style>
  <w:style w:type="paragraph" w:customStyle="1" w:styleId="301">
    <w:name w:val="Normal_16"/>
    <w:qFormat/>
    <w:uiPriority w:val="0"/>
    <w:rPr>
      <w:rFonts w:ascii="黑体" w:hAnsi="黑体" w:eastAsia="黑体" w:cs="Times New Roman"/>
      <w:b/>
      <w:sz w:val="32"/>
      <w:szCs w:val="24"/>
      <w:lang w:val="en-US" w:eastAsia="zh-CN" w:bidi="ar-SA"/>
    </w:rPr>
  </w:style>
  <w:style w:type="paragraph" w:customStyle="1" w:styleId="302">
    <w:name w:val="Char Char Char Char1"/>
    <w:basedOn w:val="1"/>
    <w:qFormat/>
    <w:uiPriority w:val="0"/>
    <w:pPr>
      <w:spacing w:line="360" w:lineRule="auto"/>
      <w:ind w:firstLine="200" w:firstLineChars="200"/>
    </w:pPr>
    <w:rPr>
      <w:rFonts w:ascii="Calibri" w:hAnsi="Calibri"/>
      <w:kern w:val="0"/>
      <w:sz w:val="24"/>
      <w:szCs w:val="20"/>
    </w:rPr>
  </w:style>
  <w:style w:type="paragraph" w:customStyle="1" w:styleId="30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Normal_23"/>
    <w:qFormat/>
    <w:uiPriority w:val="0"/>
    <w:rPr>
      <w:rFonts w:ascii="黑体" w:hAnsi="黑体" w:eastAsia="黑体" w:cs="Times New Roman"/>
      <w:b/>
      <w:sz w:val="32"/>
      <w:szCs w:val="24"/>
      <w:lang w:val="en-US" w:eastAsia="zh-CN" w:bidi="ar-SA"/>
    </w:rPr>
  </w:style>
  <w:style w:type="paragraph" w:customStyle="1" w:styleId="305">
    <w:name w:val="Normal_3"/>
    <w:qFormat/>
    <w:uiPriority w:val="0"/>
    <w:rPr>
      <w:rFonts w:ascii="黑体" w:hAnsi="黑体" w:eastAsia="黑体" w:cs="Times New Roman"/>
      <w:b/>
      <w:sz w:val="32"/>
      <w:szCs w:val="24"/>
      <w:lang w:val="en-US" w:eastAsia="zh-CN" w:bidi="ar-SA"/>
    </w:rPr>
  </w:style>
  <w:style w:type="paragraph" w:customStyle="1" w:styleId="306">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7">
    <w:name w:val="font7"/>
    <w:basedOn w:val="1"/>
    <w:qFormat/>
    <w:uiPriority w:val="0"/>
    <w:pPr>
      <w:widowControl/>
      <w:spacing w:before="100" w:beforeAutospacing="1" w:after="100" w:afterAutospacing="1"/>
      <w:jc w:val="left"/>
    </w:pPr>
    <w:rPr>
      <w:rFonts w:ascii="宋体" w:hAnsi="Calibri"/>
      <w:kern w:val="0"/>
      <w:sz w:val="20"/>
      <w:szCs w:val="20"/>
    </w:rPr>
  </w:style>
  <w:style w:type="paragraph" w:customStyle="1" w:styleId="30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0">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311">
    <w:name w:val="正文段"/>
    <w:basedOn w:val="1"/>
    <w:qFormat/>
    <w:uiPriority w:val="0"/>
    <w:pPr>
      <w:widowControl/>
      <w:snapToGrid w:val="0"/>
      <w:spacing w:after="240" w:line="240" w:lineRule="atLeast"/>
      <w:ind w:firstLine="425"/>
    </w:pPr>
    <w:rPr>
      <w:rFonts w:ascii="Calibri" w:hAnsi="Calibri"/>
      <w:kern w:val="0"/>
      <w:sz w:val="24"/>
      <w:szCs w:val="20"/>
    </w:rPr>
  </w:style>
  <w:style w:type="paragraph" w:customStyle="1" w:styleId="312">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3">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kern w:val="0"/>
      <w:sz w:val="20"/>
      <w:szCs w:val="20"/>
      <w:lang w:eastAsia="en-US"/>
    </w:rPr>
  </w:style>
  <w:style w:type="paragraph" w:customStyle="1" w:styleId="314">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5">
    <w:name w:val="Normal_8"/>
    <w:qFormat/>
    <w:uiPriority w:val="0"/>
    <w:rPr>
      <w:rFonts w:ascii="Times New Roman" w:hAnsi="Times New Roman" w:eastAsia="Times New Roman" w:cs="Times New Roman"/>
      <w:sz w:val="24"/>
      <w:szCs w:val="24"/>
      <w:lang w:val="en-US" w:eastAsia="zh-CN" w:bidi="ar-SA"/>
    </w:rPr>
  </w:style>
  <w:style w:type="paragraph" w:customStyle="1" w:styleId="31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7">
    <w:name w:val="正文2"/>
    <w:qFormat/>
    <w:uiPriority w:val="0"/>
    <w:rPr>
      <w:rFonts w:ascii="Times New Roman" w:hAnsi="Times New Roman" w:eastAsia="Times New Roman" w:cs="Times New Roman"/>
      <w:sz w:val="24"/>
      <w:szCs w:val="24"/>
      <w:lang w:val="en-US" w:eastAsia="zh-CN" w:bidi="ar-SA"/>
    </w:rPr>
  </w:style>
  <w:style w:type="paragraph" w:customStyle="1" w:styleId="318">
    <w:name w:val="Normal_17_0"/>
    <w:qFormat/>
    <w:uiPriority w:val="0"/>
    <w:rPr>
      <w:rFonts w:ascii="黑体" w:hAnsi="黑体" w:eastAsia="黑体" w:cs="Times New Roman"/>
      <w:b/>
      <w:sz w:val="32"/>
      <w:szCs w:val="24"/>
      <w:lang w:val="en-US" w:eastAsia="zh-CN" w:bidi="ar-SA"/>
    </w:rPr>
  </w:style>
  <w:style w:type="paragraph" w:customStyle="1" w:styleId="319">
    <w:name w:val="正文文字缩进 3"/>
    <w:basedOn w:val="1"/>
    <w:qFormat/>
    <w:uiPriority w:val="0"/>
    <w:pPr>
      <w:spacing w:line="312" w:lineRule="auto"/>
      <w:ind w:left="420" w:firstLine="420"/>
    </w:pPr>
    <w:rPr>
      <w:rFonts w:ascii="黑体" w:hAnsi="黑体" w:cs="宋体"/>
      <w:bCs/>
      <w:color w:val="000000"/>
      <w:kern w:val="0"/>
      <w:sz w:val="24"/>
      <w:szCs w:val="22"/>
    </w:rPr>
  </w:style>
  <w:style w:type="paragraph" w:customStyle="1" w:styleId="320">
    <w:name w:val="Normal_14"/>
    <w:qFormat/>
    <w:uiPriority w:val="0"/>
    <w:rPr>
      <w:rFonts w:ascii="黑体" w:hAnsi="黑体" w:eastAsia="黑体" w:cs="Times New Roman"/>
      <w:b/>
      <w:sz w:val="32"/>
      <w:szCs w:val="24"/>
      <w:lang w:val="en-US" w:eastAsia="zh-CN" w:bidi="ar-SA"/>
    </w:rPr>
  </w:style>
  <w:style w:type="paragraph" w:customStyle="1" w:styleId="321">
    <w:name w:val="font6"/>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22">
    <w:name w:val="默认段落字体 Para Char Char Char Char Char Char Char Char Char1 Char Char Char Char Char Char Char Char"/>
    <w:basedOn w:val="19"/>
    <w:qFormat/>
    <w:uiPriority w:val="0"/>
    <w:rPr>
      <w:rFonts w:ascii="Calibri" w:hAnsi="Calibri"/>
      <w:szCs w:val="22"/>
    </w:rPr>
  </w:style>
  <w:style w:type="paragraph" w:customStyle="1" w:styleId="323">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5">
    <w:name w:val="样式 序号----------- + 仿宋_GB23121"/>
    <w:basedOn w:val="221"/>
    <w:qFormat/>
    <w:uiPriority w:val="0"/>
    <w:pPr>
      <w:spacing w:line="360" w:lineRule="auto"/>
    </w:pPr>
    <w:rPr>
      <w:rFonts w:ascii="仿宋_GB2312" w:eastAsia="仿宋_GB2312"/>
      <w:bCs w:val="0"/>
    </w:rPr>
  </w:style>
  <w:style w:type="paragraph" w:customStyle="1" w:styleId="326">
    <w:name w:val="Normal_18"/>
    <w:qFormat/>
    <w:uiPriority w:val="0"/>
    <w:rPr>
      <w:rFonts w:ascii="黑体" w:hAnsi="黑体" w:eastAsia="黑体" w:cs="Times New Roman"/>
      <w:b/>
      <w:sz w:val="32"/>
      <w:szCs w:val="24"/>
      <w:lang w:val="en-US" w:eastAsia="zh-CN" w:bidi="ar-SA"/>
    </w:rPr>
  </w:style>
  <w:style w:type="paragraph" w:customStyle="1" w:styleId="327">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首页单位日期"/>
    <w:basedOn w:val="1"/>
    <w:qFormat/>
    <w:uiPriority w:val="0"/>
    <w:pPr>
      <w:widowControl/>
      <w:adjustRightInd w:val="0"/>
      <w:snapToGrid w:val="0"/>
      <w:jc w:val="center"/>
    </w:pPr>
    <w:rPr>
      <w:rFonts w:ascii="宋体" w:hAnsi="Calibri" w:cs="宋体"/>
      <w:bCs/>
      <w:kern w:val="0"/>
      <w:sz w:val="28"/>
      <w:szCs w:val="20"/>
    </w:rPr>
  </w:style>
  <w:style w:type="paragraph" w:customStyle="1" w:styleId="329">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30">
    <w:name w:val="标题1"/>
    <w:basedOn w:val="2"/>
    <w:next w:val="1"/>
    <w:qFormat/>
    <w:uiPriority w:val="0"/>
    <w:pPr>
      <w:adjustRightInd w:val="0"/>
      <w:spacing w:line="578" w:lineRule="atLeast"/>
      <w:jc w:val="left"/>
      <w:textAlignment w:val="baseline"/>
    </w:pPr>
  </w:style>
  <w:style w:type="paragraph" w:customStyle="1" w:styleId="331">
    <w:name w:val="样式6"/>
    <w:basedOn w:val="232"/>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2">
    <w:name w:val="要点标题"/>
    <w:basedOn w:val="1"/>
    <w:qFormat/>
    <w:uiPriority w:val="0"/>
    <w:pPr>
      <w:numPr>
        <w:ilvl w:val="0"/>
        <w:numId w:val="2"/>
      </w:numPr>
      <w:tabs>
        <w:tab w:val="left" w:pos="420"/>
      </w:tabs>
      <w:jc w:val="left"/>
    </w:pPr>
    <w:rPr>
      <w:rFonts w:ascii="宋体" w:hAnsi="宋体"/>
      <w:b/>
      <w:sz w:val="24"/>
    </w:rPr>
  </w:style>
  <w:style w:type="paragraph" w:customStyle="1" w:styleId="333">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4">
    <w:name w:val="说明书3级标题"/>
    <w:basedOn w:val="1"/>
    <w:next w:val="1"/>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5">
    <w:name w:val="附图标题"/>
    <w:basedOn w:val="16"/>
    <w:next w:val="15"/>
    <w:qFormat/>
    <w:uiPriority w:val="0"/>
    <w:pPr>
      <w:tabs>
        <w:tab w:val="left" w:pos="780"/>
      </w:tabs>
      <w:spacing w:beforeLines="0" w:afterLines="100"/>
      <w:ind w:left="780" w:hanging="480"/>
    </w:pPr>
    <w:rPr>
      <w:rFonts w:eastAsia="黑体"/>
      <w:b/>
      <w:sz w:val="21"/>
    </w:rPr>
  </w:style>
  <w:style w:type="paragraph" w:customStyle="1" w:styleId="336">
    <w:name w:val="pa-5"/>
    <w:basedOn w:val="1"/>
    <w:qFormat/>
    <w:uiPriority w:val="0"/>
    <w:pPr>
      <w:widowControl/>
      <w:spacing w:line="280" w:lineRule="atLeast"/>
    </w:pPr>
    <w:rPr>
      <w:rFonts w:ascii="宋体" w:hAnsi="Calibri" w:cs="宋体"/>
      <w:kern w:val="0"/>
      <w:sz w:val="24"/>
      <w:szCs w:val="22"/>
    </w:rPr>
  </w:style>
  <w:style w:type="paragraph" w:customStyle="1" w:styleId="337">
    <w:name w:val="Normal_17_0_0"/>
    <w:qFormat/>
    <w:uiPriority w:val="0"/>
    <w:pPr>
      <w:widowControl w:val="0"/>
      <w:jc w:val="both"/>
    </w:pPr>
    <w:rPr>
      <w:rFonts w:ascii="Times New Roman" w:hAnsi="Times New Roman" w:eastAsia="宋体" w:cs="Times New Roman"/>
      <w:szCs w:val="24"/>
      <w:lang w:val="en-US" w:eastAsia="zh-CN" w:bidi="ar-SA"/>
    </w:rPr>
  </w:style>
  <w:style w:type="paragraph" w:customStyle="1" w:styleId="338">
    <w:name w:val="Normal_10_0"/>
    <w:qFormat/>
    <w:uiPriority w:val="0"/>
    <w:rPr>
      <w:rFonts w:ascii="Times New Roman" w:hAnsi="Times New Roman" w:eastAsia="Times New Roman" w:cs="Times New Roman"/>
      <w:sz w:val="24"/>
      <w:szCs w:val="24"/>
      <w:lang w:val="en-US" w:eastAsia="zh-CN" w:bidi="ar-SA"/>
    </w:rPr>
  </w:style>
  <w:style w:type="paragraph" w:customStyle="1" w:styleId="339">
    <w:name w:val="xl42"/>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40">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1">
    <w:name w:val="Char Char Char Char Char Char Char Char Char Char1"/>
    <w:basedOn w:val="1"/>
    <w:qFormat/>
    <w:uiPriority w:val="0"/>
    <w:rPr>
      <w:rFonts w:ascii="Tahoma" w:hAnsi="Tahoma" w:cs="Tahoma"/>
      <w:sz w:val="24"/>
      <w:szCs w:val="22"/>
    </w:rPr>
  </w:style>
  <w:style w:type="paragraph" w:customStyle="1" w:styleId="3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3">
    <w:name w:val="Normal_4_0"/>
    <w:qFormat/>
    <w:uiPriority w:val="0"/>
    <w:rPr>
      <w:rFonts w:ascii="黑体" w:hAnsi="黑体" w:eastAsia="黑体" w:cs="Times New Roman"/>
      <w:b/>
      <w:sz w:val="32"/>
      <w:szCs w:val="24"/>
      <w:lang w:val="en-US" w:eastAsia="zh-CN" w:bidi="ar-SA"/>
    </w:rPr>
  </w:style>
  <w:style w:type="paragraph" w:customStyle="1" w:styleId="344">
    <w:name w:val="列出段落_0"/>
    <w:basedOn w:val="249"/>
    <w:qFormat/>
    <w:uiPriority w:val="99"/>
    <w:pPr>
      <w:ind w:firstLine="420" w:firstLineChars="200"/>
    </w:pPr>
  </w:style>
  <w:style w:type="paragraph" w:customStyle="1" w:styleId="345">
    <w:name w:val="正文小四"/>
    <w:basedOn w:val="1"/>
    <w:qFormat/>
    <w:uiPriority w:val="0"/>
    <w:pPr>
      <w:spacing w:line="312" w:lineRule="auto"/>
    </w:pPr>
    <w:rPr>
      <w:rFonts w:ascii="Calibri" w:hAnsi="Calibri"/>
      <w:sz w:val="24"/>
      <w:szCs w:val="22"/>
    </w:rPr>
  </w:style>
  <w:style w:type="paragraph" w:customStyle="1" w:styleId="346">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7">
    <w:name w:val="说明书2级标题"/>
    <w:basedOn w:val="1"/>
    <w:next w:val="334"/>
    <w:qFormat/>
    <w:uiPriority w:val="0"/>
    <w:pPr>
      <w:numPr>
        <w:ilvl w:val="2"/>
        <w:numId w:val="4"/>
      </w:numPr>
      <w:tabs>
        <w:tab w:val="left" w:pos="1680"/>
      </w:tabs>
      <w:spacing w:beforeLines="100"/>
    </w:pPr>
    <w:rPr>
      <w:rFonts w:ascii="Calibri" w:hAnsi="Calibri" w:eastAsia="黑体"/>
      <w:sz w:val="28"/>
      <w:szCs w:val="28"/>
    </w:rPr>
  </w:style>
  <w:style w:type="paragraph" w:customStyle="1" w:styleId="348">
    <w:name w:val="È±Ê¡ÎÄ±¾"/>
    <w:basedOn w:val="1"/>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9">
    <w:name w:val="正文_12_0"/>
    <w:qFormat/>
    <w:uiPriority w:val="0"/>
    <w:pPr>
      <w:widowControl w:val="0"/>
      <w:jc w:val="both"/>
    </w:pPr>
    <w:rPr>
      <w:rFonts w:ascii="Times New Roman" w:hAnsi="Times New Roman" w:eastAsia="宋体" w:cs="Times New Roman"/>
      <w:szCs w:val="24"/>
      <w:lang w:val="en-US" w:eastAsia="zh-CN" w:bidi="ar-SA"/>
    </w:rPr>
  </w:style>
  <w:style w:type="paragraph" w:customStyle="1" w:styleId="350">
    <w:name w:val="Indent Normal"/>
    <w:basedOn w:val="1"/>
    <w:qFormat/>
    <w:uiPriority w:val="0"/>
    <w:pPr>
      <w:ind w:firstLine="150" w:firstLineChars="150"/>
    </w:pPr>
    <w:rPr>
      <w:rFonts w:ascii="Calibri" w:hAnsi="Calibri"/>
      <w:sz w:val="24"/>
      <w:szCs w:val="20"/>
    </w:rPr>
  </w:style>
  <w:style w:type="paragraph" w:customStyle="1" w:styleId="351">
    <w:name w:val="缩进正文"/>
    <w:basedOn w:val="1"/>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2">
    <w:name w:val="列出段落_2"/>
    <w:basedOn w:val="340"/>
    <w:qFormat/>
    <w:uiPriority w:val="34"/>
    <w:pPr>
      <w:ind w:firstLine="420" w:firstLineChars="200"/>
    </w:pPr>
  </w:style>
  <w:style w:type="paragraph" w:customStyle="1" w:styleId="353">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4">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5">
    <w:name w:val="xl40"/>
    <w:basedOn w:val="1"/>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6">
    <w:name w:val="我的样式"/>
    <w:basedOn w:val="2"/>
    <w:next w:val="1"/>
    <w:qFormat/>
    <w:uiPriority w:val="0"/>
    <w:pPr>
      <w:numPr>
        <w:ilvl w:val="0"/>
        <w:numId w:val="5"/>
      </w:numPr>
      <w:spacing w:line="360" w:lineRule="auto"/>
    </w:pPr>
    <w:rPr>
      <w:rFonts w:ascii="仿宋_GB2312" w:eastAsia="仿宋_GB2312"/>
      <w:sz w:val="32"/>
      <w:szCs w:val="30"/>
    </w:rPr>
  </w:style>
  <w:style w:type="paragraph" w:customStyle="1" w:styleId="357">
    <w:name w:val="Normal_9_0"/>
    <w:qFormat/>
    <w:uiPriority w:val="0"/>
    <w:rPr>
      <w:rFonts w:ascii="Times New Roman" w:hAnsi="Times New Roman" w:eastAsia="Times New Roman" w:cs="Times New Roman"/>
      <w:sz w:val="24"/>
      <w:szCs w:val="24"/>
      <w:lang w:val="en-US" w:eastAsia="zh-CN" w:bidi="ar-SA"/>
    </w:rPr>
  </w:style>
  <w:style w:type="paragraph" w:customStyle="1" w:styleId="3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9">
    <w:name w:val="Char Char Char Char Char Char Char Char Char Char2"/>
    <w:basedOn w:val="1"/>
    <w:qFormat/>
    <w:uiPriority w:val="0"/>
    <w:rPr>
      <w:rFonts w:ascii="Tahoma" w:hAnsi="Tahoma"/>
      <w:sz w:val="24"/>
      <w:szCs w:val="20"/>
    </w:rPr>
  </w:style>
  <w:style w:type="paragraph" w:customStyle="1" w:styleId="360">
    <w:name w:val="保密事宜格式"/>
    <w:basedOn w:val="16"/>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61">
    <w:name w:val="Normal_2"/>
    <w:qFormat/>
    <w:uiPriority w:val="0"/>
    <w:rPr>
      <w:rFonts w:ascii="黑体" w:hAnsi="黑体" w:eastAsia="黑体" w:cs="Times New Roman"/>
      <w:b/>
      <w:sz w:val="32"/>
      <w:szCs w:val="24"/>
      <w:lang w:val="en-US" w:eastAsia="zh-CN" w:bidi="ar-SA"/>
    </w:rPr>
  </w:style>
  <w:style w:type="paragraph" w:customStyle="1" w:styleId="362">
    <w:name w:val="Normal_8_0"/>
    <w:qFormat/>
    <w:uiPriority w:val="0"/>
    <w:rPr>
      <w:rFonts w:ascii="黑体" w:hAnsi="黑体" w:eastAsia="黑体" w:cs="Times New Roman"/>
      <w:b/>
      <w:sz w:val="32"/>
      <w:szCs w:val="24"/>
      <w:lang w:val="en-US" w:eastAsia="zh-CN" w:bidi="ar-SA"/>
    </w:rPr>
  </w:style>
  <w:style w:type="paragraph" w:customStyle="1" w:styleId="363">
    <w:name w:val="表格文字"/>
    <w:basedOn w:val="1"/>
    <w:qFormat/>
    <w:uiPriority w:val="0"/>
    <w:pPr>
      <w:jc w:val="left"/>
    </w:pPr>
    <w:rPr>
      <w:rFonts w:ascii="Calibri" w:hAnsi="Calibri"/>
      <w:sz w:val="18"/>
      <w:szCs w:val="22"/>
    </w:rPr>
  </w:style>
  <w:style w:type="paragraph" w:customStyle="1" w:styleId="364">
    <w:name w:val="Style10"/>
    <w:basedOn w:val="1"/>
    <w:qFormat/>
    <w:uiPriority w:val="0"/>
    <w:pPr>
      <w:adjustRightInd w:val="0"/>
      <w:jc w:val="left"/>
    </w:pPr>
    <w:rPr>
      <w:rFonts w:ascii="宋体"/>
      <w:kern w:val="0"/>
      <w:sz w:val="24"/>
    </w:rPr>
  </w:style>
  <w:style w:type="paragraph" w:customStyle="1" w:styleId="365">
    <w:name w:val="表头"/>
    <w:basedOn w:val="130"/>
    <w:qFormat/>
    <w:uiPriority w:val="0"/>
    <w:pPr>
      <w:widowControl/>
      <w:spacing w:line="240" w:lineRule="auto"/>
      <w:jc w:val="left"/>
    </w:pPr>
    <w:rPr>
      <w:rFonts w:ascii="Times New Roman" w:hAnsi="Times New Roman"/>
      <w:sz w:val="20"/>
      <w:szCs w:val="20"/>
    </w:rPr>
  </w:style>
  <w:style w:type="paragraph" w:customStyle="1" w:styleId="366">
    <w:name w:val="Normal_21"/>
    <w:qFormat/>
    <w:uiPriority w:val="0"/>
    <w:pPr>
      <w:widowControl w:val="0"/>
      <w:jc w:val="both"/>
    </w:pPr>
    <w:rPr>
      <w:rFonts w:ascii="Times New Roman" w:hAnsi="Times New Roman" w:eastAsia="宋体" w:cs="Times New Roman"/>
      <w:szCs w:val="24"/>
      <w:lang w:val="en-US" w:eastAsia="zh-CN" w:bidi="ar-SA"/>
    </w:rPr>
  </w:style>
  <w:style w:type="paragraph" w:customStyle="1" w:styleId="367">
    <w:name w:val="ul"/>
    <w:basedOn w:val="1"/>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8">
    <w:name w:val="tabletext"/>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36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1">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2">
    <w:name w:val="TOC 标题1"/>
    <w:basedOn w:val="2"/>
    <w:next w:val="1"/>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373">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4">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5">
    <w:name w:val="Normal_0"/>
    <w:qFormat/>
    <w:uiPriority w:val="0"/>
    <w:rPr>
      <w:rFonts w:ascii="黑体" w:hAnsi="黑体" w:eastAsia="黑体" w:cs="Times New Roman"/>
      <w:b/>
      <w:sz w:val="32"/>
      <w:szCs w:val="24"/>
      <w:lang w:val="en-US" w:eastAsia="zh-CN" w:bidi="ar-SA"/>
    </w:rPr>
  </w:style>
  <w:style w:type="paragraph" w:customStyle="1" w:styleId="376">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7">
    <w:name w:val="列出段落3"/>
    <w:basedOn w:val="1"/>
    <w:qFormat/>
    <w:uiPriority w:val="0"/>
    <w:pPr>
      <w:ind w:firstLine="420" w:firstLineChars="200"/>
    </w:pPr>
    <w:rPr>
      <w:rFonts w:ascii="Calibri" w:hAnsi="Calibri"/>
      <w:szCs w:val="22"/>
    </w:rPr>
  </w:style>
  <w:style w:type="paragraph" w:customStyle="1" w:styleId="378">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80">
    <w:name w:val="style42"/>
    <w:basedOn w:val="1"/>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1">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2">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3">
    <w:name w:val="正文（缩进） Char1"/>
    <w:basedOn w:val="1"/>
    <w:qFormat/>
    <w:uiPriority w:val="0"/>
    <w:pPr>
      <w:spacing w:beforeLines="50" w:afterLines="50" w:line="360" w:lineRule="auto"/>
      <w:ind w:firstLine="480" w:firstLineChars="200"/>
    </w:pPr>
    <w:rPr>
      <w:sz w:val="24"/>
    </w:rPr>
  </w:style>
  <w:style w:type="paragraph" w:customStyle="1" w:styleId="384">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附图居中"/>
    <w:basedOn w:val="1"/>
    <w:next w:val="335"/>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8">
    <w:name w:val="Normal_22"/>
    <w:qFormat/>
    <w:uiPriority w:val="0"/>
    <w:rPr>
      <w:rFonts w:ascii="黑体" w:hAnsi="黑体" w:eastAsia="黑体" w:cs="Times New Roman"/>
      <w:b/>
      <w:sz w:val="32"/>
      <w:szCs w:val="24"/>
      <w:lang w:val="en-US" w:eastAsia="zh-CN" w:bidi="ar-SA"/>
    </w:rPr>
  </w:style>
  <w:style w:type="paragraph" w:customStyle="1" w:styleId="389">
    <w:name w:val="Normal_16_0"/>
    <w:qFormat/>
    <w:uiPriority w:val="0"/>
    <w:pPr>
      <w:widowControl w:val="0"/>
      <w:jc w:val="both"/>
    </w:pPr>
    <w:rPr>
      <w:rFonts w:ascii="Times New Roman" w:hAnsi="Times New Roman" w:eastAsia="Times New Roman" w:cs="Times New Roman"/>
      <w:lang w:val="en-US" w:eastAsia="zh-CN" w:bidi="ar-SA"/>
    </w:rPr>
  </w:style>
  <w:style w:type="paragraph" w:customStyle="1" w:styleId="390">
    <w:name w:val="首页标题 一号"/>
    <w:basedOn w:val="312"/>
    <w:qFormat/>
    <w:uiPriority w:val="0"/>
    <w:rPr>
      <w:sz w:val="52"/>
    </w:rPr>
  </w:style>
  <w:style w:type="paragraph" w:customStyle="1" w:styleId="391">
    <w:name w:val="Normal_1_1"/>
    <w:qFormat/>
    <w:uiPriority w:val="0"/>
    <w:rPr>
      <w:rFonts w:ascii="黑体" w:hAnsi="黑体" w:eastAsia="黑体" w:cs="Times New Roman"/>
      <w:b/>
      <w:sz w:val="32"/>
      <w:szCs w:val="24"/>
      <w:lang w:val="en-US" w:eastAsia="zh-CN" w:bidi="ar-SA"/>
    </w:rPr>
  </w:style>
  <w:style w:type="paragraph" w:customStyle="1" w:styleId="392">
    <w:name w:val="Normal_11"/>
    <w:qFormat/>
    <w:uiPriority w:val="0"/>
    <w:rPr>
      <w:rFonts w:ascii="黑体" w:hAnsi="黑体" w:eastAsia="黑体" w:cs="Times New Roman"/>
      <w:b/>
      <w:sz w:val="32"/>
      <w:szCs w:val="24"/>
      <w:lang w:val="en-US" w:eastAsia="zh-CN" w:bidi="ar-SA"/>
    </w:rPr>
  </w:style>
  <w:style w:type="paragraph" w:customStyle="1" w:styleId="393">
    <w:name w:val="Char1"/>
    <w:basedOn w:val="1"/>
    <w:qFormat/>
    <w:uiPriority w:val="0"/>
    <w:pPr>
      <w:tabs>
        <w:tab w:val="left" w:pos="840"/>
      </w:tabs>
      <w:ind w:left="840" w:hanging="420"/>
    </w:pPr>
    <w:rPr>
      <w:sz w:val="24"/>
    </w:rPr>
  </w:style>
  <w:style w:type="paragraph" w:customStyle="1" w:styleId="394">
    <w:name w:val="Normal_14_0_0"/>
    <w:qFormat/>
    <w:uiPriority w:val="0"/>
    <w:rPr>
      <w:rFonts w:ascii="黑体" w:hAnsi="黑体" w:eastAsia="黑体" w:cs="Times New Roman"/>
      <w:b/>
      <w:sz w:val="32"/>
      <w:szCs w:val="24"/>
      <w:lang w:val="en-US" w:eastAsia="zh-CN" w:bidi="ar-SA"/>
    </w:rPr>
  </w:style>
  <w:style w:type="paragraph" w:customStyle="1" w:styleId="395">
    <w:name w:val="Normal_18_0"/>
    <w:qFormat/>
    <w:uiPriority w:val="0"/>
    <w:rPr>
      <w:rFonts w:ascii="黑体" w:hAnsi="黑体" w:eastAsia="黑体" w:cs="Times New Roman"/>
      <w:b/>
      <w:sz w:val="32"/>
      <w:szCs w:val="24"/>
      <w:lang w:val="en-US" w:eastAsia="zh-CN" w:bidi="ar-SA"/>
    </w:rPr>
  </w:style>
  <w:style w:type="paragraph" w:customStyle="1" w:styleId="396">
    <w:name w:val="样式5"/>
    <w:basedOn w:val="4"/>
    <w:qFormat/>
    <w:uiPriority w:val="0"/>
    <w:pPr>
      <w:spacing w:line="412" w:lineRule="auto"/>
    </w:pPr>
    <w:rPr>
      <w:rFonts w:ascii="Calibri" w:hAnsi="Calibri"/>
      <w:kern w:val="2"/>
      <w:sz w:val="28"/>
      <w:szCs w:val="28"/>
    </w:rPr>
  </w:style>
  <w:style w:type="paragraph" w:customStyle="1" w:styleId="397">
    <w:name w:val="正文_4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8">
    <w:name w:val="技术方案正文样式"/>
    <w:basedOn w:val="1"/>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9">
    <w:name w:val="样式4"/>
    <w:basedOn w:val="4"/>
    <w:qFormat/>
    <w:uiPriority w:val="0"/>
    <w:pPr>
      <w:spacing w:line="412" w:lineRule="auto"/>
    </w:pPr>
    <w:rPr>
      <w:rFonts w:ascii="Calibri" w:hAnsi="Calibri"/>
      <w:kern w:val="2"/>
      <w:sz w:val="28"/>
      <w:szCs w:val="28"/>
    </w:rPr>
  </w:style>
  <w:style w:type="paragraph" w:customStyle="1" w:styleId="400">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1">
    <w:name w:val="Char11"/>
    <w:basedOn w:val="1"/>
    <w:qFormat/>
    <w:uiPriority w:val="0"/>
    <w:rPr>
      <w:rFonts w:ascii="Calibri" w:hAnsi="Calibri"/>
      <w:szCs w:val="21"/>
    </w:rPr>
  </w:style>
  <w:style w:type="paragraph" w:customStyle="1" w:styleId="402">
    <w:name w:val="缺省文本"/>
    <w:basedOn w:val="1"/>
    <w:qFormat/>
    <w:uiPriority w:val="0"/>
    <w:pPr>
      <w:autoSpaceDE w:val="0"/>
      <w:autoSpaceDN w:val="0"/>
      <w:adjustRightInd w:val="0"/>
      <w:jc w:val="left"/>
    </w:pPr>
    <w:rPr>
      <w:rFonts w:ascii="Calibri" w:hAnsi="Calibri"/>
      <w:kern w:val="0"/>
      <w:sz w:val="24"/>
      <w:szCs w:val="20"/>
    </w:rPr>
  </w:style>
  <w:style w:type="paragraph" w:customStyle="1" w:styleId="403">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404">
    <w:name w:val="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05">
    <w:name w:val="列出段落_1"/>
    <w:basedOn w:val="316"/>
    <w:qFormat/>
    <w:uiPriority w:val="34"/>
    <w:pPr>
      <w:ind w:firstLine="420" w:firstLineChars="200"/>
    </w:pPr>
  </w:style>
  <w:style w:type="paragraph" w:customStyle="1" w:styleId="406">
    <w:name w:val="正文（无缩进）"/>
    <w:basedOn w:val="1"/>
    <w:qFormat/>
    <w:uiPriority w:val="0"/>
    <w:pPr>
      <w:spacing w:line="360" w:lineRule="auto"/>
    </w:pPr>
    <w:rPr>
      <w:rFonts w:ascii="Calibri" w:hAnsi="Calibri"/>
      <w:sz w:val="24"/>
      <w:szCs w:val="21"/>
    </w:rPr>
  </w:style>
  <w:style w:type="paragraph" w:customStyle="1" w:styleId="407">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8">
    <w:name w:val="Normal_14_0_0_0"/>
    <w:qFormat/>
    <w:uiPriority w:val="0"/>
    <w:rPr>
      <w:rFonts w:ascii="黑体" w:hAnsi="黑体" w:eastAsia="黑体" w:cs="Times New Roman"/>
      <w:b/>
      <w:sz w:val="32"/>
      <w:szCs w:val="24"/>
      <w:lang w:val="en-US" w:eastAsia="zh-CN" w:bidi="ar-SA"/>
    </w:rPr>
  </w:style>
  <w:style w:type="paragraph" w:customStyle="1" w:styleId="409">
    <w:name w:val="标书2"/>
    <w:next w:val="407"/>
    <w:qFormat/>
    <w:uiPriority w:val="0"/>
    <w:rPr>
      <w:rFonts w:ascii="Times New Roman" w:hAnsi="Times New Roman" w:eastAsia="黑体" w:cs="宋体"/>
      <w:b/>
      <w:kern w:val="2"/>
      <w:sz w:val="44"/>
      <w:lang w:val="en-US" w:eastAsia="zh-CN" w:bidi="ar-SA"/>
    </w:rPr>
  </w:style>
  <w:style w:type="paragraph" w:customStyle="1" w:styleId="410">
    <w:name w:val="标准小四"/>
    <w:basedOn w:val="1"/>
    <w:qFormat/>
    <w:uiPriority w:val="0"/>
    <w:pPr>
      <w:spacing w:line="360" w:lineRule="auto"/>
      <w:ind w:firstLine="200" w:firstLineChars="200"/>
    </w:pPr>
    <w:rPr>
      <w:rFonts w:ascii="Arial" w:hAnsi="Arial"/>
      <w:sz w:val="24"/>
      <w:szCs w:val="21"/>
    </w:rPr>
  </w:style>
  <w:style w:type="paragraph" w:customStyle="1" w:styleId="411">
    <w:name w:val="编号"/>
    <w:basedOn w:val="1"/>
    <w:next w:val="407"/>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2">
    <w:name w:val="Normal_3_0"/>
    <w:qFormat/>
    <w:uiPriority w:val="0"/>
    <w:rPr>
      <w:rFonts w:ascii="黑体" w:hAnsi="黑体" w:eastAsia="黑体" w:cs="Times New Roman"/>
      <w:b/>
      <w:sz w:val="32"/>
      <w:szCs w:val="24"/>
      <w:lang w:val="en-US" w:eastAsia="zh-CN" w:bidi="ar-SA"/>
    </w:rPr>
  </w:style>
  <w:style w:type="paragraph" w:customStyle="1" w:styleId="413">
    <w:name w:val="Normal_12_0"/>
    <w:qFormat/>
    <w:uiPriority w:val="0"/>
    <w:rPr>
      <w:rFonts w:ascii="黑体" w:hAnsi="黑体" w:eastAsia="黑体" w:cs="Times New Roman"/>
      <w:b/>
      <w:sz w:val="32"/>
      <w:szCs w:val="24"/>
      <w:lang w:val="en-US" w:eastAsia="zh-CN" w:bidi="ar-SA"/>
    </w:rPr>
  </w:style>
  <w:style w:type="paragraph" w:customStyle="1" w:styleId="414">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5">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6">
    <w:name w:val="新段落缩进"/>
    <w:basedOn w:val="1"/>
    <w:qFormat/>
    <w:uiPriority w:val="0"/>
    <w:pPr>
      <w:spacing w:line="400" w:lineRule="exact"/>
      <w:ind w:firstLine="200" w:firstLineChars="200"/>
    </w:pPr>
    <w:rPr>
      <w:rFonts w:ascii="仿宋_GB2312" w:hAnsi="Calibri" w:eastAsia="仿宋_GB2312"/>
      <w:kern w:val="0"/>
      <w:sz w:val="24"/>
      <w:szCs w:val="22"/>
    </w:rPr>
  </w:style>
  <w:style w:type="paragraph" w:customStyle="1" w:styleId="417">
    <w:name w:val="pbody"/>
    <w:basedOn w:val="1"/>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8">
    <w:name w:val="Normal_7_0"/>
    <w:qFormat/>
    <w:uiPriority w:val="0"/>
    <w:rPr>
      <w:rFonts w:ascii="黑体" w:hAnsi="黑体" w:eastAsia="黑体" w:cs="Times New Roman"/>
      <w:b/>
      <w:sz w:val="32"/>
      <w:szCs w:val="24"/>
      <w:lang w:val="en-US" w:eastAsia="zh-CN" w:bidi="ar-SA"/>
    </w:rPr>
  </w:style>
  <w:style w:type="paragraph" w:customStyle="1" w:styleId="419">
    <w:name w:val="Char Char Char Char"/>
    <w:basedOn w:val="19"/>
    <w:qFormat/>
    <w:uiPriority w:val="0"/>
    <w:pPr>
      <w:adjustRightInd w:val="0"/>
      <w:snapToGrid w:val="0"/>
      <w:spacing w:line="360" w:lineRule="auto"/>
    </w:pPr>
    <w:rPr>
      <w:rFonts w:ascii="Tahoma" w:hAnsi="Tahoma"/>
      <w:sz w:val="24"/>
    </w:rPr>
  </w:style>
  <w:style w:type="paragraph" w:customStyle="1" w:styleId="420">
    <w:name w:val="Normal_14_0"/>
    <w:qFormat/>
    <w:uiPriority w:val="0"/>
    <w:pPr>
      <w:widowControl w:val="0"/>
      <w:jc w:val="both"/>
    </w:pPr>
    <w:rPr>
      <w:rFonts w:ascii="Times New Roman" w:hAnsi="Times New Roman" w:eastAsia="Times New Roman" w:cs="Times New Roman"/>
      <w:lang w:val="en-US" w:eastAsia="zh-CN" w:bidi="ar-SA"/>
    </w:rPr>
  </w:style>
  <w:style w:type="paragraph" w:customStyle="1" w:styleId="421">
    <w:name w:val="Normal_1"/>
    <w:qFormat/>
    <w:uiPriority w:val="0"/>
    <w:rPr>
      <w:rFonts w:ascii="黑体" w:hAnsi="黑体" w:eastAsia="黑体" w:cs="Times New Roman"/>
      <w:b/>
      <w:sz w:val="32"/>
      <w:szCs w:val="24"/>
      <w:lang w:val="en-US" w:eastAsia="zh-CN" w:bidi="ar-SA"/>
    </w:rPr>
  </w:style>
  <w:style w:type="paragraph" w:customStyle="1" w:styleId="422">
    <w:name w:val="表格"/>
    <w:basedOn w:val="1"/>
    <w:qFormat/>
    <w:uiPriority w:val="0"/>
    <w:pPr>
      <w:snapToGrid w:val="0"/>
      <w:ind w:firstLine="21" w:firstLineChars="21"/>
    </w:pPr>
    <w:rPr>
      <w:rFonts w:ascii="宋体" w:hAnsi="Calibri"/>
      <w:szCs w:val="20"/>
    </w:rPr>
  </w:style>
  <w:style w:type="paragraph" w:customStyle="1" w:styleId="423">
    <w:name w:val="Normal_1_0"/>
    <w:qFormat/>
    <w:uiPriority w:val="0"/>
    <w:rPr>
      <w:rFonts w:ascii="Times New Roman" w:hAnsi="Times New Roman" w:eastAsia="Times New Roman" w:cs="Times New Roman"/>
      <w:sz w:val="24"/>
      <w:szCs w:val="24"/>
      <w:lang w:val="en-US" w:eastAsia="zh-CN" w:bidi="ar-SA"/>
    </w:rPr>
  </w:style>
  <w:style w:type="paragraph" w:customStyle="1" w:styleId="424">
    <w:name w:val="样式 正文缩进 + (中文) 仿宋_GB2312 小四 Char"/>
    <w:basedOn w:val="15"/>
    <w:qFormat/>
    <w:uiPriority w:val="0"/>
    <w:pPr>
      <w:spacing w:line="360" w:lineRule="auto"/>
      <w:ind w:firstLine="200"/>
    </w:pPr>
    <w:rPr>
      <w:rFonts w:ascii="宋体" w:hAnsi="Calibri"/>
      <w:kern w:val="2"/>
      <w:sz w:val="24"/>
    </w:rPr>
  </w:style>
  <w:style w:type="paragraph" w:customStyle="1" w:styleId="4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6">
    <w:name w:val="Normal_5_0"/>
    <w:qFormat/>
    <w:uiPriority w:val="0"/>
    <w:rPr>
      <w:rFonts w:ascii="黑体" w:hAnsi="黑体" w:eastAsia="黑体" w:cs="Times New Roman"/>
      <w:b/>
      <w:sz w:val="32"/>
      <w:szCs w:val="24"/>
      <w:lang w:val="en-US" w:eastAsia="zh-CN" w:bidi="ar-SA"/>
    </w:rPr>
  </w:style>
  <w:style w:type="paragraph" w:customStyle="1" w:styleId="427">
    <w:name w:val="Normal_0_2"/>
    <w:qFormat/>
    <w:uiPriority w:val="0"/>
    <w:rPr>
      <w:rFonts w:ascii="黑体" w:hAnsi="黑体" w:eastAsia="黑体" w:cs="Times New Roman"/>
      <w:b/>
      <w:sz w:val="32"/>
      <w:szCs w:val="24"/>
      <w:lang w:val="en-US" w:eastAsia="zh-CN" w:bidi="ar-SA"/>
    </w:rPr>
  </w:style>
  <w:style w:type="paragraph" w:customStyle="1" w:styleId="428">
    <w:name w:val="CM17"/>
    <w:basedOn w:val="1"/>
    <w:next w:val="1"/>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9">
    <w:name w:val="无间隔1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Table Text/Title"/>
    <w:basedOn w:val="1"/>
    <w:qFormat/>
    <w:uiPriority w:val="0"/>
    <w:pPr>
      <w:widowControl/>
      <w:jc w:val="left"/>
    </w:pPr>
    <w:rPr>
      <w:rFonts w:ascii="宋体" w:hAnsi="Calibri"/>
      <w:b/>
      <w:bCs/>
      <w:kern w:val="0"/>
      <w:sz w:val="20"/>
      <w:szCs w:val="20"/>
      <w:lang w:eastAsia="en-US"/>
    </w:rPr>
  </w:style>
  <w:style w:type="paragraph" w:customStyle="1" w:styleId="431">
    <w:name w:val="Char Char Char Char Char Char Char Char Char Char"/>
    <w:basedOn w:val="1"/>
    <w:qFormat/>
    <w:uiPriority w:val="0"/>
    <w:rPr>
      <w:rFonts w:ascii="Tahoma" w:hAnsi="Tahoma"/>
      <w:sz w:val="24"/>
      <w:szCs w:val="20"/>
    </w:rPr>
  </w:style>
  <w:style w:type="paragraph" w:customStyle="1" w:styleId="432">
    <w:name w:val="大汉方案正文 Char"/>
    <w:basedOn w:val="1"/>
    <w:qFormat/>
    <w:uiPriority w:val="0"/>
    <w:pPr>
      <w:spacing w:line="360" w:lineRule="auto"/>
      <w:ind w:firstLine="200" w:firstLineChars="200"/>
    </w:pPr>
    <w:rPr>
      <w:rFonts w:ascii="Arial" w:hAnsi="Arial"/>
      <w:sz w:val="24"/>
      <w:szCs w:val="22"/>
    </w:rPr>
  </w:style>
  <w:style w:type="paragraph" w:customStyle="1" w:styleId="433">
    <w:name w:val="样式 正文首行缩进 + 宋体 首行缩进:  0.74 厘米"/>
    <w:basedOn w:val="63"/>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4">
    <w:name w:val="表文1"/>
    <w:basedOn w:val="1"/>
    <w:qFormat/>
    <w:uiPriority w:val="0"/>
    <w:pPr>
      <w:widowControl/>
      <w:spacing w:line="360" w:lineRule="auto"/>
      <w:ind w:firstLine="196" w:firstLineChars="196"/>
    </w:pPr>
    <w:rPr>
      <w:rFonts w:ascii="宋体" w:hAnsi="Calibri"/>
      <w:sz w:val="24"/>
      <w:szCs w:val="22"/>
    </w:rPr>
  </w:style>
  <w:style w:type="paragraph" w:customStyle="1" w:styleId="435">
    <w:name w:val="标书3"/>
    <w:next w:val="407"/>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6">
    <w:name w:val="Normal_6_0"/>
    <w:qFormat/>
    <w:uiPriority w:val="0"/>
    <w:rPr>
      <w:rFonts w:ascii="黑体" w:hAnsi="黑体" w:eastAsia="黑体" w:cs="Times New Roman"/>
      <w:b/>
      <w:sz w:val="32"/>
      <w:szCs w:val="24"/>
      <w:lang w:val="en-US" w:eastAsia="zh-CN" w:bidi="ar-SA"/>
    </w:rPr>
  </w:style>
  <w:style w:type="paragraph" w:customStyle="1" w:styleId="437">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438">
    <w:name w:val="FA正文+标号"/>
    <w:basedOn w:val="1"/>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9">
    <w:name w:val="Normal_17_0_0_0"/>
    <w:qFormat/>
    <w:uiPriority w:val="0"/>
    <w:pPr>
      <w:widowControl w:val="0"/>
      <w:jc w:val="both"/>
    </w:pPr>
    <w:rPr>
      <w:rFonts w:ascii="Times New Roman" w:hAnsi="Times New Roman" w:eastAsia="宋体" w:cs="Times New Roman"/>
      <w:szCs w:val="24"/>
      <w:lang w:val="en-US" w:eastAsia="zh-CN" w:bidi="ar-SA"/>
    </w:rPr>
  </w:style>
  <w:style w:type="paragraph" w:customStyle="1" w:styleId="440">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1">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2">
    <w:name w:val="项目"/>
    <w:basedOn w:val="1"/>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3">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4">
    <w:name w:val="Char1 Char Char Char"/>
    <w:basedOn w:val="1"/>
    <w:qFormat/>
    <w:uiPriority w:val="0"/>
    <w:rPr>
      <w:rFonts w:ascii="Calibri" w:hAnsi="Calibri"/>
      <w:szCs w:val="20"/>
    </w:rPr>
  </w:style>
  <w:style w:type="paragraph" w:customStyle="1" w:styleId="44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7">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448">
    <w:name w:val="正文_8_0"/>
    <w:qFormat/>
    <w:uiPriority w:val="0"/>
    <w:pPr>
      <w:widowControl w:val="0"/>
      <w:jc w:val="both"/>
    </w:pPr>
    <w:rPr>
      <w:rFonts w:ascii="Times New Roman" w:hAnsi="Times New Roman" w:eastAsia="宋体" w:cs="Times New Roman"/>
      <w:lang w:val="en-US" w:eastAsia="zh-CN" w:bidi="ar-SA"/>
    </w:rPr>
  </w:style>
  <w:style w:type="paragraph" w:customStyle="1" w:styleId="449">
    <w:name w:val="Normal_9"/>
    <w:qFormat/>
    <w:uiPriority w:val="0"/>
    <w:rPr>
      <w:rFonts w:ascii="黑体" w:hAnsi="黑体" w:eastAsia="黑体" w:cs="Times New Roman"/>
      <w:b/>
      <w:sz w:val="32"/>
      <w:szCs w:val="24"/>
      <w:lang w:val="en-US" w:eastAsia="zh-CN" w:bidi="ar-SA"/>
    </w:rPr>
  </w:style>
  <w:style w:type="paragraph" w:customStyle="1" w:styleId="450">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1">
    <w:name w:val="正文_10_0"/>
    <w:qFormat/>
    <w:uiPriority w:val="0"/>
    <w:pPr>
      <w:widowControl w:val="0"/>
      <w:jc w:val="both"/>
    </w:pPr>
    <w:rPr>
      <w:rFonts w:ascii="Times New Roman" w:hAnsi="Times New Roman" w:eastAsia="宋体" w:cs="Times New Roman"/>
      <w:lang w:val="en-US" w:eastAsia="zh-CN" w:bidi="ar-SA"/>
    </w:rPr>
  </w:style>
  <w:style w:type="paragraph" w:customStyle="1" w:styleId="4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表格标题"/>
    <w:basedOn w:val="1"/>
    <w:qFormat/>
    <w:uiPriority w:val="0"/>
    <w:pPr>
      <w:jc w:val="center"/>
    </w:pPr>
    <w:rPr>
      <w:rFonts w:ascii="Calibri" w:hAnsi="Calibri"/>
      <w:b/>
      <w:szCs w:val="22"/>
    </w:rPr>
  </w:style>
  <w:style w:type="paragraph" w:customStyle="1" w:styleId="455">
    <w:name w:val="编号1"/>
    <w:next w:val="407"/>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6">
    <w:name w:val="技术方案2"/>
    <w:basedOn w:val="1"/>
    <w:qFormat/>
    <w:uiPriority w:val="0"/>
    <w:pPr>
      <w:spacing w:line="480" w:lineRule="auto"/>
    </w:pPr>
    <w:rPr>
      <w:rFonts w:ascii="宋体" w:hAnsi="Calibri"/>
      <w:b/>
      <w:bCs/>
      <w:sz w:val="36"/>
      <w:szCs w:val="22"/>
    </w:rPr>
  </w:style>
  <w:style w:type="paragraph" w:customStyle="1" w:styleId="457">
    <w:name w:val="默认段落字体 Para Char Char Char Char Char Char Char Char Char Char Char Char Char Char"/>
    <w:basedOn w:val="19"/>
    <w:qFormat/>
    <w:uiPriority w:val="0"/>
    <w:rPr>
      <w:rFonts w:ascii="Tahoma" w:hAnsi="Tahoma"/>
      <w:sz w:val="24"/>
      <w:szCs w:val="22"/>
    </w:rPr>
  </w:style>
  <w:style w:type="paragraph" w:customStyle="1" w:styleId="458">
    <w:name w:val="Normal_10"/>
    <w:qFormat/>
    <w:uiPriority w:val="0"/>
    <w:rPr>
      <w:rFonts w:ascii="黑体" w:hAnsi="黑体" w:eastAsia="黑体" w:cs="Times New Roman"/>
      <w:b/>
      <w:sz w:val="32"/>
      <w:szCs w:val="24"/>
      <w:lang w:val="en-US" w:eastAsia="zh-CN" w:bidi="ar-SA"/>
    </w:rPr>
  </w:style>
  <w:style w:type="paragraph" w:customStyle="1" w:styleId="459">
    <w:name w:val="正文_1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0">
    <w:name w:val="正文_6_0_0"/>
    <w:qFormat/>
    <w:uiPriority w:val="0"/>
    <w:pPr>
      <w:widowControl w:val="0"/>
      <w:jc w:val="both"/>
    </w:pPr>
    <w:rPr>
      <w:rFonts w:ascii="Times New Roman" w:hAnsi="Times New Roman" w:eastAsia="宋体" w:cs="Times New Roman"/>
      <w:lang w:val="en-US" w:eastAsia="zh-CN" w:bidi="ar-SA"/>
    </w:rPr>
  </w:style>
  <w:style w:type="paragraph" w:customStyle="1" w:styleId="461">
    <w:name w:val="首页小标题"/>
    <w:next w:val="374"/>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2">
    <w:name w:val="a1"/>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63">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4">
    <w:name w:val="Normal_5"/>
    <w:qFormat/>
    <w:uiPriority w:val="0"/>
    <w:rPr>
      <w:rFonts w:ascii="黑体" w:hAnsi="黑体" w:eastAsia="黑体" w:cs="Times New Roman"/>
      <w:b/>
      <w:sz w:val="32"/>
      <w:szCs w:val="24"/>
      <w:lang w:val="en-US" w:eastAsia="zh-CN" w:bidi="ar-SA"/>
    </w:rPr>
  </w:style>
  <w:style w:type="paragraph" w:customStyle="1" w:styleId="465">
    <w:name w:val="技术方案3"/>
    <w:basedOn w:val="1"/>
    <w:qFormat/>
    <w:uiPriority w:val="0"/>
    <w:pPr>
      <w:spacing w:line="360" w:lineRule="auto"/>
    </w:pPr>
    <w:rPr>
      <w:rFonts w:ascii="宋体" w:hAnsi="Calibri"/>
      <w:b/>
      <w:bCs/>
      <w:sz w:val="32"/>
      <w:szCs w:val="22"/>
    </w:rPr>
  </w:style>
  <w:style w:type="paragraph" w:customStyle="1" w:styleId="466">
    <w:name w:val="加点正文缩进"/>
    <w:basedOn w:val="1"/>
    <w:qFormat/>
    <w:uiPriority w:val="0"/>
    <w:pPr>
      <w:tabs>
        <w:tab w:val="left" w:pos="840"/>
      </w:tabs>
      <w:snapToGrid w:val="0"/>
      <w:spacing w:line="300" w:lineRule="auto"/>
      <w:ind w:left="962" w:hanging="480"/>
    </w:pPr>
    <w:rPr>
      <w:rFonts w:ascii="Calibri" w:hAnsi="Calibri"/>
      <w:sz w:val="24"/>
      <w:szCs w:val="22"/>
    </w:rPr>
  </w:style>
  <w:style w:type="paragraph" w:customStyle="1" w:styleId="467">
    <w:name w:val="规范正文"/>
    <w:basedOn w:val="1"/>
    <w:qFormat/>
    <w:uiPriority w:val="0"/>
    <w:pPr>
      <w:adjustRightInd w:val="0"/>
      <w:spacing w:line="360" w:lineRule="auto"/>
      <w:ind w:left="480"/>
    </w:pPr>
    <w:rPr>
      <w:rFonts w:ascii="Calibri" w:hAnsi="Calibri"/>
      <w:kern w:val="0"/>
      <w:sz w:val="24"/>
      <w:szCs w:val="20"/>
    </w:rPr>
  </w:style>
  <w:style w:type="paragraph" w:customStyle="1" w:styleId="468">
    <w:name w:val="pa-10"/>
    <w:basedOn w:val="1"/>
    <w:qFormat/>
    <w:uiPriority w:val="0"/>
    <w:pPr>
      <w:widowControl/>
      <w:spacing w:line="240" w:lineRule="atLeast"/>
    </w:pPr>
    <w:rPr>
      <w:rFonts w:ascii="宋体" w:hAnsi="Calibri" w:cs="宋体"/>
      <w:kern w:val="0"/>
      <w:sz w:val="24"/>
      <w:szCs w:val="22"/>
    </w:rPr>
  </w:style>
  <w:style w:type="paragraph" w:customStyle="1" w:styleId="46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Normal_2_0"/>
    <w:qFormat/>
    <w:uiPriority w:val="0"/>
    <w:rPr>
      <w:rFonts w:ascii="黑体" w:hAnsi="黑体" w:eastAsia="黑体" w:cs="Times New Roman"/>
      <w:b/>
      <w:sz w:val="32"/>
      <w:szCs w:val="24"/>
      <w:lang w:val="en-US" w:eastAsia="zh-CN" w:bidi="ar-SA"/>
    </w:rPr>
  </w:style>
  <w:style w:type="paragraph" w:customStyle="1" w:styleId="472">
    <w:name w:val="pa-3"/>
    <w:basedOn w:val="1"/>
    <w:qFormat/>
    <w:uiPriority w:val="0"/>
    <w:pPr>
      <w:widowControl/>
      <w:spacing w:before="150" w:after="150"/>
      <w:jc w:val="left"/>
    </w:pPr>
    <w:rPr>
      <w:rFonts w:ascii="宋体" w:hAnsi="Calibri" w:cs="宋体"/>
      <w:kern w:val="0"/>
      <w:sz w:val="24"/>
      <w:szCs w:val="22"/>
    </w:rPr>
  </w:style>
  <w:style w:type="paragraph" w:customStyle="1" w:styleId="473">
    <w:name w:val="Normal_15_0"/>
    <w:qFormat/>
    <w:uiPriority w:val="0"/>
    <w:rPr>
      <w:rFonts w:ascii="黑体" w:hAnsi="黑体" w:eastAsia="黑体" w:cs="Times New Roman"/>
      <w:b/>
      <w:sz w:val="32"/>
      <w:szCs w:val="24"/>
      <w:lang w:val="en-US" w:eastAsia="zh-CN" w:bidi="ar-SA"/>
    </w:rPr>
  </w:style>
  <w:style w:type="paragraph" w:customStyle="1" w:styleId="474">
    <w:name w:val="D&amp;L"/>
    <w:basedOn w:val="43"/>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5">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6">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7">
    <w:name w:val="font5"/>
    <w:basedOn w:val="1"/>
    <w:qFormat/>
    <w:uiPriority w:val="0"/>
    <w:pPr>
      <w:widowControl/>
      <w:spacing w:before="100" w:beforeAutospacing="1" w:after="100" w:afterAutospacing="1"/>
      <w:jc w:val="left"/>
    </w:pPr>
    <w:rPr>
      <w:rFonts w:ascii="宋体" w:hAnsi="Calibri"/>
      <w:kern w:val="0"/>
      <w:sz w:val="18"/>
      <w:szCs w:val="18"/>
    </w:rPr>
  </w:style>
  <w:style w:type="paragraph" w:customStyle="1" w:styleId="478">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9">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80">
    <w:name w:val="a0"/>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8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483">
    <w:name w:val="正文（首行缩进两字）"/>
    <w:basedOn w:val="1"/>
    <w:qFormat/>
    <w:uiPriority w:val="0"/>
    <w:pPr>
      <w:spacing w:line="312" w:lineRule="auto"/>
    </w:pPr>
    <w:rPr>
      <w:rFonts w:ascii="宋体" w:hAnsi="Calibri" w:cs="宋体"/>
      <w:sz w:val="24"/>
      <w:szCs w:val="22"/>
    </w:rPr>
  </w:style>
  <w:style w:type="paragraph" w:customStyle="1" w:styleId="484">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485">
    <w:name w:val="Style12"/>
    <w:basedOn w:val="1"/>
    <w:qFormat/>
    <w:uiPriority w:val="0"/>
    <w:pPr>
      <w:adjustRightInd w:val="0"/>
      <w:jc w:val="left"/>
    </w:pPr>
    <w:rPr>
      <w:rFonts w:ascii="宋体"/>
      <w:kern w:val="0"/>
      <w:sz w:val="24"/>
    </w:rPr>
  </w:style>
  <w:style w:type="paragraph" w:customStyle="1" w:styleId="486">
    <w:name w:val="表格序号"/>
    <w:qFormat/>
    <w:uiPriority w:val="0"/>
    <w:rPr>
      <w:rFonts w:ascii="Times New Roman" w:hAnsi="Times New Roman" w:eastAsia="仿宋_GB2312" w:cs="宋体"/>
      <w:kern w:val="44"/>
      <w:sz w:val="21"/>
      <w:lang w:val="en-US" w:eastAsia="zh-CN" w:bidi="ar-SA"/>
    </w:rPr>
  </w:style>
  <w:style w:type="paragraph" w:customStyle="1" w:styleId="487">
    <w:name w:val="序号"/>
    <w:next w:val="1"/>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8">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9">
    <w:name w:val="Style9"/>
    <w:basedOn w:val="1"/>
    <w:qFormat/>
    <w:uiPriority w:val="0"/>
    <w:pPr>
      <w:adjustRightInd w:val="0"/>
      <w:jc w:val="left"/>
    </w:pPr>
    <w:rPr>
      <w:rFonts w:ascii="宋体"/>
      <w:kern w:val="0"/>
      <w:sz w:val="24"/>
    </w:rPr>
  </w:style>
  <w:style w:type="paragraph" w:customStyle="1" w:styleId="490">
    <w:name w:val="Normal_7"/>
    <w:qFormat/>
    <w:uiPriority w:val="0"/>
    <w:rPr>
      <w:rFonts w:ascii="黑体" w:hAnsi="黑体" w:eastAsia="黑体" w:cs="Times New Roman"/>
      <w:b/>
      <w:sz w:val="32"/>
      <w:szCs w:val="24"/>
      <w:lang w:val="en-US" w:eastAsia="zh-CN" w:bidi="ar-SA"/>
    </w:rPr>
  </w:style>
  <w:style w:type="paragraph" w:customStyle="1" w:styleId="491">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4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3">
    <w:name w:val="Style11"/>
    <w:basedOn w:val="1"/>
    <w:qFormat/>
    <w:uiPriority w:val="0"/>
    <w:pPr>
      <w:adjustRightInd w:val="0"/>
      <w:spacing w:line="446" w:lineRule="exact"/>
      <w:jc w:val="left"/>
    </w:pPr>
    <w:rPr>
      <w:rFonts w:ascii="宋体"/>
      <w:kern w:val="0"/>
      <w:sz w:val="24"/>
    </w:rPr>
  </w:style>
  <w:style w:type="paragraph" w:customStyle="1" w:styleId="494">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5">
    <w:name w:val="默认段落字体 Para Char Char Char Char Char Char Char Char Char1 Char Char Char Char Char Char Char"/>
    <w:basedOn w:val="19"/>
    <w:qFormat/>
    <w:uiPriority w:val="0"/>
    <w:rPr>
      <w:rFonts w:ascii="Tahoma" w:hAnsi="Tahoma"/>
      <w:sz w:val="24"/>
    </w:rPr>
  </w:style>
  <w:style w:type="paragraph" w:customStyle="1" w:styleId="496">
    <w:name w:val="章标题"/>
    <w:next w:val="159"/>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7">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8">
    <w:name w:val="正文_7_1_0"/>
    <w:qFormat/>
    <w:uiPriority w:val="0"/>
    <w:pPr>
      <w:widowControl w:val="0"/>
      <w:jc w:val="both"/>
    </w:pPr>
    <w:rPr>
      <w:rFonts w:ascii="Times New Roman" w:hAnsi="Times New Roman" w:eastAsia="宋体" w:cs="Times New Roman"/>
      <w:lang w:val="en-US" w:eastAsia="zh-CN" w:bidi="ar-SA"/>
    </w:rPr>
  </w:style>
  <w:style w:type="paragraph" w:customStyle="1" w:styleId="49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表"/>
    <w:basedOn w:val="1"/>
    <w:qFormat/>
    <w:uiPriority w:val="0"/>
    <w:pPr>
      <w:adjustRightInd w:val="0"/>
      <w:snapToGrid w:val="0"/>
      <w:spacing w:line="312" w:lineRule="auto"/>
    </w:pPr>
    <w:rPr>
      <w:rFonts w:ascii="Calibri" w:hAnsi="Calibri" w:cs="宋体"/>
      <w:kern w:val="0"/>
      <w:szCs w:val="20"/>
    </w:rPr>
  </w:style>
  <w:style w:type="character" w:customStyle="1" w:styleId="501">
    <w:name w:val="未处理的提及"/>
    <w:unhideWhenUsed/>
    <w:qFormat/>
    <w:uiPriority w:val="99"/>
    <w:rPr>
      <w:color w:val="605E5C"/>
      <w:shd w:val="clear" w:color="auto" w:fill="E1DFDD"/>
    </w:rPr>
  </w:style>
  <w:style w:type="character" w:customStyle="1" w:styleId="502">
    <w:name w:val="Char Char14"/>
    <w:qFormat/>
    <w:uiPriority w:val="0"/>
    <w:rPr>
      <w:rFonts w:eastAsia="宋体"/>
      <w:b/>
      <w:bCs/>
      <w:kern w:val="44"/>
      <w:sz w:val="44"/>
      <w:szCs w:val="44"/>
      <w:lang w:val="en-US" w:eastAsia="zh-CN" w:bidi="ar-SA"/>
    </w:rPr>
  </w:style>
  <w:style w:type="character" w:customStyle="1" w:styleId="503">
    <w:name w:val="正文文本 3 字符"/>
    <w:qFormat/>
    <w:uiPriority w:val="0"/>
    <w:rPr>
      <w:rFonts w:ascii="宋体"/>
      <w:kern w:val="2"/>
      <w:sz w:val="24"/>
    </w:rPr>
  </w:style>
  <w:style w:type="character" w:customStyle="1" w:styleId="504">
    <w:name w:val="样式 宋体 小四2"/>
    <w:qFormat/>
    <w:uiPriority w:val="0"/>
    <w:rPr>
      <w:rFonts w:ascii="宋体" w:hAnsi="宋体"/>
      <w:kern w:val="0"/>
      <w:sz w:val="28"/>
    </w:rPr>
  </w:style>
  <w:style w:type="character" w:customStyle="1" w:styleId="505">
    <w:name w:val="样式 黑体 小二"/>
    <w:qFormat/>
    <w:uiPriority w:val="0"/>
    <w:rPr>
      <w:rFonts w:ascii="黑体" w:hAnsi="黑体" w:eastAsia="黑体"/>
      <w:sz w:val="36"/>
    </w:rPr>
  </w:style>
  <w:style w:type="character" w:customStyle="1" w:styleId="506">
    <w:name w:val="样式 宋体 小四 加粗"/>
    <w:qFormat/>
    <w:uiPriority w:val="0"/>
    <w:rPr>
      <w:rFonts w:ascii="宋体" w:hAnsi="宋体"/>
      <w:b/>
      <w:bCs/>
      <w:sz w:val="28"/>
    </w:rPr>
  </w:style>
  <w:style w:type="character" w:customStyle="1" w:styleId="507">
    <w:name w:val="普通文字 Char3"/>
    <w:qFormat/>
    <w:uiPriority w:val="0"/>
    <w:rPr>
      <w:rFonts w:ascii="宋体" w:hAnsi="Courier New" w:eastAsia="宋体"/>
      <w:kern w:val="2"/>
      <w:sz w:val="21"/>
      <w:szCs w:val="21"/>
      <w:lang w:val="en-US" w:eastAsia="zh-CN" w:bidi="ar-SA"/>
    </w:rPr>
  </w:style>
  <w:style w:type="character" w:customStyle="1" w:styleId="508">
    <w:name w:val="Char Char31"/>
    <w:qFormat/>
    <w:uiPriority w:val="0"/>
    <w:rPr>
      <w:kern w:val="2"/>
      <w:sz w:val="18"/>
    </w:rPr>
  </w:style>
  <w:style w:type="character" w:customStyle="1" w:styleId="509">
    <w:name w:val="标题 2 Char Char"/>
    <w:qFormat/>
    <w:uiPriority w:val="0"/>
    <w:rPr>
      <w:rFonts w:ascii="Arial" w:hAnsi="Arial" w:eastAsia="黑体"/>
      <w:b/>
      <w:bCs/>
      <w:kern w:val="2"/>
      <w:sz w:val="32"/>
      <w:szCs w:val="32"/>
      <w:lang w:val="en-US" w:eastAsia="zh-CN" w:bidi="ar-SA"/>
    </w:rPr>
  </w:style>
  <w:style w:type="character" w:customStyle="1" w:styleId="510">
    <w:name w:val="正文文本 Char Char"/>
    <w:qFormat/>
    <w:uiPriority w:val="0"/>
    <w:rPr>
      <w:rFonts w:ascii="宋体" w:eastAsia="宋体"/>
      <w:kern w:val="2"/>
      <w:sz w:val="30"/>
      <w:lang w:val="en-US" w:eastAsia="zh-CN" w:bidi="ar-SA"/>
    </w:rPr>
  </w:style>
  <w:style w:type="character" w:customStyle="1" w:styleId="511">
    <w:name w:val="样式 (西文) 仿宋_GB2312 小四"/>
    <w:qFormat/>
    <w:uiPriority w:val="0"/>
    <w:rPr>
      <w:rFonts w:ascii="Times New Roman" w:hAnsi="Times New Roman" w:eastAsia="宋体"/>
      <w:sz w:val="24"/>
      <w:szCs w:val="24"/>
    </w:rPr>
  </w:style>
  <w:style w:type="character" w:customStyle="1" w:styleId="512">
    <w:name w:val="正文2 Char"/>
    <w:link w:val="513"/>
    <w:qFormat/>
    <w:uiPriority w:val="0"/>
    <w:rPr>
      <w:rFonts w:ascii="宋体" w:hAnsi="宋体"/>
      <w:kern w:val="2"/>
      <w:sz w:val="24"/>
      <w:szCs w:val="24"/>
    </w:rPr>
  </w:style>
  <w:style w:type="paragraph" w:customStyle="1" w:styleId="513">
    <w:name w:val="正文21"/>
    <w:basedOn w:val="1"/>
    <w:link w:val="512"/>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4">
    <w:name w:val="样式 样式 (西文) 仿宋_GB2312 小四 + 加粗"/>
    <w:qFormat/>
    <w:uiPriority w:val="0"/>
    <w:rPr>
      <w:rFonts w:ascii="Times New Roman" w:hAnsi="Times New Roman" w:eastAsia="宋体"/>
      <w:b/>
      <w:bCs/>
      <w:sz w:val="28"/>
      <w:szCs w:val="24"/>
    </w:rPr>
  </w:style>
  <w:style w:type="character" w:customStyle="1" w:styleId="515">
    <w:name w:val="Char Char12"/>
    <w:qFormat/>
    <w:uiPriority w:val="0"/>
    <w:rPr>
      <w:rFonts w:eastAsia="宋体"/>
      <w:b/>
      <w:bCs/>
      <w:kern w:val="44"/>
      <w:sz w:val="44"/>
      <w:szCs w:val="44"/>
      <w:lang w:val="en-US" w:eastAsia="zh-CN" w:bidi="ar-SA"/>
    </w:rPr>
  </w:style>
  <w:style w:type="character" w:customStyle="1" w:styleId="516">
    <w:name w:val="high-light-bg"/>
    <w:qFormat/>
    <w:uiPriority w:val="0"/>
  </w:style>
  <w:style w:type="character" w:customStyle="1" w:styleId="517">
    <w:name w:val="样式 Char Char"/>
    <w:link w:val="518"/>
    <w:qFormat/>
    <w:uiPriority w:val="0"/>
    <w:rPr>
      <w:rFonts w:ascii="宋体"/>
      <w:sz w:val="28"/>
      <w:szCs w:val="28"/>
    </w:rPr>
  </w:style>
  <w:style w:type="paragraph" w:customStyle="1" w:styleId="518">
    <w:name w:val="样式"/>
    <w:basedOn w:val="1"/>
    <w:next w:val="51"/>
    <w:link w:val="517"/>
    <w:qFormat/>
    <w:uiPriority w:val="0"/>
    <w:pPr>
      <w:adjustRightInd w:val="0"/>
      <w:ind w:firstLine="564"/>
      <w:textAlignment w:val="baseline"/>
    </w:pPr>
    <w:rPr>
      <w:rFonts w:ascii="宋体"/>
      <w:kern w:val="0"/>
      <w:sz w:val="28"/>
      <w:szCs w:val="28"/>
    </w:rPr>
  </w:style>
  <w:style w:type="character" w:customStyle="1" w:styleId="519">
    <w:name w:val="样式 宋体 小四 加粗1"/>
    <w:qFormat/>
    <w:uiPriority w:val="0"/>
    <w:rPr>
      <w:rFonts w:ascii="宋体" w:hAnsi="宋体"/>
      <w:b/>
      <w:bCs/>
      <w:sz w:val="28"/>
    </w:rPr>
  </w:style>
  <w:style w:type="character" w:customStyle="1" w:styleId="520">
    <w:name w:val="样式 宋体 小四1"/>
    <w:qFormat/>
    <w:uiPriority w:val="0"/>
    <w:rPr>
      <w:rFonts w:ascii="宋体" w:hAnsi="宋体"/>
      <w:sz w:val="28"/>
    </w:rPr>
  </w:style>
  <w:style w:type="character" w:customStyle="1" w:styleId="521">
    <w:name w:val="正 文 1 Char"/>
    <w:qFormat/>
    <w:uiPriority w:val="0"/>
    <w:rPr>
      <w:rFonts w:ascii="宋体" w:hAnsi="Courier New" w:eastAsia="宋体" w:cs="Courier New"/>
      <w:kern w:val="2"/>
      <w:sz w:val="21"/>
      <w:szCs w:val="21"/>
      <w:lang w:val="en-US" w:eastAsia="zh-CN" w:bidi="ar-SA"/>
    </w:rPr>
  </w:style>
  <w:style w:type="character" w:customStyle="1" w:styleId="522">
    <w:name w:val="样式 宋体 小四"/>
    <w:qFormat/>
    <w:uiPriority w:val="0"/>
    <w:rPr>
      <w:rFonts w:ascii="宋体" w:hAnsi="宋体"/>
      <w:sz w:val="28"/>
    </w:rPr>
  </w:style>
  <w:style w:type="character" w:customStyle="1" w:styleId="523">
    <w:name w:val="font161"/>
    <w:qFormat/>
    <w:uiPriority w:val="0"/>
    <w:rPr>
      <w:b/>
      <w:bCs/>
      <w:sz w:val="32"/>
      <w:szCs w:val="32"/>
    </w:rPr>
  </w:style>
  <w:style w:type="character" w:customStyle="1" w:styleId="524">
    <w:name w:val="标题1　样式 宋体 小三 加粗"/>
    <w:qFormat/>
    <w:uiPriority w:val="0"/>
    <w:rPr>
      <w:rFonts w:ascii="宋体" w:hAnsi="宋体" w:eastAsia="黑体"/>
      <w:b/>
      <w:bCs/>
      <w:kern w:val="44"/>
      <w:sz w:val="30"/>
      <w:szCs w:val="44"/>
      <w:lang w:val="en-US" w:eastAsia="zh-CN" w:bidi="ar-SA"/>
    </w:rPr>
  </w:style>
  <w:style w:type="paragraph" w:customStyle="1" w:styleId="525">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6">
    <w:name w:val="ordinary-output"/>
    <w:basedOn w:val="1"/>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7">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8">
    <w:name w:val="_Style 526"/>
    <w:basedOn w:val="1"/>
    <w:next w:val="1"/>
    <w:qFormat/>
    <w:uiPriority w:val="39"/>
    <w:pPr>
      <w:ind w:left="420"/>
      <w:jc w:val="left"/>
    </w:pPr>
    <w:rPr>
      <w:i/>
      <w:iCs/>
      <w:sz w:val="20"/>
      <w:szCs w:val="20"/>
    </w:rPr>
  </w:style>
  <w:style w:type="paragraph" w:customStyle="1" w:styleId="529">
    <w:name w:val="TOC 标题1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30">
    <w:name w:val="格式3"/>
    <w:basedOn w:val="1"/>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1">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2">
    <w:name w:val="Char Char Char Char Char Char"/>
    <w:basedOn w:val="1"/>
    <w:qFormat/>
    <w:uiPriority w:val="0"/>
  </w:style>
  <w:style w:type="paragraph" w:customStyle="1" w:styleId="533">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5">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6">
    <w:name w:val="xl9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7">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9">
    <w:name w:val="xl46"/>
    <w:basedOn w:val="1"/>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1">
    <w:name w:val="标题2(技术规范)"/>
    <w:basedOn w:val="6"/>
    <w:next w:val="24"/>
    <w:qFormat/>
    <w:uiPriority w:val="0"/>
    <w:pPr>
      <w:adjustRightInd w:val="0"/>
      <w:snapToGrid w:val="0"/>
      <w:spacing w:beforeLines="50" w:afterLines="25" w:line="480" w:lineRule="exact"/>
      <w:jc w:val="center"/>
      <w:outlineLvl w:val="3"/>
    </w:pPr>
    <w:rPr>
      <w:kern w:val="2"/>
      <w:szCs w:val="24"/>
    </w:rPr>
  </w:style>
  <w:style w:type="paragraph" w:customStyle="1" w:styleId="542">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3">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4">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5">
    <w:name w:val="目录1"/>
    <w:basedOn w:val="1"/>
    <w:qFormat/>
    <w:uiPriority w:val="0"/>
    <w:pPr>
      <w:adjustRightInd w:val="0"/>
      <w:spacing w:line="420" w:lineRule="atLeast"/>
      <w:textAlignment w:val="baseline"/>
    </w:pPr>
    <w:rPr>
      <w:rFonts w:eastAsia="黑体"/>
      <w:b/>
      <w:kern w:val="0"/>
      <w:szCs w:val="20"/>
    </w:rPr>
  </w:style>
  <w:style w:type="paragraph" w:customStyle="1" w:styleId="546">
    <w:name w:val="表1"/>
    <w:basedOn w:val="1"/>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7">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8">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9">
    <w:name w:val="正正文"/>
    <w:basedOn w:val="1"/>
    <w:qFormat/>
    <w:uiPriority w:val="0"/>
    <w:pPr>
      <w:spacing w:line="360" w:lineRule="auto"/>
      <w:ind w:firstLine="480" w:firstLineChars="200"/>
    </w:pPr>
    <w:rPr>
      <w:rFonts w:ascii="宋体" w:hAnsi="宋体"/>
      <w:kern w:val="0"/>
      <w:sz w:val="24"/>
    </w:rPr>
  </w:style>
  <w:style w:type="paragraph" w:customStyle="1" w:styleId="550">
    <w:name w:val="表格6"/>
    <w:basedOn w:val="1"/>
    <w:qFormat/>
    <w:uiPriority w:val="0"/>
    <w:pPr>
      <w:adjustRightInd w:val="0"/>
      <w:spacing w:line="420" w:lineRule="atLeast"/>
      <w:ind w:left="737"/>
      <w:textAlignment w:val="baseline"/>
    </w:pPr>
    <w:rPr>
      <w:rFonts w:ascii="宋体"/>
      <w:kern w:val="0"/>
      <w:szCs w:val="20"/>
    </w:rPr>
  </w:style>
  <w:style w:type="paragraph" w:customStyle="1" w:styleId="551">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3">
    <w:name w:val="xl5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4">
    <w:name w:val="格式5"/>
    <w:basedOn w:val="1"/>
    <w:qFormat/>
    <w:uiPriority w:val="0"/>
    <w:pPr>
      <w:spacing w:line="420" w:lineRule="exact"/>
      <w:ind w:left="105" w:leftChars="50" w:firstLine="480" w:firstLineChars="200"/>
    </w:pPr>
    <w:rPr>
      <w:rFonts w:ascii="宋体" w:hAnsi="宋体"/>
      <w:color w:val="000000"/>
      <w:sz w:val="24"/>
      <w:szCs w:val="20"/>
    </w:rPr>
  </w:style>
  <w:style w:type="paragraph" w:customStyle="1" w:styleId="555">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6">
    <w:name w:val="font23"/>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7">
    <w:name w:val="Char Char Char1 Char Char Char Char Char Char Char Char Char Char Char Char Char Char Char Char Char Char Char"/>
    <w:basedOn w:val="1"/>
    <w:qFormat/>
    <w:uiPriority w:val="0"/>
  </w:style>
  <w:style w:type="paragraph" w:customStyle="1" w:styleId="558">
    <w:name w:val="Char1 Char Char Char1"/>
    <w:basedOn w:val="1"/>
    <w:qFormat/>
    <w:uiPriority w:val="0"/>
    <w:rPr>
      <w:rFonts w:ascii="Tahoma" w:hAnsi="Tahoma"/>
      <w:sz w:val="24"/>
      <w:szCs w:val="20"/>
    </w:rPr>
  </w:style>
  <w:style w:type="paragraph" w:customStyle="1" w:styleId="559">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0">
    <w:name w:val="xl9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1">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2">
    <w:name w:val="Char Char Char Char Char Char Char Char Char Char Char Char Char Char Char Char Char Char Char Char Char Char Char Char Char"/>
    <w:basedOn w:val="1"/>
    <w:qFormat/>
    <w:uiPriority w:val="0"/>
  </w:style>
  <w:style w:type="paragraph" w:customStyle="1" w:styleId="563">
    <w:name w:val="font12"/>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4">
    <w:name w:val="格式4"/>
    <w:basedOn w:val="1"/>
    <w:qFormat/>
    <w:uiPriority w:val="0"/>
    <w:pPr>
      <w:spacing w:line="420" w:lineRule="exact"/>
      <w:ind w:left="990" w:leftChars="300" w:hanging="360" w:hangingChars="150"/>
    </w:pPr>
    <w:rPr>
      <w:rFonts w:ascii="宋体" w:hAnsi="宋体"/>
      <w:color w:val="000000"/>
      <w:sz w:val="24"/>
      <w:szCs w:val="20"/>
    </w:rPr>
  </w:style>
  <w:style w:type="paragraph" w:customStyle="1" w:styleId="56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6">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7">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568">
    <w:name w:val="样式 宋体 小四 首行缩进:  0.99 厘米 行距: 固定值 30 磅"/>
    <w:basedOn w:val="1"/>
    <w:qFormat/>
    <w:uiPriority w:val="0"/>
    <w:pPr>
      <w:spacing w:line="600" w:lineRule="exact"/>
      <w:ind w:firstLine="560"/>
    </w:pPr>
    <w:rPr>
      <w:rFonts w:ascii="宋体" w:hAnsi="宋体" w:cs="宋体"/>
      <w:sz w:val="28"/>
      <w:szCs w:val="20"/>
    </w:rPr>
  </w:style>
  <w:style w:type="paragraph" w:customStyle="1" w:styleId="569">
    <w:name w:val="Char Char Char Char11"/>
    <w:basedOn w:val="1"/>
    <w:qFormat/>
    <w:uiPriority w:val="0"/>
  </w:style>
  <w:style w:type="paragraph" w:customStyle="1" w:styleId="570">
    <w:name w:val="Char Char5 Char Char"/>
    <w:basedOn w:val="1"/>
    <w:qFormat/>
    <w:uiPriority w:val="0"/>
    <w:pPr>
      <w:spacing w:line="360" w:lineRule="auto"/>
      <w:ind w:firstLine="200" w:firstLineChars="200"/>
    </w:pPr>
    <w:rPr>
      <w:rFonts w:ascii="宋体" w:hAnsi="宋体" w:cs="宋体"/>
      <w:sz w:val="24"/>
    </w:rPr>
  </w:style>
  <w:style w:type="paragraph" w:customStyle="1" w:styleId="571">
    <w:name w:val="xl5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2">
    <w:name w:val="xl118"/>
    <w:basedOn w:val="1"/>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3">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4">
    <w:name w:val="xl111"/>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5">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6">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7">
    <w:name w:val="xl52"/>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0">
    <w:name w:val="默认段落字体 Para Char Char Char Char"/>
    <w:basedOn w:val="1"/>
    <w:qFormat/>
    <w:uiPriority w:val="0"/>
  </w:style>
  <w:style w:type="paragraph" w:customStyle="1" w:styleId="581">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2">
    <w:name w:val="xl124"/>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3">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4">
    <w:name w:val="flName"/>
    <w:basedOn w:val="585"/>
    <w:qFormat/>
    <w:uiPriority w:val="0"/>
    <w:rPr>
      <w:sz w:val="32"/>
    </w:rPr>
  </w:style>
  <w:style w:type="paragraph" w:customStyle="1" w:styleId="585">
    <w:name w:val="flNote"/>
    <w:basedOn w:val="1"/>
    <w:qFormat/>
    <w:uiPriority w:val="0"/>
    <w:pPr>
      <w:spacing w:before="320" w:after="160"/>
      <w:jc w:val="center"/>
    </w:pPr>
    <w:rPr>
      <w:rFonts w:ascii="Arial" w:eastAsia="黑体"/>
      <w:sz w:val="30"/>
    </w:rPr>
  </w:style>
  <w:style w:type="paragraph" w:customStyle="1" w:styleId="586">
    <w:name w:val="表格2"/>
    <w:basedOn w:val="1"/>
    <w:qFormat/>
    <w:uiPriority w:val="0"/>
    <w:pPr>
      <w:adjustRightInd w:val="0"/>
      <w:spacing w:line="420" w:lineRule="atLeast"/>
      <w:ind w:left="284" w:firstLine="454"/>
      <w:textAlignment w:val="baseline"/>
    </w:pPr>
    <w:rPr>
      <w:kern w:val="0"/>
      <w:szCs w:val="20"/>
    </w:rPr>
  </w:style>
  <w:style w:type="paragraph" w:customStyle="1" w:styleId="587">
    <w:name w:val="def正文"/>
    <w:basedOn w:val="24"/>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8">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9">
    <w:name w:val="xl11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90">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2">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5">
    <w:name w:val="xl90"/>
    <w:basedOn w:val="1"/>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7">
    <w:name w:val="xl23"/>
    <w:basedOn w:val="1"/>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8">
    <w:name w:val="xl50"/>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9">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2">
    <w:name w:val="样式 标题 2 + 首行缩进:  2 字符 段前: 1 行 段后: 0.5 行"/>
    <w:basedOn w:val="3"/>
    <w:qFormat/>
    <w:uiPriority w:val="0"/>
    <w:pPr>
      <w:snapToGrid w:val="0"/>
      <w:spacing w:beforeLines="100" w:afterLines="50" w:line="336" w:lineRule="auto"/>
    </w:pPr>
    <w:rPr>
      <w:rFonts w:ascii="Arial" w:hAnsi="Arial" w:eastAsia="黑体" w:cs="宋体"/>
      <w:kern w:val="2"/>
      <w:sz w:val="28"/>
      <w:szCs w:val="20"/>
    </w:rPr>
  </w:style>
  <w:style w:type="paragraph" w:customStyle="1" w:styleId="603">
    <w:name w:val="font16"/>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4">
    <w:name w:val="样式 标题 1 + 首行缩进:  2 字符 段前: 1 行 段后: 1 行"/>
    <w:basedOn w:val="2"/>
    <w:qFormat/>
    <w:uiPriority w:val="0"/>
    <w:pPr>
      <w:snapToGrid w:val="0"/>
      <w:spacing w:beforeLines="100" w:afterLines="100" w:line="336" w:lineRule="auto"/>
      <w:jc w:val="center"/>
    </w:pPr>
    <w:rPr>
      <w:rFonts w:ascii="Arial" w:hAnsi="Arial" w:eastAsia="黑体" w:cs="宋体"/>
      <w:sz w:val="30"/>
      <w:szCs w:val="20"/>
    </w:rPr>
  </w:style>
  <w:style w:type="paragraph" w:customStyle="1" w:styleId="605">
    <w:name w:val="xl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6">
    <w:name w:val="1"/>
    <w:basedOn w:val="1"/>
    <w:next w:val="1"/>
    <w:qFormat/>
    <w:uiPriority w:val="0"/>
  </w:style>
  <w:style w:type="paragraph" w:customStyle="1" w:styleId="607">
    <w:name w:val="Char Char Char Char2"/>
    <w:basedOn w:val="1"/>
    <w:qFormat/>
    <w:uiPriority w:val="0"/>
  </w:style>
  <w:style w:type="paragraph" w:customStyle="1" w:styleId="60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9">
    <w:name w:val="font1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10">
    <w:name w:val="正文文字2"/>
    <w:basedOn w:val="1"/>
    <w:qFormat/>
    <w:uiPriority w:val="0"/>
    <w:pPr>
      <w:spacing w:before="50" w:line="440" w:lineRule="exact"/>
      <w:ind w:left="851"/>
    </w:pPr>
    <w:rPr>
      <w:sz w:val="24"/>
      <w:szCs w:val="20"/>
    </w:rPr>
  </w:style>
  <w:style w:type="paragraph" w:customStyle="1" w:styleId="611">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2">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3">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4">
    <w:name w:val="xl4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5">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16">
    <w:name w:val="二级标题"/>
    <w:basedOn w:val="1"/>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7">
    <w:name w:val="纯文本1"/>
    <w:basedOn w:val="1"/>
    <w:qFormat/>
    <w:uiPriority w:val="0"/>
    <w:pPr>
      <w:adjustRightInd w:val="0"/>
      <w:textAlignment w:val="baseline"/>
    </w:pPr>
    <w:rPr>
      <w:rFonts w:ascii="宋体" w:hAnsi="Courier New"/>
      <w:szCs w:val="20"/>
    </w:rPr>
  </w:style>
  <w:style w:type="paragraph" w:customStyle="1" w:styleId="618">
    <w:name w:val="表中"/>
    <w:basedOn w:val="1"/>
    <w:qFormat/>
    <w:uiPriority w:val="0"/>
    <w:pPr>
      <w:adjustRightInd w:val="0"/>
      <w:spacing w:line="360" w:lineRule="atLeast"/>
      <w:jc w:val="center"/>
      <w:textAlignment w:val="baseline"/>
    </w:pPr>
    <w:rPr>
      <w:kern w:val="0"/>
      <w:szCs w:val="20"/>
    </w:rPr>
  </w:style>
  <w:style w:type="paragraph" w:customStyle="1" w:styleId="619">
    <w:name w:val="表名A"/>
    <w:basedOn w:val="1"/>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20">
    <w:name w:val="xl4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2">
    <w:name w:val="Char Char Char1 Char Char Char Char Char Char Char Char Char Char Char Char Char Char Char Char Char Char Char1"/>
    <w:basedOn w:val="1"/>
    <w:qFormat/>
    <w:uiPriority w:val="0"/>
    <w:rPr>
      <w:szCs w:val="21"/>
    </w:rPr>
  </w:style>
  <w:style w:type="paragraph" w:customStyle="1" w:styleId="62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5">
    <w:name w:val="font10"/>
    <w:basedOn w:val="1"/>
    <w:qFormat/>
    <w:uiPriority w:val="0"/>
    <w:pPr>
      <w:widowControl/>
      <w:spacing w:before="100" w:beforeAutospacing="1" w:after="100" w:afterAutospacing="1"/>
      <w:jc w:val="left"/>
    </w:pPr>
    <w:rPr>
      <w:rFonts w:eastAsia="Arial Unicode MS"/>
      <w:kern w:val="0"/>
      <w:sz w:val="44"/>
      <w:szCs w:val="44"/>
    </w:rPr>
  </w:style>
  <w:style w:type="paragraph" w:customStyle="1" w:styleId="626">
    <w:name w:val="格式1"/>
    <w:basedOn w:val="1"/>
    <w:qFormat/>
    <w:uiPriority w:val="0"/>
    <w:pPr>
      <w:spacing w:beforeLines="50"/>
      <w:jc w:val="center"/>
    </w:pPr>
    <w:rPr>
      <w:rFonts w:ascii="黑体" w:hAnsi="宋体" w:eastAsia="黑体"/>
      <w:b/>
      <w:bCs/>
      <w:color w:val="000000"/>
      <w:sz w:val="32"/>
      <w:szCs w:val="20"/>
    </w:rPr>
  </w:style>
  <w:style w:type="paragraph" w:customStyle="1" w:styleId="62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628">
    <w:name w:val="标题 5 + (西文) Arial Narrow"/>
    <w:basedOn w:val="5"/>
    <w:qFormat/>
    <w:uiPriority w:val="0"/>
    <w:pPr>
      <w:adjustRightInd w:val="0"/>
      <w:snapToGrid w:val="0"/>
      <w:spacing w:beforeLines="100" w:afterLines="100" w:line="360" w:lineRule="auto"/>
      <w:jc w:val="center"/>
    </w:pPr>
    <w:rPr>
      <w:rFonts w:ascii="Arial Narrow" w:hAnsi="Arial Narrow"/>
    </w:rPr>
  </w:style>
  <w:style w:type="paragraph" w:customStyle="1" w:styleId="629">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2">
    <w:name w:val="xl4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3">
    <w:name w:val="表、图签"/>
    <w:basedOn w:val="1"/>
    <w:qFormat/>
    <w:uiPriority w:val="0"/>
    <w:pPr>
      <w:spacing w:line="360" w:lineRule="auto"/>
      <w:jc w:val="center"/>
    </w:pPr>
    <w:rPr>
      <w:rFonts w:ascii="黑体" w:hAnsi="Arial" w:eastAsia="黑体" w:cs="Arial"/>
      <w:bCs/>
      <w:sz w:val="24"/>
      <w:szCs w:val="32"/>
    </w:rPr>
  </w:style>
  <w:style w:type="paragraph" w:customStyle="1" w:styleId="63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5">
    <w:name w:val="小标题2"/>
    <w:basedOn w:val="1"/>
    <w:next w:val="1"/>
    <w:qFormat/>
    <w:uiPriority w:val="0"/>
    <w:pPr>
      <w:spacing w:line="300" w:lineRule="auto"/>
      <w:ind w:firstLine="200" w:firstLineChars="200"/>
    </w:pPr>
    <w:rPr>
      <w:sz w:val="24"/>
    </w:rPr>
  </w:style>
  <w:style w:type="paragraph" w:customStyle="1" w:styleId="636">
    <w:name w:val="表头文字"/>
    <w:basedOn w:val="1"/>
    <w:next w:val="1"/>
    <w:qFormat/>
    <w:uiPriority w:val="0"/>
    <w:pPr>
      <w:adjustRightInd w:val="0"/>
      <w:snapToGrid w:val="0"/>
      <w:spacing w:before="100" w:after="50" w:line="440" w:lineRule="exact"/>
      <w:jc w:val="center"/>
    </w:pPr>
    <w:rPr>
      <w:rFonts w:eastAsia="黑体"/>
      <w:b/>
      <w:bCs/>
      <w:sz w:val="28"/>
      <w:szCs w:val="28"/>
    </w:rPr>
  </w:style>
  <w:style w:type="paragraph" w:customStyle="1" w:styleId="637">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8">
    <w:name w:val="xl98"/>
    <w:basedOn w:val="1"/>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9">
    <w:name w:val="Char13"/>
    <w:basedOn w:val="1"/>
    <w:qFormat/>
    <w:uiPriority w:val="0"/>
  </w:style>
  <w:style w:type="paragraph" w:customStyle="1" w:styleId="6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1">
    <w:name w:val="正文A"/>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2">
    <w:name w:val="格式10"/>
    <w:basedOn w:val="1"/>
    <w:qFormat/>
    <w:uiPriority w:val="0"/>
    <w:pPr>
      <w:spacing w:line="360" w:lineRule="exact"/>
      <w:ind w:left="480"/>
    </w:pPr>
    <w:rPr>
      <w:sz w:val="24"/>
    </w:rPr>
  </w:style>
  <w:style w:type="paragraph" w:customStyle="1" w:styleId="643">
    <w:name w:val="font11"/>
    <w:basedOn w:val="1"/>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4">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6">
    <w:name w:val="xl53"/>
    <w:basedOn w:val="1"/>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7">
    <w:name w:val="font22"/>
    <w:basedOn w:val="1"/>
    <w:qFormat/>
    <w:uiPriority w:val="0"/>
    <w:pPr>
      <w:widowControl/>
      <w:spacing w:before="100" w:beforeAutospacing="1" w:after="100" w:afterAutospacing="1"/>
      <w:jc w:val="left"/>
    </w:pPr>
    <w:rPr>
      <w:rFonts w:ascii="Calibri" w:hAnsi="Calibri" w:cs="Calibri"/>
      <w:b/>
      <w:bCs/>
      <w:kern w:val="0"/>
      <w:szCs w:val="21"/>
    </w:rPr>
  </w:style>
  <w:style w:type="paragraph" w:customStyle="1" w:styleId="648">
    <w:name w:val="Char Char Char1"/>
    <w:basedOn w:val="1"/>
    <w:qFormat/>
    <w:uiPriority w:val="0"/>
  </w:style>
  <w:style w:type="paragraph" w:customStyle="1" w:styleId="649">
    <w:name w:val="三级条标题1"/>
    <w:basedOn w:val="1"/>
    <w:next w:val="1"/>
    <w:qFormat/>
    <w:uiPriority w:val="0"/>
    <w:pPr>
      <w:widowControl/>
      <w:ind w:left="900"/>
      <w:jc w:val="left"/>
      <w:outlineLvl w:val="4"/>
    </w:pPr>
    <w:rPr>
      <w:rFonts w:eastAsia="黑体"/>
      <w:kern w:val="0"/>
      <w:szCs w:val="20"/>
    </w:rPr>
  </w:style>
  <w:style w:type="paragraph" w:customStyle="1" w:styleId="6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2">
    <w:name w:val="一级标题"/>
    <w:basedOn w:val="1"/>
    <w:qFormat/>
    <w:uiPriority w:val="0"/>
    <w:pPr>
      <w:spacing w:beforeLines="50" w:afterLines="50" w:line="360" w:lineRule="auto"/>
      <w:jc w:val="left"/>
    </w:pPr>
    <w:rPr>
      <w:rFonts w:ascii="黑体" w:hAnsi="Arial" w:eastAsia="黑体" w:cs="Arial"/>
      <w:bCs/>
      <w:sz w:val="24"/>
      <w:lang w:val="en-GB"/>
    </w:rPr>
  </w:style>
  <w:style w:type="paragraph" w:customStyle="1" w:styleId="653">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4">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6">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7">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8">
    <w:name w:val="标题3(技术规范)"/>
    <w:basedOn w:val="1"/>
    <w:next w:val="24"/>
    <w:qFormat/>
    <w:uiPriority w:val="0"/>
    <w:pPr>
      <w:adjustRightInd w:val="0"/>
      <w:snapToGrid w:val="0"/>
      <w:spacing w:beforeLines="15" w:afterLines="15" w:line="440" w:lineRule="exact"/>
      <w:outlineLvl w:val="4"/>
    </w:pPr>
    <w:rPr>
      <w:b/>
      <w:sz w:val="24"/>
    </w:rPr>
  </w:style>
  <w:style w:type="paragraph" w:customStyle="1" w:styleId="6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60">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1">
    <w:name w:val="Char Char Char1 Char"/>
    <w:basedOn w:val="3"/>
    <w:next w:val="1"/>
    <w:qFormat/>
    <w:uiPriority w:val="0"/>
    <w:pPr>
      <w:snapToGrid w:val="0"/>
      <w:spacing w:before="120" w:after="120" w:line="240" w:lineRule="auto"/>
      <w:jc w:val="left"/>
    </w:pPr>
    <w:rPr>
      <w:rFonts w:ascii="Arial" w:hAnsi="Arial" w:eastAsia="黑体"/>
      <w:bCs w:val="0"/>
      <w:kern w:val="2"/>
      <w:szCs w:val="20"/>
    </w:rPr>
  </w:style>
  <w:style w:type="paragraph" w:customStyle="1" w:styleId="662">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3">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2"/>
      <w:sz w:val="24"/>
      <w:szCs w:val="20"/>
    </w:rPr>
  </w:style>
  <w:style w:type="paragraph" w:customStyle="1" w:styleId="664">
    <w:name w:val="xl71"/>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5">
    <w:name w:val="标题一"/>
    <w:basedOn w:val="2"/>
    <w:qFormat/>
    <w:uiPriority w:val="0"/>
    <w:pPr>
      <w:keepNext w:val="0"/>
      <w:adjustRightInd w:val="0"/>
      <w:snapToGrid w:val="0"/>
      <w:spacing w:beforeLines="1600" w:after="0" w:line="240" w:lineRule="auto"/>
      <w:ind w:left="454"/>
      <w:jc w:val="center"/>
    </w:pPr>
  </w:style>
  <w:style w:type="paragraph" w:customStyle="1" w:styleId="6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7">
    <w:name w:val="xl8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68">
    <w:name w:val="小表格内容"/>
    <w:qFormat/>
    <w:uiPriority w:val="0"/>
    <w:rPr>
      <w:rFonts w:ascii="Arial" w:hAnsi="Arial" w:eastAsia="仿宋_GB2312" w:cs="Times New Roman"/>
      <w:sz w:val="21"/>
      <w:lang w:val="en-US" w:eastAsia="zh-CN" w:bidi="ar-SA"/>
    </w:rPr>
  </w:style>
  <w:style w:type="paragraph" w:customStyle="1" w:styleId="669">
    <w:name w:val="font2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7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1">
    <w:name w:val="xl125"/>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3">
    <w:name w:val="表格3"/>
    <w:basedOn w:val="1"/>
    <w:qFormat/>
    <w:uiPriority w:val="0"/>
    <w:pPr>
      <w:adjustRightInd w:val="0"/>
      <w:spacing w:line="420" w:lineRule="atLeast"/>
      <w:textAlignment w:val="baseline"/>
    </w:pPr>
    <w:rPr>
      <w:rFonts w:eastAsia="楷体"/>
      <w:kern w:val="0"/>
      <w:szCs w:val="20"/>
    </w:rPr>
  </w:style>
  <w:style w:type="paragraph" w:customStyle="1" w:styleId="67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5">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6">
    <w:name w:val="xl12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7">
    <w:name w:val="正文文本缩进 21"/>
    <w:basedOn w:val="1"/>
    <w:qFormat/>
    <w:uiPriority w:val="0"/>
    <w:pPr>
      <w:adjustRightInd w:val="0"/>
      <w:spacing w:line="400" w:lineRule="atLeast"/>
      <w:ind w:firstLine="540"/>
      <w:textAlignment w:val="baseline"/>
    </w:pPr>
    <w:rPr>
      <w:rFonts w:ascii="宋体"/>
      <w:kern w:val="0"/>
      <w:sz w:val="24"/>
      <w:szCs w:val="20"/>
    </w:rPr>
  </w:style>
  <w:style w:type="character" w:customStyle="1" w:styleId="678">
    <w:name w:val="页脚 字符"/>
    <w:qFormat/>
    <w:uiPriority w:val="99"/>
  </w:style>
  <w:style w:type="character" w:customStyle="1" w:styleId="679">
    <w:name w:val="NormalCharacter"/>
    <w:qFormat/>
    <w:uiPriority w:val="0"/>
  </w:style>
  <w:style w:type="table" w:customStyle="1" w:styleId="680">
    <w:name w:val="网格型2"/>
    <w:basedOn w:val="65"/>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1">
    <w:name w:val="网格型3"/>
    <w:basedOn w:val="65"/>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82">
    <w:name w:val="正文首行缩进 21"/>
    <w:basedOn w:val="683"/>
    <w:unhideWhenUsed/>
    <w:qFormat/>
    <w:uiPriority w:val="99"/>
    <w:pPr>
      <w:spacing w:after="0"/>
      <w:ind w:left="480" w:firstLine="420"/>
    </w:pPr>
    <w:rPr>
      <w:sz w:val="24"/>
    </w:rPr>
  </w:style>
  <w:style w:type="paragraph" w:customStyle="1" w:styleId="683">
    <w:name w:val="正文文本缩进1"/>
    <w:basedOn w:val="1"/>
    <w:qFormat/>
    <w:uiPriority w:val="0"/>
    <w:pPr>
      <w:spacing w:after="120"/>
      <w:ind w:left="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51</Pages>
  <Words>5305</Words>
  <Characters>5492</Characters>
  <Lines>174</Lines>
  <Paragraphs>49</Paragraphs>
  <TotalTime>6</TotalTime>
  <ScaleCrop>false</ScaleCrop>
  <LinksUpToDate>false</LinksUpToDate>
  <CharactersWithSpaces>5536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2022-03-07T11:20:00Z</dcterms:created>
  <dc:creator>tao</dc:creator>
  <cp:lastModifiedBy>15529</cp:lastModifiedBy>
  <cp:lastPrinted>2026-02-02T08:40:00Z</cp:lastPrinted>
  <dcterms:modified xsi:type="dcterms:W3CDTF">2026-02-04T00:38:27Z</dcterms:modified>
  <dc:title>港闸区人民法院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5FB081D084F848798C142FC261AC6F20</vt:lpwstr>
  </property>
  <property fmtid="{D5CDD505-2E9C-101B-9397-08002B2CF9AE}" pid="4" name="KSOTemplateDocerSaveRecord">
    <vt:lpwstr>eyJoZGlkIjoiOWMwNDRlOTQyZDU0NDY3YTQ2YzBhMmU3ZWUwZjk3YmMifQ==</vt:lpwstr>
  </property>
</Properties>
</file>