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6CAB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2025年南通市区地下水源热泵系统使用状况评估项目</w:t>
      </w:r>
      <w:r>
        <w:rPr>
          <w:rFonts w:hint="eastAsia" w:ascii="宋体" w:hAnsi="宋体" w:eastAsia="宋体" w:cs="宋体"/>
          <w:b/>
          <w:bCs/>
          <w:sz w:val="44"/>
          <w:szCs w:val="44"/>
          <w:lang w:val="en-US" w:eastAsia="zh-CN"/>
        </w:rPr>
        <w:t>需求</w:t>
      </w:r>
    </w:p>
    <w:p w14:paraId="7C5800C8">
      <w:pPr>
        <w:bidi w:val="0"/>
        <w:rPr>
          <w:rFonts w:hint="eastAsia" w:asciiTheme="minorHAnsi" w:hAnsiTheme="minorHAnsi" w:eastAsiaTheme="minorEastAsia" w:cstheme="minorBidi"/>
          <w:kern w:val="2"/>
          <w:sz w:val="21"/>
          <w:szCs w:val="24"/>
          <w:lang w:val="en-US" w:eastAsia="zh-CN" w:bidi="ar-SA"/>
        </w:rPr>
      </w:pPr>
    </w:p>
    <w:p w14:paraId="5446A6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eastAsia="宋体"/>
          <w:b/>
          <w:color w:val="000000" w:themeColor="text1"/>
          <w:sz w:val="24"/>
          <w:szCs w:val="24"/>
          <w14:textFill>
            <w14:solidFill>
              <w14:schemeClr w14:val="tx1"/>
            </w14:solidFill>
          </w14:textFill>
        </w:rPr>
      </w:pPr>
      <w:r>
        <w:rPr>
          <w:rFonts w:hint="eastAsia" w:ascii="宋体" w:hAnsi="宋体" w:eastAsia="宋体" w:cs="宋体"/>
          <w:b/>
          <w:sz w:val="24"/>
          <w:szCs w:val="24"/>
        </w:rPr>
        <w:t>一、项目概况</w:t>
      </w:r>
    </w:p>
    <w:p w14:paraId="47031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为贯彻落实最严格水资源管理制度，进一步加强南通市地下水源热泵项目用水管理，规范水源热泵用水户取水回灌行为，摸清地下水源热泵项目用水效率和回灌效率，评估项目取水回灌对水环境和地质环境的影响，开展南通市地下水源热泵项目的评估工作。</w:t>
      </w:r>
    </w:p>
    <w:p w14:paraId="350FCC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二、项目内容</w:t>
      </w:r>
    </w:p>
    <w:p w14:paraId="15CE5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1.项目范围：南通市区（崇川区）</w:t>
      </w:r>
    </w:p>
    <w:p w14:paraId="22D48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市区6个已建成在用的水源热泵系统进行“地下水源热泵项目”评估，全年两次，分别于冬季用水高峰期和夏季用水高峰期。</w:t>
      </w:r>
    </w:p>
    <w:p w14:paraId="68E9C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2.工作目标：</w:t>
      </w:r>
    </w:p>
    <w:p w14:paraId="42A1F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为进一步加强水资源统一管理，促进区域水资源合理开发、优化配置、高效利用和有效保护，调查南通市地下水源热泵项目取水用水及回灌情况，核实地下水取水用水方案、用水效率、回灌方案和水资源保护措施与项目论证的一致性，评估地下水源热泵项目开发利用地下水和浅层地温能资源对水环境和地质环境产生的影响进行全面评估，并根据目前已有项目的实际运行情况，分析评价地下水源热泵项目的经济效益和生态环境效益，为南通市地下水源热泵项目推广和浅层地温能资源开发利用提供技术支持。</w:t>
      </w:r>
    </w:p>
    <w:p w14:paraId="7CA33628">
      <w:pPr>
        <w:widowControl w:val="0"/>
        <w:ind w:firstLine="482" w:firstLineChars="200"/>
        <w:jc w:val="center"/>
        <w:textAlignment w:val="auto"/>
        <w:rPr>
          <w:rStyle w:val="5"/>
          <w:rFonts w:hAnsi="宋体" w:eastAsia="宋体"/>
          <w:b/>
          <w:bCs/>
          <w:sz w:val="24"/>
          <w:szCs w:val="24"/>
        </w:rPr>
      </w:pPr>
      <w:r>
        <w:rPr>
          <w:rStyle w:val="5"/>
          <w:rFonts w:hint="eastAsia" w:hAnsi="宋体" w:eastAsia="宋体"/>
          <w:b/>
          <w:bCs/>
          <w:sz w:val="24"/>
          <w:szCs w:val="24"/>
        </w:rPr>
        <w:t>南通市区水源热泵系统一览表</w:t>
      </w:r>
    </w:p>
    <w:tbl>
      <w:tblPr>
        <w:tblStyle w:val="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687"/>
        <w:gridCol w:w="2197"/>
        <w:gridCol w:w="1665"/>
        <w:gridCol w:w="795"/>
        <w:gridCol w:w="868"/>
      </w:tblGrid>
      <w:tr w14:paraId="01A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5AB08AAE">
            <w:pPr>
              <w:jc w:val="center"/>
              <w:rPr>
                <w:rFonts w:ascii="宋体" w:hAnsi="宋体" w:eastAsia="宋体" w:cs="宋体"/>
                <w:kern w:val="0"/>
                <w:sz w:val="21"/>
                <w:szCs w:val="21"/>
              </w:rPr>
            </w:pPr>
            <w:r>
              <w:rPr>
                <w:rFonts w:hint="eastAsia" w:ascii="宋体" w:hAnsi="宋体" w:eastAsia="宋体" w:cs="宋体"/>
                <w:kern w:val="0"/>
                <w:sz w:val="21"/>
                <w:szCs w:val="21"/>
              </w:rPr>
              <w:t>许可证编号</w:t>
            </w:r>
          </w:p>
        </w:tc>
        <w:tc>
          <w:tcPr>
            <w:tcW w:w="2687" w:type="dxa"/>
            <w:vAlign w:val="center"/>
          </w:tcPr>
          <w:p w14:paraId="33FFA3C7">
            <w:pPr>
              <w:jc w:val="center"/>
              <w:rPr>
                <w:rFonts w:ascii="宋体" w:hAnsi="宋体" w:eastAsia="宋体" w:cs="宋体"/>
                <w:kern w:val="0"/>
                <w:sz w:val="21"/>
                <w:szCs w:val="21"/>
              </w:rPr>
            </w:pPr>
            <w:r>
              <w:rPr>
                <w:rFonts w:hint="eastAsia" w:ascii="宋体" w:hAnsi="宋体" w:eastAsia="宋体" w:cs="宋体"/>
                <w:kern w:val="0"/>
                <w:sz w:val="21"/>
                <w:szCs w:val="21"/>
              </w:rPr>
              <w:t>单位名称</w:t>
            </w:r>
          </w:p>
        </w:tc>
        <w:tc>
          <w:tcPr>
            <w:tcW w:w="2197" w:type="dxa"/>
            <w:vAlign w:val="center"/>
          </w:tcPr>
          <w:p w14:paraId="468E942B">
            <w:pPr>
              <w:jc w:val="center"/>
              <w:rPr>
                <w:rFonts w:ascii="宋体" w:hAnsi="宋体" w:eastAsia="宋体" w:cs="宋体"/>
                <w:kern w:val="0"/>
                <w:sz w:val="21"/>
                <w:szCs w:val="21"/>
              </w:rPr>
            </w:pPr>
            <w:r>
              <w:rPr>
                <w:rFonts w:hint="eastAsia" w:ascii="宋体" w:hAnsi="宋体" w:eastAsia="宋体" w:cs="宋体"/>
                <w:kern w:val="0"/>
                <w:sz w:val="21"/>
                <w:szCs w:val="21"/>
              </w:rPr>
              <w:t>单位地址</w:t>
            </w:r>
          </w:p>
        </w:tc>
        <w:tc>
          <w:tcPr>
            <w:tcW w:w="1665" w:type="dxa"/>
            <w:vAlign w:val="center"/>
          </w:tcPr>
          <w:p w14:paraId="09ACF5C0">
            <w:pPr>
              <w:jc w:val="center"/>
              <w:rPr>
                <w:rFonts w:ascii="宋体" w:hAnsi="宋体" w:eastAsia="宋体" w:cs="宋体"/>
                <w:kern w:val="0"/>
                <w:sz w:val="21"/>
                <w:szCs w:val="21"/>
              </w:rPr>
            </w:pPr>
            <w:r>
              <w:rPr>
                <w:rFonts w:hint="eastAsia" w:ascii="宋体" w:hAnsi="宋体" w:eastAsia="宋体" w:cs="宋体"/>
                <w:kern w:val="0"/>
                <w:sz w:val="21"/>
                <w:szCs w:val="21"/>
              </w:rPr>
              <w:t>取水许可水量（万立方米）</w:t>
            </w:r>
          </w:p>
        </w:tc>
        <w:tc>
          <w:tcPr>
            <w:tcW w:w="795" w:type="dxa"/>
            <w:vAlign w:val="center"/>
          </w:tcPr>
          <w:p w14:paraId="7A806682">
            <w:pPr>
              <w:jc w:val="center"/>
              <w:rPr>
                <w:rFonts w:ascii="宋体" w:hAnsi="宋体" w:eastAsia="宋体" w:cs="宋体"/>
                <w:kern w:val="0"/>
                <w:sz w:val="21"/>
                <w:szCs w:val="21"/>
              </w:rPr>
            </w:pPr>
            <w:r>
              <w:rPr>
                <w:rFonts w:hint="eastAsia" w:ascii="宋体" w:hAnsi="宋体" w:eastAsia="宋体" w:cs="宋体"/>
                <w:kern w:val="0"/>
                <w:sz w:val="21"/>
                <w:szCs w:val="21"/>
              </w:rPr>
              <w:t>深井</w:t>
            </w:r>
          </w:p>
          <w:p w14:paraId="3661485B">
            <w:pPr>
              <w:jc w:val="center"/>
              <w:rPr>
                <w:rFonts w:ascii="宋体" w:hAnsi="宋体" w:eastAsia="宋体" w:cs="宋体"/>
                <w:kern w:val="0"/>
                <w:sz w:val="21"/>
                <w:szCs w:val="21"/>
              </w:rPr>
            </w:pPr>
            <w:r>
              <w:rPr>
                <w:rFonts w:hint="eastAsia" w:ascii="宋体" w:hAnsi="宋体" w:eastAsia="宋体" w:cs="宋体"/>
                <w:kern w:val="0"/>
                <w:sz w:val="21"/>
                <w:szCs w:val="21"/>
              </w:rPr>
              <w:t>眼数</w:t>
            </w:r>
          </w:p>
        </w:tc>
        <w:tc>
          <w:tcPr>
            <w:tcW w:w="868" w:type="dxa"/>
            <w:vAlign w:val="center"/>
          </w:tcPr>
          <w:p w14:paraId="6DC611DA">
            <w:pPr>
              <w:jc w:val="center"/>
              <w:rPr>
                <w:rFonts w:ascii="宋体" w:hAnsi="宋体" w:eastAsia="宋体" w:cs="宋体"/>
                <w:kern w:val="0"/>
                <w:sz w:val="21"/>
                <w:szCs w:val="21"/>
              </w:rPr>
            </w:pPr>
            <w:r>
              <w:rPr>
                <w:rFonts w:hint="eastAsia" w:ascii="宋体" w:hAnsi="宋体" w:eastAsia="宋体" w:cs="宋体"/>
                <w:kern w:val="0"/>
                <w:sz w:val="21"/>
                <w:szCs w:val="21"/>
              </w:rPr>
              <w:t>含水层次</w:t>
            </w:r>
          </w:p>
        </w:tc>
      </w:tr>
      <w:tr w14:paraId="0FEE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52FD884F">
            <w:pPr>
              <w:jc w:val="left"/>
              <w:rPr>
                <w:rFonts w:ascii="宋体" w:hAnsi="宋体" w:eastAsia="宋体" w:cs="宋体"/>
                <w:kern w:val="0"/>
                <w:sz w:val="21"/>
                <w:szCs w:val="21"/>
              </w:rPr>
            </w:pPr>
            <w:r>
              <w:rPr>
                <w:rFonts w:hint="eastAsia" w:ascii="宋体" w:hAnsi="宋体" w:eastAsia="宋体" w:cs="宋体"/>
                <w:kern w:val="0"/>
                <w:sz w:val="21"/>
                <w:szCs w:val="21"/>
              </w:rPr>
              <w:t>C320602G2021-0051</w:t>
            </w:r>
          </w:p>
        </w:tc>
        <w:tc>
          <w:tcPr>
            <w:tcW w:w="2687" w:type="dxa"/>
            <w:vAlign w:val="center"/>
          </w:tcPr>
          <w:p w14:paraId="0A506F8D">
            <w:pPr>
              <w:jc w:val="left"/>
              <w:rPr>
                <w:rFonts w:ascii="宋体" w:hAnsi="宋体" w:eastAsia="宋体" w:cs="宋体"/>
                <w:kern w:val="0"/>
                <w:sz w:val="21"/>
                <w:szCs w:val="21"/>
              </w:rPr>
            </w:pPr>
            <w:r>
              <w:rPr>
                <w:rFonts w:hint="eastAsia" w:ascii="宋体" w:hAnsi="宋体" w:eastAsia="宋体" w:cs="宋体"/>
                <w:kern w:val="0"/>
                <w:sz w:val="21"/>
                <w:szCs w:val="21"/>
              </w:rPr>
              <w:t>南通天宝置业有限公司</w:t>
            </w:r>
          </w:p>
        </w:tc>
        <w:tc>
          <w:tcPr>
            <w:tcW w:w="2197" w:type="dxa"/>
            <w:vAlign w:val="center"/>
          </w:tcPr>
          <w:p w14:paraId="7BC6C601">
            <w:pPr>
              <w:jc w:val="left"/>
              <w:rPr>
                <w:rFonts w:ascii="宋体" w:hAnsi="宋体" w:eastAsia="宋体" w:cs="宋体"/>
                <w:kern w:val="0"/>
                <w:sz w:val="21"/>
                <w:szCs w:val="21"/>
              </w:rPr>
            </w:pPr>
            <w:r>
              <w:rPr>
                <w:rFonts w:hint="eastAsia" w:ascii="宋体" w:hAnsi="宋体" w:eastAsia="宋体" w:cs="宋体"/>
                <w:kern w:val="0"/>
                <w:sz w:val="21"/>
                <w:szCs w:val="21"/>
              </w:rPr>
              <w:t>崇川区工农南路128号</w:t>
            </w:r>
          </w:p>
        </w:tc>
        <w:tc>
          <w:tcPr>
            <w:tcW w:w="1665" w:type="dxa"/>
            <w:vAlign w:val="center"/>
          </w:tcPr>
          <w:p w14:paraId="6DCCCE25">
            <w:pPr>
              <w:jc w:val="center"/>
              <w:rPr>
                <w:rFonts w:ascii="宋体" w:hAnsi="宋体" w:eastAsia="宋体" w:cs="宋体"/>
                <w:kern w:val="0"/>
                <w:sz w:val="21"/>
                <w:szCs w:val="21"/>
              </w:rPr>
            </w:pPr>
            <w:r>
              <w:rPr>
                <w:rFonts w:hint="eastAsia" w:ascii="宋体" w:hAnsi="宋体" w:eastAsia="宋体" w:cs="宋体"/>
                <w:kern w:val="0"/>
                <w:sz w:val="21"/>
                <w:szCs w:val="21"/>
              </w:rPr>
              <w:t>33.14</w:t>
            </w:r>
          </w:p>
        </w:tc>
        <w:tc>
          <w:tcPr>
            <w:tcW w:w="795" w:type="dxa"/>
            <w:vAlign w:val="center"/>
          </w:tcPr>
          <w:p w14:paraId="5793FCA7">
            <w:pPr>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868" w:type="dxa"/>
            <w:vAlign w:val="center"/>
          </w:tcPr>
          <w:p w14:paraId="5470E732">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r w14:paraId="52A4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3BB0D21C">
            <w:pPr>
              <w:jc w:val="left"/>
              <w:rPr>
                <w:rFonts w:ascii="宋体" w:hAnsi="宋体" w:eastAsia="宋体" w:cs="宋体"/>
                <w:kern w:val="0"/>
                <w:sz w:val="21"/>
                <w:szCs w:val="21"/>
              </w:rPr>
            </w:pPr>
            <w:r>
              <w:rPr>
                <w:rFonts w:hint="eastAsia" w:ascii="宋体" w:hAnsi="宋体" w:eastAsia="宋体" w:cs="宋体"/>
                <w:kern w:val="0"/>
                <w:sz w:val="21"/>
                <w:szCs w:val="21"/>
              </w:rPr>
              <w:t>C320602G2021-0097</w:t>
            </w:r>
          </w:p>
        </w:tc>
        <w:tc>
          <w:tcPr>
            <w:tcW w:w="2687" w:type="dxa"/>
            <w:vAlign w:val="center"/>
          </w:tcPr>
          <w:p w14:paraId="61EE1BC1">
            <w:pPr>
              <w:jc w:val="left"/>
              <w:rPr>
                <w:rFonts w:ascii="宋体" w:hAnsi="宋体" w:eastAsia="宋体" w:cs="宋体"/>
                <w:kern w:val="0"/>
                <w:sz w:val="21"/>
                <w:szCs w:val="21"/>
              </w:rPr>
            </w:pPr>
            <w:r>
              <w:rPr>
                <w:rFonts w:hint="eastAsia" w:ascii="宋体" w:hAnsi="宋体" w:eastAsia="宋体" w:cs="宋体"/>
                <w:kern w:val="0"/>
                <w:sz w:val="21"/>
                <w:szCs w:val="21"/>
              </w:rPr>
              <w:t>南通新宏基投资管理有限公司</w:t>
            </w:r>
          </w:p>
        </w:tc>
        <w:tc>
          <w:tcPr>
            <w:tcW w:w="2197" w:type="dxa"/>
            <w:vAlign w:val="center"/>
          </w:tcPr>
          <w:p w14:paraId="5D0E4A43">
            <w:pPr>
              <w:jc w:val="left"/>
              <w:rPr>
                <w:rFonts w:ascii="宋体" w:hAnsi="宋体" w:eastAsia="宋体" w:cs="宋体"/>
                <w:kern w:val="0"/>
                <w:sz w:val="21"/>
                <w:szCs w:val="21"/>
              </w:rPr>
            </w:pPr>
            <w:r>
              <w:rPr>
                <w:rFonts w:hint="eastAsia" w:ascii="宋体" w:hAnsi="宋体" w:eastAsia="宋体" w:cs="宋体"/>
                <w:kern w:val="0"/>
                <w:sz w:val="21"/>
                <w:szCs w:val="21"/>
              </w:rPr>
              <w:t>崇川区崇文路1号启瑞广场</w:t>
            </w:r>
          </w:p>
        </w:tc>
        <w:tc>
          <w:tcPr>
            <w:tcW w:w="1665" w:type="dxa"/>
            <w:vAlign w:val="center"/>
          </w:tcPr>
          <w:p w14:paraId="0CC0E0B7">
            <w:pPr>
              <w:jc w:val="center"/>
              <w:rPr>
                <w:rFonts w:ascii="宋体" w:hAnsi="宋体" w:eastAsia="宋体" w:cs="宋体"/>
                <w:kern w:val="0"/>
                <w:sz w:val="21"/>
                <w:szCs w:val="21"/>
              </w:rPr>
            </w:pPr>
            <w:r>
              <w:rPr>
                <w:rFonts w:hint="eastAsia" w:ascii="宋体" w:hAnsi="宋体" w:eastAsia="宋体" w:cs="宋体"/>
                <w:kern w:val="0"/>
                <w:sz w:val="21"/>
                <w:szCs w:val="21"/>
              </w:rPr>
              <w:t>193.2</w:t>
            </w:r>
          </w:p>
        </w:tc>
        <w:tc>
          <w:tcPr>
            <w:tcW w:w="795" w:type="dxa"/>
            <w:vAlign w:val="center"/>
          </w:tcPr>
          <w:p w14:paraId="747420D4">
            <w:pPr>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868" w:type="dxa"/>
            <w:vAlign w:val="center"/>
          </w:tcPr>
          <w:p w14:paraId="5A3B75B1">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r w14:paraId="0706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549C52EC">
            <w:pPr>
              <w:jc w:val="left"/>
              <w:rPr>
                <w:rFonts w:ascii="宋体" w:hAnsi="宋体" w:eastAsia="宋体" w:cs="宋体"/>
                <w:kern w:val="0"/>
                <w:sz w:val="21"/>
                <w:szCs w:val="21"/>
              </w:rPr>
            </w:pPr>
            <w:r>
              <w:rPr>
                <w:rFonts w:hint="eastAsia" w:ascii="宋体" w:hAnsi="宋体" w:eastAsia="宋体" w:cs="宋体"/>
                <w:kern w:val="0"/>
                <w:sz w:val="21"/>
                <w:szCs w:val="21"/>
              </w:rPr>
              <w:t>C320602G2021-0051</w:t>
            </w:r>
          </w:p>
        </w:tc>
        <w:tc>
          <w:tcPr>
            <w:tcW w:w="2687" w:type="dxa"/>
            <w:vAlign w:val="center"/>
          </w:tcPr>
          <w:p w14:paraId="40A7F6AC">
            <w:pPr>
              <w:jc w:val="left"/>
              <w:rPr>
                <w:rFonts w:ascii="宋体" w:hAnsi="宋体" w:eastAsia="宋体" w:cs="宋体"/>
                <w:kern w:val="0"/>
                <w:sz w:val="21"/>
                <w:szCs w:val="21"/>
              </w:rPr>
            </w:pPr>
            <w:r>
              <w:rPr>
                <w:rFonts w:hint="eastAsia" w:ascii="宋体" w:hAnsi="宋体" w:eastAsia="宋体" w:cs="宋体"/>
                <w:kern w:val="0"/>
                <w:sz w:val="21"/>
                <w:szCs w:val="21"/>
              </w:rPr>
              <w:t>南通希悦酒店管理有限公司</w:t>
            </w:r>
          </w:p>
        </w:tc>
        <w:tc>
          <w:tcPr>
            <w:tcW w:w="2197" w:type="dxa"/>
            <w:vAlign w:val="center"/>
          </w:tcPr>
          <w:p w14:paraId="65AE73C9">
            <w:pPr>
              <w:jc w:val="left"/>
              <w:rPr>
                <w:rFonts w:ascii="宋体" w:hAnsi="宋体" w:eastAsia="宋体" w:cs="宋体"/>
                <w:kern w:val="0"/>
                <w:sz w:val="21"/>
                <w:szCs w:val="21"/>
              </w:rPr>
            </w:pPr>
            <w:r>
              <w:rPr>
                <w:rFonts w:hint="eastAsia" w:ascii="宋体" w:hAnsi="宋体" w:eastAsia="宋体" w:cs="宋体"/>
                <w:kern w:val="0"/>
                <w:sz w:val="21"/>
                <w:szCs w:val="21"/>
              </w:rPr>
              <w:t>崇川区濠西路99号尚德城邦C座</w:t>
            </w:r>
          </w:p>
        </w:tc>
        <w:tc>
          <w:tcPr>
            <w:tcW w:w="1665" w:type="dxa"/>
            <w:vAlign w:val="center"/>
          </w:tcPr>
          <w:p w14:paraId="680932D0">
            <w:pPr>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795" w:type="dxa"/>
            <w:vAlign w:val="center"/>
          </w:tcPr>
          <w:p w14:paraId="47D8ED7A">
            <w:pPr>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868" w:type="dxa"/>
            <w:vAlign w:val="center"/>
          </w:tcPr>
          <w:p w14:paraId="024EBD4D">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r w14:paraId="3DE0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339EB010">
            <w:pPr>
              <w:jc w:val="left"/>
              <w:rPr>
                <w:rFonts w:ascii="宋体" w:hAnsi="宋体" w:eastAsia="宋体" w:cs="宋体"/>
                <w:kern w:val="0"/>
                <w:sz w:val="21"/>
                <w:szCs w:val="21"/>
              </w:rPr>
            </w:pPr>
            <w:r>
              <w:rPr>
                <w:rFonts w:hint="eastAsia" w:ascii="宋体" w:hAnsi="宋体" w:eastAsia="宋体" w:cs="宋体"/>
                <w:kern w:val="0"/>
                <w:sz w:val="21"/>
                <w:szCs w:val="21"/>
              </w:rPr>
              <w:t>C320602G2021-0051</w:t>
            </w:r>
          </w:p>
        </w:tc>
        <w:tc>
          <w:tcPr>
            <w:tcW w:w="2687" w:type="dxa"/>
            <w:vAlign w:val="center"/>
          </w:tcPr>
          <w:p w14:paraId="0FA8D31D">
            <w:pPr>
              <w:jc w:val="left"/>
              <w:rPr>
                <w:rFonts w:ascii="宋体" w:hAnsi="宋体" w:eastAsia="宋体" w:cs="宋体"/>
                <w:kern w:val="0"/>
                <w:sz w:val="21"/>
                <w:szCs w:val="21"/>
              </w:rPr>
            </w:pPr>
            <w:r>
              <w:rPr>
                <w:rFonts w:hint="eastAsia" w:ascii="宋体" w:hAnsi="宋体" w:eastAsia="宋体" w:cs="宋体"/>
                <w:kern w:val="0"/>
                <w:sz w:val="21"/>
                <w:szCs w:val="21"/>
              </w:rPr>
              <w:t>江苏省南通田家炳中学</w:t>
            </w:r>
          </w:p>
        </w:tc>
        <w:tc>
          <w:tcPr>
            <w:tcW w:w="2197" w:type="dxa"/>
            <w:vAlign w:val="center"/>
          </w:tcPr>
          <w:p w14:paraId="1AF967B0">
            <w:pPr>
              <w:jc w:val="left"/>
              <w:rPr>
                <w:rFonts w:ascii="宋体" w:hAnsi="宋体" w:eastAsia="宋体" w:cs="宋体"/>
                <w:kern w:val="0"/>
                <w:sz w:val="21"/>
                <w:szCs w:val="21"/>
              </w:rPr>
            </w:pPr>
            <w:r>
              <w:rPr>
                <w:rFonts w:hint="eastAsia" w:ascii="宋体" w:hAnsi="宋体" w:eastAsia="宋体" w:cs="宋体"/>
                <w:kern w:val="0"/>
                <w:sz w:val="21"/>
                <w:szCs w:val="21"/>
              </w:rPr>
              <w:t>崇川区南园路21号</w:t>
            </w:r>
          </w:p>
        </w:tc>
        <w:tc>
          <w:tcPr>
            <w:tcW w:w="1665" w:type="dxa"/>
            <w:vAlign w:val="center"/>
          </w:tcPr>
          <w:p w14:paraId="06648494">
            <w:pPr>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795" w:type="dxa"/>
            <w:vAlign w:val="center"/>
          </w:tcPr>
          <w:p w14:paraId="75AC615C">
            <w:pPr>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868" w:type="dxa"/>
            <w:vAlign w:val="center"/>
          </w:tcPr>
          <w:p w14:paraId="44A70E93">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r w14:paraId="3C94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4480481B">
            <w:pPr>
              <w:jc w:val="left"/>
              <w:rPr>
                <w:rFonts w:ascii="宋体" w:hAnsi="宋体" w:eastAsia="宋体" w:cs="宋体"/>
                <w:kern w:val="0"/>
                <w:sz w:val="21"/>
                <w:szCs w:val="21"/>
              </w:rPr>
            </w:pPr>
          </w:p>
        </w:tc>
        <w:tc>
          <w:tcPr>
            <w:tcW w:w="2687" w:type="dxa"/>
            <w:vAlign w:val="center"/>
          </w:tcPr>
          <w:p w14:paraId="043A6C05">
            <w:pPr>
              <w:jc w:val="left"/>
              <w:rPr>
                <w:rFonts w:ascii="宋体" w:hAnsi="宋体" w:eastAsia="宋体" w:cs="宋体"/>
                <w:kern w:val="0"/>
                <w:sz w:val="21"/>
                <w:szCs w:val="21"/>
              </w:rPr>
            </w:pPr>
            <w:r>
              <w:rPr>
                <w:rFonts w:hint="eastAsia" w:ascii="宋体" w:hAnsi="宋体" w:eastAsia="宋体" w:cs="宋体"/>
                <w:kern w:val="0"/>
                <w:sz w:val="21"/>
                <w:szCs w:val="21"/>
              </w:rPr>
              <w:t>江苏省苏建集团有限公司南通崇川分公司</w:t>
            </w:r>
          </w:p>
        </w:tc>
        <w:tc>
          <w:tcPr>
            <w:tcW w:w="2197" w:type="dxa"/>
            <w:vAlign w:val="center"/>
          </w:tcPr>
          <w:p w14:paraId="2829335F">
            <w:pPr>
              <w:jc w:val="left"/>
              <w:rPr>
                <w:rFonts w:ascii="宋体" w:hAnsi="宋体" w:eastAsia="宋体" w:cs="宋体"/>
                <w:kern w:val="0"/>
                <w:sz w:val="21"/>
                <w:szCs w:val="21"/>
              </w:rPr>
            </w:pPr>
            <w:r>
              <w:rPr>
                <w:rFonts w:hint="eastAsia" w:ascii="宋体" w:hAnsi="宋体" w:eastAsia="宋体" w:cs="宋体"/>
                <w:kern w:val="0"/>
                <w:sz w:val="21"/>
                <w:szCs w:val="21"/>
              </w:rPr>
              <w:t>崇川区段家坝路148号</w:t>
            </w:r>
          </w:p>
        </w:tc>
        <w:tc>
          <w:tcPr>
            <w:tcW w:w="1665" w:type="dxa"/>
            <w:vAlign w:val="center"/>
          </w:tcPr>
          <w:p w14:paraId="430DFA03">
            <w:pPr>
              <w:jc w:val="center"/>
              <w:rPr>
                <w:rFonts w:ascii="宋体" w:hAnsi="宋体" w:eastAsia="宋体" w:cs="宋体"/>
                <w:kern w:val="0"/>
                <w:sz w:val="21"/>
                <w:szCs w:val="21"/>
              </w:rPr>
            </w:pPr>
            <w:r>
              <w:rPr>
                <w:rFonts w:hint="eastAsia" w:ascii="宋体" w:hAnsi="宋体" w:eastAsia="宋体" w:cs="宋体"/>
                <w:kern w:val="0"/>
                <w:sz w:val="21"/>
                <w:szCs w:val="21"/>
              </w:rPr>
              <w:t>138.6</w:t>
            </w:r>
          </w:p>
        </w:tc>
        <w:tc>
          <w:tcPr>
            <w:tcW w:w="795" w:type="dxa"/>
            <w:vAlign w:val="center"/>
          </w:tcPr>
          <w:p w14:paraId="68784196">
            <w:pPr>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868" w:type="dxa"/>
            <w:vAlign w:val="center"/>
          </w:tcPr>
          <w:p w14:paraId="14BDE182">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r w14:paraId="36E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Align w:val="center"/>
          </w:tcPr>
          <w:p w14:paraId="4ED8C9F2">
            <w:pPr>
              <w:jc w:val="left"/>
              <w:rPr>
                <w:rFonts w:ascii="宋体" w:hAnsi="宋体" w:eastAsia="宋体" w:cs="宋体"/>
                <w:kern w:val="0"/>
                <w:sz w:val="21"/>
                <w:szCs w:val="21"/>
              </w:rPr>
            </w:pPr>
            <w:r>
              <w:rPr>
                <w:rFonts w:hint="eastAsia" w:ascii="宋体" w:hAnsi="宋体" w:eastAsia="宋体" w:cs="宋体"/>
                <w:kern w:val="0"/>
                <w:sz w:val="21"/>
                <w:szCs w:val="21"/>
              </w:rPr>
              <w:t>C320611G2022-0006</w:t>
            </w:r>
          </w:p>
        </w:tc>
        <w:tc>
          <w:tcPr>
            <w:tcW w:w="2687" w:type="dxa"/>
            <w:vAlign w:val="center"/>
          </w:tcPr>
          <w:p w14:paraId="46AEE79F">
            <w:pPr>
              <w:jc w:val="left"/>
              <w:rPr>
                <w:rFonts w:ascii="宋体" w:hAnsi="宋体" w:eastAsia="宋体" w:cs="宋体"/>
                <w:kern w:val="0"/>
                <w:sz w:val="21"/>
                <w:szCs w:val="21"/>
              </w:rPr>
            </w:pPr>
            <w:r>
              <w:rPr>
                <w:rFonts w:hint="eastAsia" w:ascii="宋体" w:hAnsi="宋体" w:eastAsia="宋体" w:cs="宋体"/>
                <w:kern w:val="0"/>
                <w:sz w:val="21"/>
                <w:szCs w:val="21"/>
              </w:rPr>
              <w:t>百安谊家商业发展（江苏）有限公司</w:t>
            </w:r>
          </w:p>
        </w:tc>
        <w:tc>
          <w:tcPr>
            <w:tcW w:w="2197" w:type="dxa"/>
            <w:vAlign w:val="center"/>
          </w:tcPr>
          <w:p w14:paraId="76599A44">
            <w:pPr>
              <w:jc w:val="left"/>
              <w:rPr>
                <w:rFonts w:ascii="宋体" w:hAnsi="宋体" w:eastAsia="宋体" w:cs="宋体"/>
                <w:kern w:val="0"/>
                <w:sz w:val="21"/>
                <w:szCs w:val="21"/>
              </w:rPr>
            </w:pPr>
            <w:r>
              <w:rPr>
                <w:rFonts w:hint="eastAsia" w:ascii="宋体" w:hAnsi="宋体" w:eastAsia="宋体" w:cs="宋体"/>
                <w:kern w:val="0"/>
                <w:sz w:val="21"/>
                <w:szCs w:val="21"/>
              </w:rPr>
              <w:t>北大街百安谊家进口馆</w:t>
            </w:r>
          </w:p>
        </w:tc>
        <w:tc>
          <w:tcPr>
            <w:tcW w:w="1665" w:type="dxa"/>
            <w:vAlign w:val="center"/>
          </w:tcPr>
          <w:p w14:paraId="2EB89FEE">
            <w:pPr>
              <w:jc w:val="center"/>
              <w:rPr>
                <w:rFonts w:ascii="宋体" w:hAnsi="宋体" w:eastAsia="宋体" w:cs="宋体"/>
                <w:kern w:val="0"/>
                <w:sz w:val="21"/>
                <w:szCs w:val="21"/>
              </w:rPr>
            </w:pPr>
            <w:r>
              <w:rPr>
                <w:rFonts w:hint="eastAsia" w:ascii="宋体" w:hAnsi="宋体" w:eastAsia="宋体" w:cs="宋体"/>
                <w:kern w:val="0"/>
                <w:sz w:val="21"/>
                <w:szCs w:val="21"/>
              </w:rPr>
              <w:t>63.2</w:t>
            </w:r>
          </w:p>
        </w:tc>
        <w:tc>
          <w:tcPr>
            <w:tcW w:w="795" w:type="dxa"/>
            <w:vAlign w:val="center"/>
          </w:tcPr>
          <w:p w14:paraId="2311A8AE">
            <w:pPr>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868" w:type="dxa"/>
            <w:vAlign w:val="center"/>
          </w:tcPr>
          <w:p w14:paraId="3EA055B2">
            <w:pPr>
              <w:jc w:val="center"/>
              <w:rPr>
                <w:rFonts w:ascii="宋体" w:hAnsi="宋体" w:eastAsia="宋体" w:cs="宋体"/>
                <w:kern w:val="0"/>
                <w:sz w:val="21"/>
                <w:szCs w:val="21"/>
              </w:rPr>
            </w:pPr>
            <w:r>
              <w:rPr>
                <w:rFonts w:hint="eastAsia" w:ascii="宋体" w:hAnsi="宋体" w:eastAsia="宋体" w:cs="宋体"/>
                <w:kern w:val="0"/>
                <w:sz w:val="21"/>
                <w:szCs w:val="21"/>
              </w:rPr>
              <w:t>I承压</w:t>
            </w:r>
          </w:p>
        </w:tc>
      </w:tr>
    </w:tbl>
    <w:p w14:paraId="32C30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3.工作任务</w:t>
      </w:r>
    </w:p>
    <w:p w14:paraId="18C35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1）收集南通市区区域自然地理、河流水系、水文气象、水环境、现状供水工程、供水量等资料，综合评价项目所在区域水资源开发利用程度；充分收集、分析研究现有水文地质、工程地质、地热地质和环境地质等资料的基础上，分析南通市主城区浅层地温能地热地质背景条件；</w:t>
      </w:r>
    </w:p>
    <w:p w14:paraId="4CF40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（2）调查区域水文、地质条件；水资源状况调查评价，分析区域水资源量和分布以及区域地下水水质状况；水资源开发利用状况调查；地下水位动态变化情况等；</w:t>
      </w:r>
    </w:p>
    <w:p w14:paraId="2ACEF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（3）调查市区地下水源热泵企业基本概况、原审批取用水情况；项目取用水方案、暖通方案、热泵机组选型及参数、热泵服务范围及启用方案、回灌方案等；</w:t>
      </w:r>
    </w:p>
    <w:p w14:paraId="5E2EE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4）调查核实市区地下水源热泵企业近期用水和回灌量及取水回灌过程，并依据国家和地方相关产业政策和区域发展规划，分析评估项目用水定额、用水过程、用水水平以及相应节水措施，综合评价南通市区地下水源热泵项目取用水的合理性和回灌的可行性；依据市区水文、水文地质资料，分析项目区域可利用水资源量，评估地下水源热泵项目取水和回灌可靠性。</w:t>
      </w:r>
    </w:p>
    <w:p w14:paraId="50689D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（5）从水资源管理角度出发，分析评估市区现有地下水源热泵项目取、回灌对水环境、地质环境</w:t>
      </w:r>
      <w:bookmarkStart w:id="0" w:name="_GoBack"/>
      <w:bookmarkEnd w:id="0"/>
      <w:r>
        <w:rPr>
          <w:rStyle w:val="5"/>
          <w:rFonts w:hint="eastAsia" w:hAnsi="宋体" w:eastAsia="宋体"/>
          <w:sz w:val="24"/>
          <w:szCs w:val="24"/>
        </w:rPr>
        <w:t>以及其他取水用户的影响；</w:t>
      </w:r>
    </w:p>
    <w:p w14:paraId="572A3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6）调查地下水源热泵项目用水管理、节水管理、节能减排、水资源保护、浅层地温能资源保护措施，分析其可行性和存在问题，并提出相应措施，进一步为南通市浅层地温能资源开发利用和保护提供技术支持。</w:t>
      </w:r>
    </w:p>
    <w:p w14:paraId="26B67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（6）根据以往资料以及目前运行现状，分析南通市区地下水源热泵运行状态以及对地下水的影响，评估可持续性等。</w:t>
      </w:r>
    </w:p>
    <w:p w14:paraId="6141C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4.提交成果</w:t>
      </w:r>
    </w:p>
    <w:p w14:paraId="0C0AF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中标供应商自备地下水水位监测等专业工具，根据用水单位冬季和夏季水源热泵系统运行的原始记录，按要求于2025年12月10日前编制完成水源热泵系统使用状况评估报告</w:t>
      </w:r>
    </w:p>
    <w:p w14:paraId="77177597">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三、服务期限</w:t>
      </w:r>
    </w:p>
    <w:p w14:paraId="47303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Ansi="宋体" w:eastAsia="宋体"/>
          <w:sz w:val="24"/>
          <w:szCs w:val="24"/>
        </w:rPr>
      </w:pPr>
      <w:r>
        <w:rPr>
          <w:rStyle w:val="5"/>
          <w:rFonts w:hint="eastAsia" w:hAnsi="宋体" w:eastAsia="宋体"/>
          <w:sz w:val="24"/>
          <w:szCs w:val="24"/>
        </w:rPr>
        <w:t>自合同签订之日起至2025年12月10日。</w:t>
      </w:r>
    </w:p>
    <w:p w14:paraId="10B3CD41">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六、付款方式</w:t>
      </w:r>
    </w:p>
    <w:p w14:paraId="399AC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Style w:val="5"/>
          <w:rFonts w:hint="eastAsia" w:hAnsi="宋体" w:eastAsia="宋体"/>
          <w:sz w:val="24"/>
          <w:szCs w:val="24"/>
        </w:rPr>
        <w:t>合同签订后支付合同额的40%；完成合同规定的工作内容，验收合格后支付余款</w:t>
      </w:r>
      <w:r>
        <w:rPr>
          <w:rStyle w:val="5"/>
          <w:rFonts w:hint="eastAsia" w:hAnsi="宋体" w:eastAsia="宋体"/>
          <w:sz w:val="24"/>
          <w:szCs w:val="24"/>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320F4"/>
    <w:rsid w:val="2FB3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2025-09-30T05:47:00Z</dcterms:created>
  <dc:creator>le</dc:creator>
  <cp:lastModifiedBy>le</cp:lastModifiedBy>
  <dcterms:modified xsi:type="dcterms:W3CDTF">2025-09-30T05:48:24Z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5DE1B04D9E7C4833A8EC3647700EAB54_11</vt:lpwstr>
  </property>
  <property fmtid="{D5CDD505-2E9C-101B-9397-08002B2CF9AE}" pid="4" name="KSOTemplateDocerSaveRecord">
    <vt:lpwstr>eyJoZGlkIjoiNzc3NGZiODMwZWIxNGQ1ZGM3NzU3NzM0MzJmZjJlOWYiLCJ1c2VySWQiOiIxMjY5NzgzNzg4In0=</vt:lpwstr>
  </property>
</Properties>
</file>