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A9215">
      <w:pPr>
        <w:snapToGrid w:val="0"/>
        <w:spacing w:line="590" w:lineRule="exact"/>
        <w:jc w:val="center"/>
        <w:rPr>
          <w:rFonts w:ascii="宋体" w:hAnsi="宋体" w:cs="仿宋"/>
          <w:b/>
          <w:bCs/>
          <w:sz w:val="44"/>
          <w:szCs w:val="44"/>
        </w:rPr>
      </w:pPr>
    </w:p>
    <w:p w14:paraId="6F03222C">
      <w:pPr>
        <w:jc w:val="center"/>
        <w:rPr>
          <w:rFonts w:ascii="宋体" w:hAnsi="宋体"/>
          <w:sz w:val="36"/>
          <w:szCs w:val="36"/>
        </w:rPr>
      </w:pPr>
      <w:r>
        <w:rPr>
          <w:rFonts w:hint="eastAsia" w:ascii="宋体" w:hAnsi="宋体" w:cs="仿宋"/>
          <w:b/>
          <w:bCs/>
          <w:sz w:val="36"/>
          <w:szCs w:val="36"/>
        </w:rPr>
        <w:t>2026年新型防汛应急抢险物资器材采购项目</w:t>
      </w:r>
    </w:p>
    <w:p w14:paraId="50BD5012">
      <w:pPr>
        <w:pStyle w:val="89"/>
        <w:ind w:firstLine="420"/>
        <w:rPr>
          <w:rFonts w:ascii="宋体" w:hAnsi="宋体"/>
        </w:rPr>
      </w:pPr>
    </w:p>
    <w:p w14:paraId="387D4D69">
      <w:pPr>
        <w:rPr>
          <w:rFonts w:ascii="宋体" w:hAnsi="宋体"/>
        </w:rPr>
      </w:pPr>
    </w:p>
    <w:p w14:paraId="6AAE9F23">
      <w:pPr>
        <w:jc w:val="center"/>
        <w:rPr>
          <w:rFonts w:ascii="宋体" w:hAnsi="宋体" w:cs="仿宋"/>
          <w:b/>
          <w:sz w:val="100"/>
          <w:szCs w:val="100"/>
        </w:rPr>
      </w:pPr>
      <w:r>
        <w:rPr>
          <w:rFonts w:hint="eastAsia" w:ascii="宋体" w:hAnsi="宋体" w:cs="仿宋"/>
          <w:b/>
          <w:sz w:val="100"/>
          <w:szCs w:val="100"/>
        </w:rPr>
        <w:t>政府采购</w:t>
      </w:r>
    </w:p>
    <w:p w14:paraId="6D2D344A">
      <w:pPr>
        <w:jc w:val="center"/>
        <w:rPr>
          <w:rFonts w:ascii="宋体" w:hAnsi="宋体" w:cs="仿宋"/>
          <w:b/>
          <w:sz w:val="100"/>
          <w:szCs w:val="100"/>
        </w:rPr>
      </w:pPr>
      <w:r>
        <w:rPr>
          <w:rFonts w:hint="eastAsia" w:ascii="宋体" w:hAnsi="宋体" w:cs="仿宋"/>
          <w:b/>
          <w:sz w:val="100"/>
          <w:szCs w:val="100"/>
        </w:rPr>
        <w:t>公开招标文件</w:t>
      </w:r>
    </w:p>
    <w:p w14:paraId="12100B83">
      <w:pPr>
        <w:keepNext/>
        <w:spacing w:line="500" w:lineRule="exact"/>
        <w:jc w:val="center"/>
        <w:outlineLvl w:val="5"/>
        <w:rPr>
          <w:rFonts w:ascii="宋体" w:hAnsi="宋体" w:cs="仿宋"/>
          <w:b/>
          <w:kern w:val="0"/>
          <w:sz w:val="44"/>
          <w:szCs w:val="20"/>
        </w:rPr>
      </w:pPr>
    </w:p>
    <w:p w14:paraId="09B244A5">
      <w:pPr>
        <w:spacing w:line="500" w:lineRule="exact"/>
        <w:jc w:val="center"/>
        <w:rPr>
          <w:rFonts w:ascii="宋体" w:hAnsi="宋体" w:cs="仿宋"/>
          <w:b/>
          <w:sz w:val="36"/>
        </w:rPr>
      </w:pPr>
    </w:p>
    <w:p w14:paraId="0B4E3116">
      <w:pPr>
        <w:pStyle w:val="5"/>
      </w:pPr>
    </w:p>
    <w:p w14:paraId="66483A61">
      <w:pPr>
        <w:spacing w:line="500" w:lineRule="exact"/>
        <w:jc w:val="center"/>
        <w:rPr>
          <w:rFonts w:ascii="宋体" w:hAnsi="宋体" w:cs="仿宋"/>
          <w:b/>
          <w:sz w:val="36"/>
        </w:rPr>
      </w:pPr>
    </w:p>
    <w:p w14:paraId="011C71CD">
      <w:pPr>
        <w:spacing w:line="500" w:lineRule="exact"/>
        <w:jc w:val="center"/>
        <w:rPr>
          <w:rFonts w:ascii="宋体" w:hAnsi="宋体" w:cs="仿宋"/>
          <w:b/>
          <w:sz w:val="36"/>
        </w:rPr>
      </w:pPr>
    </w:p>
    <w:p w14:paraId="07100605">
      <w:pPr>
        <w:spacing w:line="500" w:lineRule="exact"/>
        <w:rPr>
          <w:rFonts w:ascii="宋体" w:hAnsi="宋体" w:cs="仿宋"/>
        </w:rPr>
      </w:pPr>
    </w:p>
    <w:p w14:paraId="40539FF4">
      <w:pPr>
        <w:spacing w:line="480" w:lineRule="auto"/>
        <w:jc w:val="center"/>
        <w:rPr>
          <w:rFonts w:ascii="宋体" w:hAnsi="宋体" w:cs="仿宋"/>
          <w:sz w:val="32"/>
        </w:rPr>
      </w:pPr>
    </w:p>
    <w:p w14:paraId="0CEAB407">
      <w:pPr>
        <w:pStyle w:val="94"/>
        <w:ind w:firstLine="640"/>
        <w:rPr>
          <w:rFonts w:hAnsi="宋体" w:cs="仿宋"/>
          <w:sz w:val="32"/>
        </w:rPr>
      </w:pPr>
    </w:p>
    <w:p w14:paraId="31284E91">
      <w:pPr>
        <w:rPr>
          <w:rFonts w:ascii="宋体" w:hAnsi="宋体" w:cs="仿宋"/>
          <w:sz w:val="32"/>
        </w:rPr>
      </w:pPr>
    </w:p>
    <w:p w14:paraId="09CAF8F2">
      <w:pPr>
        <w:pStyle w:val="94"/>
        <w:ind w:firstLine="420"/>
      </w:pPr>
    </w:p>
    <w:p w14:paraId="08B6098E">
      <w:pPr>
        <w:widowControl/>
        <w:shd w:val="clear" w:color="auto" w:fill="FFFFFF"/>
        <w:adjustRightInd w:val="0"/>
        <w:snapToGrid w:val="0"/>
        <w:spacing w:line="480" w:lineRule="auto"/>
        <w:ind w:firstLine="723" w:firstLineChars="200"/>
        <w:rPr>
          <w:rFonts w:ascii="宋体" w:hAnsi="宋体" w:cs="仿宋"/>
          <w:b/>
          <w:bCs/>
          <w:sz w:val="36"/>
          <w:szCs w:val="36"/>
        </w:rPr>
      </w:pPr>
      <w:r>
        <w:rPr>
          <w:rFonts w:hint="eastAsia" w:ascii="宋体" w:hAnsi="宋体" w:cs="仿宋"/>
          <w:b/>
          <w:bCs/>
          <w:sz w:val="36"/>
          <w:szCs w:val="36"/>
        </w:rPr>
        <w:t>采 购 人：南通市水利局</w:t>
      </w:r>
    </w:p>
    <w:p w14:paraId="459798F1">
      <w:pPr>
        <w:widowControl/>
        <w:shd w:val="clear" w:color="auto" w:fill="FFFFFF"/>
        <w:adjustRightInd w:val="0"/>
        <w:snapToGrid w:val="0"/>
        <w:spacing w:line="480" w:lineRule="auto"/>
        <w:ind w:firstLine="361" w:firstLineChars="100"/>
        <w:jc w:val="center"/>
        <w:rPr>
          <w:rFonts w:ascii="宋体" w:hAnsi="宋体" w:cs="仿宋"/>
          <w:b/>
          <w:bCs/>
          <w:sz w:val="36"/>
          <w:szCs w:val="36"/>
        </w:rPr>
      </w:pPr>
      <w:r>
        <w:rPr>
          <w:rFonts w:hint="eastAsia" w:ascii="宋体" w:hAnsi="宋体" w:cs="仿宋"/>
          <w:b/>
          <w:bCs/>
          <w:sz w:val="36"/>
          <w:szCs w:val="36"/>
        </w:rPr>
        <w:t>代理机构：江苏新时代工程项目管理有限公司</w:t>
      </w:r>
    </w:p>
    <w:p w14:paraId="70929BCE">
      <w:pPr>
        <w:adjustRightInd w:val="0"/>
        <w:spacing w:before="120" w:after="120" w:line="480" w:lineRule="auto"/>
        <w:ind w:left="-2" w:right="120"/>
        <w:jc w:val="center"/>
        <w:textAlignment w:val="baseline"/>
        <w:rPr>
          <w:rFonts w:ascii="宋体" w:hAnsi="宋体" w:cs="仿宋"/>
          <w:sz w:val="44"/>
          <w:szCs w:val="44"/>
          <w:lang w:val="zh-CN"/>
        </w:rPr>
      </w:pPr>
      <w:r>
        <w:rPr>
          <w:rFonts w:hint="eastAsia" w:ascii="宋体" w:hAnsi="宋体" w:cs="仿宋"/>
          <w:b/>
          <w:bCs/>
          <w:kern w:val="0"/>
          <w:sz w:val="32"/>
        </w:rPr>
        <w:t>2026年5月</w:t>
      </w:r>
    </w:p>
    <w:p w14:paraId="5E5A6E5F">
      <w:pPr>
        <w:autoSpaceDE w:val="0"/>
        <w:autoSpaceDN w:val="0"/>
        <w:adjustRightInd w:val="0"/>
        <w:snapToGrid w:val="0"/>
        <w:spacing w:line="360" w:lineRule="auto"/>
        <w:jc w:val="center"/>
        <w:rPr>
          <w:rFonts w:ascii="宋体" w:hAnsi="宋体" w:cs="仿宋"/>
          <w:sz w:val="32"/>
          <w:szCs w:val="32"/>
        </w:rPr>
      </w:pPr>
      <w:r>
        <w:rPr>
          <w:rFonts w:ascii="宋体" w:hAnsi="宋体" w:cs="仿宋"/>
          <w:sz w:val="44"/>
          <w:szCs w:val="44"/>
          <w:lang w:val="zh-CN"/>
        </w:rPr>
        <w:br w:type="page"/>
      </w:r>
      <w:r>
        <w:rPr>
          <w:rFonts w:hint="eastAsia" w:ascii="宋体" w:hAnsi="宋体" w:cs="仿宋"/>
          <w:sz w:val="44"/>
          <w:szCs w:val="44"/>
          <w:lang w:val="zh-CN"/>
        </w:rPr>
        <w:t>目 录</w:t>
      </w:r>
    </w:p>
    <w:p w14:paraId="60A998DC">
      <w:pPr>
        <w:autoSpaceDE w:val="0"/>
        <w:autoSpaceDN w:val="0"/>
        <w:adjustRightInd w:val="0"/>
        <w:snapToGrid w:val="0"/>
        <w:spacing w:line="360" w:lineRule="auto"/>
        <w:ind w:firstLine="556"/>
        <w:rPr>
          <w:rFonts w:ascii="宋体" w:hAnsi="宋体" w:cs="仿宋"/>
          <w:sz w:val="32"/>
          <w:szCs w:val="32"/>
        </w:rPr>
      </w:pPr>
      <w:r>
        <w:rPr>
          <w:rFonts w:hint="eastAsia" w:ascii="宋体" w:hAnsi="宋体" w:cs="仿宋"/>
          <w:sz w:val="32"/>
          <w:szCs w:val="32"/>
        </w:rPr>
        <w:t>第一部分  招标公告</w:t>
      </w:r>
    </w:p>
    <w:p w14:paraId="1DB86130">
      <w:pPr>
        <w:autoSpaceDE w:val="0"/>
        <w:autoSpaceDN w:val="0"/>
        <w:adjustRightInd w:val="0"/>
        <w:snapToGrid w:val="0"/>
        <w:spacing w:line="360" w:lineRule="auto"/>
        <w:ind w:firstLine="556"/>
        <w:rPr>
          <w:rFonts w:ascii="宋体" w:hAnsi="宋体" w:cs="仿宋"/>
          <w:sz w:val="32"/>
          <w:szCs w:val="32"/>
        </w:rPr>
      </w:pPr>
      <w:r>
        <w:rPr>
          <w:rFonts w:hint="eastAsia" w:ascii="宋体" w:hAnsi="宋体" w:cs="仿宋"/>
          <w:sz w:val="32"/>
          <w:szCs w:val="32"/>
        </w:rPr>
        <w:t>第二部分  投标须知</w:t>
      </w:r>
    </w:p>
    <w:p w14:paraId="48270A85">
      <w:pPr>
        <w:autoSpaceDE w:val="0"/>
        <w:autoSpaceDN w:val="0"/>
        <w:adjustRightInd w:val="0"/>
        <w:snapToGrid w:val="0"/>
        <w:spacing w:line="360" w:lineRule="auto"/>
        <w:ind w:firstLine="537"/>
        <w:rPr>
          <w:rFonts w:ascii="宋体" w:hAnsi="宋体" w:cs="仿宋"/>
          <w:sz w:val="32"/>
          <w:szCs w:val="32"/>
        </w:rPr>
      </w:pPr>
      <w:r>
        <w:rPr>
          <w:rFonts w:hint="eastAsia" w:ascii="宋体" w:hAnsi="宋体" w:cs="仿宋"/>
          <w:sz w:val="32"/>
          <w:szCs w:val="32"/>
        </w:rPr>
        <w:t>第三部分  项目需求</w:t>
      </w:r>
    </w:p>
    <w:p w14:paraId="5D5843A9">
      <w:pPr>
        <w:autoSpaceDE w:val="0"/>
        <w:autoSpaceDN w:val="0"/>
        <w:adjustRightInd w:val="0"/>
        <w:snapToGrid w:val="0"/>
        <w:spacing w:line="360" w:lineRule="auto"/>
        <w:ind w:firstLine="537"/>
        <w:rPr>
          <w:rFonts w:ascii="宋体" w:hAnsi="宋体" w:cs="仿宋"/>
          <w:sz w:val="32"/>
          <w:szCs w:val="32"/>
        </w:rPr>
      </w:pPr>
      <w:r>
        <w:rPr>
          <w:rFonts w:hint="eastAsia" w:ascii="宋体" w:hAnsi="宋体" w:cs="仿宋"/>
          <w:sz w:val="32"/>
          <w:szCs w:val="32"/>
        </w:rPr>
        <w:t>第四部分  评审方法和评审标准</w:t>
      </w:r>
    </w:p>
    <w:p w14:paraId="2F83A908">
      <w:pPr>
        <w:autoSpaceDE w:val="0"/>
        <w:autoSpaceDN w:val="0"/>
        <w:adjustRightInd w:val="0"/>
        <w:snapToGrid w:val="0"/>
        <w:spacing w:line="360" w:lineRule="auto"/>
        <w:ind w:firstLine="556"/>
        <w:rPr>
          <w:rFonts w:ascii="宋体" w:hAnsi="宋体" w:cs="仿宋"/>
          <w:sz w:val="32"/>
          <w:szCs w:val="32"/>
        </w:rPr>
      </w:pPr>
      <w:r>
        <w:rPr>
          <w:rFonts w:hint="eastAsia" w:ascii="宋体" w:hAnsi="宋体" w:cs="仿宋"/>
          <w:sz w:val="32"/>
          <w:szCs w:val="32"/>
        </w:rPr>
        <w:t>第五部分  响应文件组成</w:t>
      </w:r>
    </w:p>
    <w:p w14:paraId="04F1C9F9">
      <w:pPr>
        <w:autoSpaceDE w:val="0"/>
        <w:autoSpaceDN w:val="0"/>
        <w:adjustRightInd w:val="0"/>
        <w:snapToGrid w:val="0"/>
        <w:spacing w:line="360" w:lineRule="auto"/>
        <w:ind w:firstLine="556"/>
        <w:rPr>
          <w:rFonts w:ascii="宋体" w:hAnsi="宋体" w:cs="仿宋"/>
          <w:sz w:val="32"/>
          <w:szCs w:val="32"/>
        </w:rPr>
      </w:pPr>
      <w:r>
        <w:rPr>
          <w:rFonts w:hint="eastAsia" w:ascii="宋体" w:hAnsi="宋体" w:cs="仿宋"/>
          <w:sz w:val="32"/>
          <w:szCs w:val="32"/>
        </w:rPr>
        <w:t>第六部分  合同样式</w:t>
      </w:r>
    </w:p>
    <w:p w14:paraId="36CE95B0">
      <w:pPr>
        <w:tabs>
          <w:tab w:val="left" w:pos="7740"/>
        </w:tabs>
        <w:spacing w:line="500" w:lineRule="exact"/>
        <w:rPr>
          <w:rFonts w:ascii="宋体" w:hAnsi="宋体" w:cs="仿宋"/>
          <w:bCs/>
          <w:sz w:val="32"/>
          <w:szCs w:val="32"/>
        </w:rPr>
      </w:pPr>
    </w:p>
    <w:p w14:paraId="23E55679">
      <w:pPr>
        <w:tabs>
          <w:tab w:val="left" w:pos="7740"/>
        </w:tabs>
        <w:spacing w:line="500" w:lineRule="exact"/>
        <w:rPr>
          <w:rFonts w:ascii="宋体" w:hAnsi="宋体" w:cs="仿宋"/>
          <w:bCs/>
          <w:sz w:val="32"/>
          <w:szCs w:val="32"/>
        </w:rPr>
      </w:pPr>
    </w:p>
    <w:p w14:paraId="508FD563">
      <w:pPr>
        <w:autoSpaceDE w:val="0"/>
        <w:autoSpaceDN w:val="0"/>
        <w:adjustRightInd w:val="0"/>
        <w:spacing w:line="500" w:lineRule="exact"/>
        <w:jc w:val="center"/>
        <w:rPr>
          <w:rFonts w:ascii="宋体" w:hAnsi="宋体" w:cs="仿宋"/>
          <w:b/>
          <w:bCs/>
          <w:sz w:val="36"/>
          <w:szCs w:val="36"/>
          <w:lang w:val="zh-CN"/>
        </w:rPr>
      </w:pPr>
    </w:p>
    <w:p w14:paraId="39E2BB76">
      <w:pPr>
        <w:autoSpaceDE w:val="0"/>
        <w:autoSpaceDN w:val="0"/>
        <w:adjustRightInd w:val="0"/>
        <w:spacing w:line="500" w:lineRule="exact"/>
        <w:rPr>
          <w:rFonts w:ascii="宋体" w:hAnsi="宋体" w:cs="仿宋"/>
          <w:b/>
          <w:bCs/>
          <w:sz w:val="36"/>
          <w:szCs w:val="36"/>
          <w:lang w:val="zh-CN"/>
        </w:rPr>
      </w:pPr>
    </w:p>
    <w:p w14:paraId="19BFD67E">
      <w:pPr>
        <w:autoSpaceDE w:val="0"/>
        <w:autoSpaceDN w:val="0"/>
        <w:adjustRightInd w:val="0"/>
        <w:spacing w:line="500" w:lineRule="exact"/>
        <w:jc w:val="center"/>
        <w:rPr>
          <w:rFonts w:ascii="宋体" w:hAnsi="宋体" w:cs="仿宋"/>
          <w:b/>
          <w:bCs/>
          <w:sz w:val="36"/>
          <w:szCs w:val="36"/>
          <w:lang w:val="zh-CN"/>
        </w:rPr>
      </w:pPr>
    </w:p>
    <w:p w14:paraId="2CB35CCA">
      <w:pPr>
        <w:autoSpaceDE w:val="0"/>
        <w:autoSpaceDN w:val="0"/>
        <w:adjustRightInd w:val="0"/>
        <w:spacing w:line="500" w:lineRule="exact"/>
        <w:jc w:val="center"/>
        <w:rPr>
          <w:rFonts w:ascii="宋体" w:hAnsi="宋体" w:cs="仿宋"/>
          <w:b/>
          <w:bCs/>
          <w:sz w:val="36"/>
          <w:szCs w:val="36"/>
          <w:lang w:val="zh-CN"/>
        </w:rPr>
      </w:pPr>
    </w:p>
    <w:p w14:paraId="77CC5CEC">
      <w:pPr>
        <w:autoSpaceDE w:val="0"/>
        <w:autoSpaceDN w:val="0"/>
        <w:adjustRightInd w:val="0"/>
        <w:spacing w:line="500" w:lineRule="exact"/>
        <w:jc w:val="center"/>
        <w:rPr>
          <w:rFonts w:ascii="宋体" w:hAnsi="宋体" w:cs="仿宋"/>
          <w:b/>
          <w:bCs/>
          <w:sz w:val="36"/>
          <w:szCs w:val="36"/>
          <w:lang w:val="zh-CN"/>
        </w:rPr>
      </w:pPr>
    </w:p>
    <w:p w14:paraId="6308393D">
      <w:pPr>
        <w:autoSpaceDE w:val="0"/>
        <w:autoSpaceDN w:val="0"/>
        <w:adjustRightInd w:val="0"/>
        <w:spacing w:line="500" w:lineRule="exact"/>
        <w:jc w:val="center"/>
        <w:rPr>
          <w:rFonts w:ascii="宋体" w:hAnsi="宋体" w:cs="仿宋"/>
          <w:b/>
          <w:bCs/>
          <w:sz w:val="36"/>
          <w:szCs w:val="36"/>
          <w:lang w:val="zh-CN"/>
        </w:rPr>
      </w:pPr>
    </w:p>
    <w:p w14:paraId="16AAD247">
      <w:pPr>
        <w:autoSpaceDE w:val="0"/>
        <w:autoSpaceDN w:val="0"/>
        <w:adjustRightInd w:val="0"/>
        <w:spacing w:line="500" w:lineRule="exact"/>
        <w:jc w:val="center"/>
        <w:rPr>
          <w:rFonts w:ascii="宋体" w:hAnsi="宋体" w:cs="仿宋"/>
          <w:b/>
          <w:bCs/>
          <w:sz w:val="36"/>
          <w:szCs w:val="36"/>
          <w:lang w:val="zh-CN"/>
        </w:rPr>
      </w:pPr>
    </w:p>
    <w:p w14:paraId="2312A3A8">
      <w:pPr>
        <w:autoSpaceDE w:val="0"/>
        <w:autoSpaceDN w:val="0"/>
        <w:adjustRightInd w:val="0"/>
        <w:spacing w:line="500" w:lineRule="exact"/>
        <w:jc w:val="center"/>
        <w:rPr>
          <w:rFonts w:ascii="宋体" w:hAnsi="宋体" w:cs="仿宋"/>
          <w:b/>
          <w:bCs/>
          <w:sz w:val="36"/>
          <w:szCs w:val="36"/>
          <w:lang w:val="zh-CN"/>
        </w:rPr>
      </w:pPr>
    </w:p>
    <w:p w14:paraId="45E39F38">
      <w:pPr>
        <w:autoSpaceDE w:val="0"/>
        <w:autoSpaceDN w:val="0"/>
        <w:adjustRightInd w:val="0"/>
        <w:spacing w:line="500" w:lineRule="exact"/>
        <w:jc w:val="center"/>
        <w:rPr>
          <w:rFonts w:ascii="宋体" w:hAnsi="宋体" w:cs="仿宋"/>
          <w:b/>
          <w:bCs/>
          <w:sz w:val="36"/>
          <w:szCs w:val="36"/>
          <w:lang w:val="zh-CN"/>
        </w:rPr>
      </w:pPr>
    </w:p>
    <w:p w14:paraId="05E35097">
      <w:pPr>
        <w:autoSpaceDE w:val="0"/>
        <w:autoSpaceDN w:val="0"/>
        <w:adjustRightInd w:val="0"/>
        <w:spacing w:line="500" w:lineRule="exact"/>
        <w:jc w:val="center"/>
        <w:rPr>
          <w:rFonts w:ascii="宋体" w:hAnsi="宋体" w:cs="仿宋"/>
          <w:b/>
          <w:bCs/>
          <w:sz w:val="36"/>
          <w:szCs w:val="36"/>
          <w:lang w:val="zh-CN"/>
        </w:rPr>
      </w:pPr>
    </w:p>
    <w:p w14:paraId="498870D5">
      <w:pPr>
        <w:autoSpaceDE w:val="0"/>
        <w:autoSpaceDN w:val="0"/>
        <w:adjustRightInd w:val="0"/>
        <w:spacing w:line="500" w:lineRule="exact"/>
        <w:jc w:val="center"/>
        <w:rPr>
          <w:rFonts w:ascii="宋体" w:hAnsi="宋体" w:cs="仿宋"/>
          <w:b/>
          <w:bCs/>
          <w:sz w:val="36"/>
          <w:szCs w:val="36"/>
          <w:lang w:val="zh-CN"/>
        </w:rPr>
      </w:pPr>
    </w:p>
    <w:p w14:paraId="50873AEC">
      <w:pPr>
        <w:autoSpaceDE w:val="0"/>
        <w:autoSpaceDN w:val="0"/>
        <w:adjustRightInd w:val="0"/>
        <w:spacing w:line="500" w:lineRule="exact"/>
        <w:jc w:val="center"/>
        <w:rPr>
          <w:rFonts w:ascii="宋体" w:hAnsi="宋体" w:cs="仿宋"/>
          <w:b/>
          <w:bCs/>
          <w:sz w:val="36"/>
          <w:szCs w:val="36"/>
          <w:lang w:val="zh-CN"/>
        </w:rPr>
      </w:pPr>
    </w:p>
    <w:p w14:paraId="7D98C3EE">
      <w:pPr>
        <w:autoSpaceDE w:val="0"/>
        <w:autoSpaceDN w:val="0"/>
        <w:adjustRightInd w:val="0"/>
        <w:spacing w:line="500" w:lineRule="exact"/>
        <w:jc w:val="center"/>
        <w:rPr>
          <w:rFonts w:ascii="宋体" w:hAnsi="宋体" w:cs="仿宋"/>
          <w:b/>
          <w:bCs/>
          <w:sz w:val="36"/>
          <w:szCs w:val="36"/>
          <w:lang w:val="zh-CN"/>
        </w:rPr>
      </w:pPr>
    </w:p>
    <w:p w14:paraId="7202A2D2">
      <w:pPr>
        <w:autoSpaceDE w:val="0"/>
        <w:autoSpaceDN w:val="0"/>
        <w:adjustRightInd w:val="0"/>
        <w:spacing w:line="500" w:lineRule="exact"/>
        <w:jc w:val="center"/>
        <w:rPr>
          <w:rFonts w:ascii="宋体" w:hAnsi="宋体" w:cs="仿宋"/>
          <w:b/>
          <w:bCs/>
          <w:sz w:val="36"/>
          <w:szCs w:val="36"/>
          <w:lang w:val="zh-CN"/>
        </w:rPr>
      </w:pPr>
    </w:p>
    <w:p w14:paraId="48371922">
      <w:pPr>
        <w:autoSpaceDE w:val="0"/>
        <w:autoSpaceDN w:val="0"/>
        <w:adjustRightInd w:val="0"/>
        <w:spacing w:line="500" w:lineRule="exact"/>
        <w:jc w:val="center"/>
        <w:rPr>
          <w:rFonts w:ascii="宋体" w:hAnsi="宋体" w:cs="仿宋"/>
          <w:b/>
          <w:bCs/>
          <w:sz w:val="36"/>
          <w:szCs w:val="36"/>
          <w:lang w:val="zh-CN"/>
        </w:rPr>
      </w:pPr>
    </w:p>
    <w:p w14:paraId="600CB974">
      <w:pPr>
        <w:autoSpaceDE w:val="0"/>
        <w:autoSpaceDN w:val="0"/>
        <w:adjustRightInd w:val="0"/>
        <w:snapToGrid w:val="0"/>
        <w:spacing w:line="500" w:lineRule="exact"/>
        <w:jc w:val="center"/>
        <w:outlineLvl w:val="0"/>
        <w:rPr>
          <w:rFonts w:ascii="宋体" w:hAnsi="宋体" w:cs="仿宋"/>
          <w:sz w:val="36"/>
          <w:szCs w:val="36"/>
          <w:lang w:val="zh-CN"/>
        </w:rPr>
      </w:pPr>
      <w:r>
        <w:rPr>
          <w:rFonts w:hint="eastAsia" w:ascii="宋体" w:hAnsi="宋体" w:cs="仿宋"/>
          <w:sz w:val="36"/>
          <w:szCs w:val="36"/>
          <w:lang w:val="zh-CN"/>
        </w:rPr>
        <w:br w:type="page"/>
      </w:r>
      <w:bookmarkStart w:id="0" w:name="_Hlk135045982"/>
      <w:r>
        <w:rPr>
          <w:rFonts w:hint="eastAsia" w:ascii="宋体" w:hAnsi="宋体" w:cs="仿宋"/>
          <w:sz w:val="36"/>
          <w:szCs w:val="36"/>
          <w:lang w:val="zh-CN"/>
        </w:rPr>
        <w:t>第一部分  招标公告</w:t>
      </w:r>
    </w:p>
    <w:p w14:paraId="3F6CC582">
      <w:pPr>
        <w:adjustRightInd w:val="0"/>
        <w:snapToGrid w:val="0"/>
        <w:spacing w:line="460" w:lineRule="exact"/>
        <w:ind w:firstLine="560" w:firstLineChars="200"/>
        <w:rPr>
          <w:rFonts w:hint="eastAsia" w:ascii="宋体" w:hAnsi="宋体" w:cs="宋体"/>
          <w:sz w:val="28"/>
          <w:szCs w:val="28"/>
        </w:rPr>
      </w:pPr>
      <w:bookmarkStart w:id="1" w:name="_Hlk141109190"/>
      <w:r>
        <w:rPr>
          <w:rFonts w:hint="eastAsia" w:ascii="宋体" w:hAnsi="宋体" w:cs="宋体"/>
          <w:sz w:val="28"/>
          <w:szCs w:val="28"/>
        </w:rPr>
        <w:t>受[南通市水利局]的委托，江苏新时代工程项目管理有限公司就[2026年新型防汛应急抢险物资器材采购项目]进行公开招标采购，欢迎符合条件的供应商参加。</w:t>
      </w:r>
    </w:p>
    <w:p w14:paraId="40C8171B">
      <w:pPr>
        <w:widowControl/>
        <w:shd w:val="clear" w:color="auto" w:fill="FFFFFF"/>
        <w:adjustRightInd w:val="0"/>
        <w:snapToGrid w:val="0"/>
        <w:spacing w:line="460" w:lineRule="exact"/>
        <w:ind w:firstLine="590" w:firstLineChars="200"/>
        <w:outlineLvl w:val="1"/>
        <w:rPr>
          <w:rFonts w:ascii="宋体" w:hAnsi="宋体" w:cs="宋体"/>
          <w:b/>
          <w:spacing w:val="7"/>
          <w:kern w:val="0"/>
          <w:sz w:val="28"/>
          <w:szCs w:val="28"/>
        </w:rPr>
      </w:pPr>
      <w:bookmarkStart w:id="91" w:name="_GoBack"/>
      <w:bookmarkEnd w:id="91"/>
      <w:r>
        <w:rPr>
          <w:rFonts w:hint="eastAsia" w:ascii="宋体" w:hAnsi="宋体" w:cs="宋体"/>
          <w:b/>
          <w:spacing w:val="7"/>
          <w:kern w:val="0"/>
          <w:sz w:val="28"/>
          <w:szCs w:val="28"/>
        </w:rPr>
        <w:t>一、项目基本情况</w:t>
      </w:r>
    </w:p>
    <w:p w14:paraId="1A2DF83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项目名称：2026年新型防汛应急抢险物资器材采购项目</w:t>
      </w:r>
    </w:p>
    <w:p w14:paraId="55C6A93C">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项目类型：货物</w:t>
      </w:r>
    </w:p>
    <w:p w14:paraId="5E52E593">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所属行业：工业</w:t>
      </w:r>
    </w:p>
    <w:p w14:paraId="6E657363">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预算金额：21万元</w:t>
      </w:r>
    </w:p>
    <w:p w14:paraId="44E5DE7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最高限价：</w:t>
      </w:r>
      <w:r>
        <w:rPr>
          <w:rFonts w:hint="eastAsia" w:ascii="宋体" w:hAnsi="宋体" w:cs="宋体"/>
          <w:color w:val="000000"/>
          <w:sz w:val="28"/>
          <w:szCs w:val="28"/>
        </w:rPr>
        <w:t>本项目最高限价</w:t>
      </w:r>
      <w:r>
        <w:rPr>
          <w:rFonts w:hint="eastAsia" w:ascii="宋体" w:hAnsi="宋体" w:cs="宋体"/>
          <w:sz w:val="28"/>
          <w:szCs w:val="28"/>
        </w:rPr>
        <w:t>21万元</w:t>
      </w:r>
      <w:r>
        <w:rPr>
          <w:rFonts w:hint="eastAsia" w:ascii="宋体" w:hAnsi="宋体" w:cs="宋体"/>
          <w:color w:val="000000"/>
          <w:sz w:val="28"/>
          <w:szCs w:val="28"/>
        </w:rPr>
        <w:t>，投标报价高于最高限价的为无效响应文件</w:t>
      </w:r>
      <w:r>
        <w:rPr>
          <w:rFonts w:hint="eastAsia" w:ascii="宋体" w:hAnsi="宋体" w:cs="宋体"/>
          <w:sz w:val="28"/>
          <w:szCs w:val="28"/>
        </w:rPr>
        <w:t>。</w:t>
      </w:r>
    </w:p>
    <w:p w14:paraId="4B3CB67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采购需求：详见招标文件第三部分项目需求说明，请仔细研究。</w:t>
      </w:r>
    </w:p>
    <w:p w14:paraId="7FB922DC">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本项目是否接受联合体投标：否。</w:t>
      </w:r>
    </w:p>
    <w:p w14:paraId="775ED7C7">
      <w:pPr>
        <w:adjustRightInd w:val="0"/>
        <w:snapToGrid w:val="0"/>
        <w:spacing w:line="460" w:lineRule="exact"/>
        <w:ind w:firstLine="562" w:firstLineChars="200"/>
        <w:outlineLvl w:val="1"/>
        <w:rPr>
          <w:rFonts w:ascii="宋体" w:hAnsi="宋体" w:cs="宋体"/>
          <w:b/>
          <w:bCs/>
          <w:sz w:val="28"/>
          <w:szCs w:val="28"/>
        </w:rPr>
      </w:pPr>
      <w:r>
        <w:rPr>
          <w:rFonts w:hint="eastAsia" w:ascii="宋体" w:hAnsi="宋体" w:cs="宋体"/>
          <w:b/>
          <w:bCs/>
          <w:sz w:val="28"/>
          <w:szCs w:val="28"/>
        </w:rPr>
        <w:t>二、供应商的资格要求：</w:t>
      </w:r>
    </w:p>
    <w:p w14:paraId="608DAE8D">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具有独立承担民事责任的能力；具有良好的商业信誉和健全的财务会计制度；具有履行合同所必需的设备和专业技术能力；具有依法缴纳税收和社会保障资金的良好记录；参加政府采购活动前三年内，在经营活动中没有重大违法记录。</w:t>
      </w:r>
    </w:p>
    <w:p w14:paraId="4E97BF1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落实政府采购政策需满足的资格要求：本项目属于专门面向中小企业采购的项目,供应商应为中小微企业、监狱企业或残疾人福利性单位，并按照采购文件要求提供《中小企业声明函》、《残疾人福利性单位声明函》或监狱和戒毒企业证明材料。</w:t>
      </w:r>
    </w:p>
    <w:p w14:paraId="4FF5192A">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3.未被“信用中国”网站（www.creditchina.gov.cn）列入失信被执行人、重大税收违法案件当事人名单，未被“中国政府采购网”（www.ccgp.gov.cn）政府采购不良行为记录名单。</w:t>
      </w:r>
    </w:p>
    <w:p w14:paraId="76219240">
      <w:pPr>
        <w:adjustRightInd w:val="0"/>
        <w:snapToGrid w:val="0"/>
        <w:spacing w:line="460" w:lineRule="exact"/>
        <w:ind w:firstLine="560" w:firstLineChars="200"/>
        <w:rPr>
          <w:rFonts w:ascii="宋体" w:hAnsi="宋体" w:cs="宋体"/>
          <w:sz w:val="28"/>
          <w:szCs w:val="28"/>
          <w:u w:val="single"/>
        </w:rPr>
      </w:pPr>
      <w:r>
        <w:rPr>
          <w:rFonts w:hint="eastAsia" w:ascii="宋体" w:hAnsi="宋体" w:cs="宋体"/>
          <w:sz w:val="28"/>
          <w:szCs w:val="28"/>
        </w:rPr>
        <w:t>4.单位负责人为同一人或者存在直接控股、管理关系的不同供应商，不得同时参加同一包的采购活动。生产型企业的生产场经营地址或者注册登记地址为同一地址，非国有销售型企业的股东和管理人员（法定代表人、董事、监事）之间存在近亲属、相互占股等关联的，也不得同时参加同一包的采购活动。近亲属指夫妻、直系血亲、三代以内旁系血亲或近姻亲关系。</w:t>
      </w:r>
    </w:p>
    <w:p w14:paraId="0E93463C">
      <w:pPr>
        <w:adjustRightInd w:val="0"/>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具体资格要求详见第五部分资格审查证明材料。</w:t>
      </w:r>
    </w:p>
    <w:p w14:paraId="4B35DDEC">
      <w:pPr>
        <w:adjustRightInd w:val="0"/>
        <w:snapToGrid w:val="0"/>
        <w:spacing w:line="460" w:lineRule="exact"/>
        <w:ind w:firstLine="562" w:firstLineChars="200"/>
        <w:outlineLvl w:val="1"/>
        <w:rPr>
          <w:rFonts w:ascii="宋体" w:hAnsi="宋体" w:cs="宋体"/>
          <w:b/>
          <w:bCs/>
          <w:sz w:val="28"/>
          <w:szCs w:val="28"/>
        </w:rPr>
      </w:pPr>
      <w:r>
        <w:rPr>
          <w:rFonts w:hint="eastAsia" w:ascii="宋体" w:hAnsi="宋体" w:cs="宋体"/>
          <w:b/>
          <w:bCs/>
          <w:sz w:val="28"/>
          <w:szCs w:val="28"/>
        </w:rPr>
        <w:t>三、获取采购文件</w:t>
      </w:r>
    </w:p>
    <w:p w14:paraId="78DBDED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时间：自挂网之日起至2026年6月</w:t>
      </w:r>
      <w:r>
        <w:rPr>
          <w:rFonts w:hint="eastAsia" w:ascii="宋体" w:hAnsi="宋体" w:cs="宋体"/>
          <w:sz w:val="28"/>
          <w:szCs w:val="28"/>
          <w:lang w:val="en-US" w:eastAsia="zh-CN"/>
        </w:rPr>
        <w:t>9</w:t>
      </w:r>
      <w:r>
        <w:rPr>
          <w:rFonts w:hint="eastAsia" w:ascii="宋体" w:hAnsi="宋体" w:cs="宋体"/>
          <w:sz w:val="28"/>
          <w:szCs w:val="28"/>
        </w:rPr>
        <w:t>日。</w:t>
      </w:r>
    </w:p>
    <w:p w14:paraId="0979A7EE">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地点：南通市水利局网站。</w:t>
      </w:r>
    </w:p>
    <w:p w14:paraId="60E85C75">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方式：网站本项目公告附件处自行下载。</w:t>
      </w:r>
    </w:p>
    <w:p w14:paraId="05969AA9">
      <w:pPr>
        <w:adjustRightInd w:val="0"/>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四、提交响应文件截止时间、评审时间和地点</w:t>
      </w:r>
    </w:p>
    <w:p w14:paraId="4B7436FB">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时间：2026年6月</w:t>
      </w:r>
      <w:r>
        <w:rPr>
          <w:rFonts w:hint="eastAsia" w:ascii="宋体" w:hAnsi="宋体" w:cs="宋体"/>
          <w:sz w:val="28"/>
          <w:szCs w:val="28"/>
          <w:lang w:val="en-US" w:eastAsia="zh-CN"/>
        </w:rPr>
        <w:t>9</w:t>
      </w:r>
      <w:r>
        <w:rPr>
          <w:rFonts w:hint="eastAsia" w:ascii="宋体" w:hAnsi="宋体" w:cs="宋体"/>
          <w:sz w:val="28"/>
          <w:szCs w:val="28"/>
        </w:rPr>
        <w:t xml:space="preserve"> 日14:00（北京时间），逾时，采购人将拒绝接受投标响应文件。</w:t>
      </w:r>
    </w:p>
    <w:p w14:paraId="30482B52">
      <w:pPr>
        <w:adjustRightInd w:val="0"/>
        <w:snapToGrid w:val="0"/>
        <w:spacing w:line="460" w:lineRule="exact"/>
        <w:ind w:firstLine="560" w:firstLineChars="200"/>
        <w:rPr>
          <w:rFonts w:ascii="宋体" w:hAnsi="宋体" w:cs="宋体"/>
          <w:i/>
          <w:sz w:val="28"/>
          <w:szCs w:val="28"/>
        </w:rPr>
      </w:pPr>
      <w:r>
        <w:rPr>
          <w:rFonts w:hint="eastAsia" w:ascii="宋体" w:hAnsi="宋体" w:cs="宋体"/>
          <w:sz w:val="28"/>
          <w:szCs w:val="28"/>
        </w:rPr>
        <w:t>地点：南通市崇川区崇文路2号6楼市防汛抗旱指挥中心会议室。</w:t>
      </w:r>
    </w:p>
    <w:p w14:paraId="371857E5">
      <w:pPr>
        <w:adjustRightInd w:val="0"/>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五、公告期限</w:t>
      </w:r>
    </w:p>
    <w:p w14:paraId="485FE43C">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自本公告发布之日起5个工作日。</w:t>
      </w:r>
    </w:p>
    <w:p w14:paraId="3152DC61">
      <w:pPr>
        <w:adjustRightInd w:val="0"/>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六、其他补充事宜</w:t>
      </w:r>
    </w:p>
    <w:p w14:paraId="1E6A361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1.投标保证金：免收。</w:t>
      </w:r>
    </w:p>
    <w:p w14:paraId="03599606">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2.项目演示、样品、答辩等（如有请描述）：无。</w:t>
      </w:r>
    </w:p>
    <w:p w14:paraId="4D622DA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3.对项目需求部分（供应商资格要求、项目需求、商务技术评分标准）的询问、质疑请向采购人提出，由采购人负责答复；对项目招标文件其他部分的询问请向招标文件制作人或项目招标经办人提出。</w:t>
      </w:r>
    </w:p>
    <w:p w14:paraId="426B053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39B9A0E5">
      <w:pPr>
        <w:widowControl/>
        <w:shd w:val="clear" w:color="auto" w:fill="FFFFFF"/>
        <w:adjustRightInd w:val="0"/>
        <w:snapToGrid w:val="0"/>
        <w:spacing w:line="460" w:lineRule="exact"/>
        <w:ind w:firstLine="590" w:firstLineChars="200"/>
        <w:outlineLvl w:val="1"/>
        <w:rPr>
          <w:rFonts w:ascii="宋体" w:hAnsi="宋体" w:cs="宋体"/>
          <w:b/>
          <w:color w:val="333333"/>
          <w:spacing w:val="7"/>
          <w:kern w:val="0"/>
          <w:sz w:val="28"/>
          <w:szCs w:val="28"/>
        </w:rPr>
      </w:pPr>
      <w:r>
        <w:rPr>
          <w:rFonts w:hint="eastAsia" w:ascii="宋体" w:hAnsi="宋体" w:cs="宋体"/>
          <w:b/>
          <w:color w:val="333333"/>
          <w:spacing w:val="7"/>
          <w:kern w:val="0"/>
          <w:sz w:val="28"/>
          <w:szCs w:val="28"/>
        </w:rPr>
        <w:t>七、凡对本次采购提出询问，请按以下方式联系。</w:t>
      </w:r>
    </w:p>
    <w:bookmarkEnd w:id="0"/>
    <w:bookmarkEnd w:id="1"/>
    <w:p w14:paraId="1AE0379F">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1.采购人信息</w:t>
      </w:r>
    </w:p>
    <w:p w14:paraId="2D884493">
      <w:pPr>
        <w:widowControl/>
        <w:shd w:val="clear" w:color="auto" w:fill="FFFFFF"/>
        <w:adjustRightInd w:val="0"/>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名称：南通市水利局</w:t>
      </w:r>
    </w:p>
    <w:p w14:paraId="4862BDAF">
      <w:pPr>
        <w:widowControl/>
        <w:shd w:val="clear" w:color="auto" w:fill="FFFFFF"/>
        <w:adjustRightInd w:val="0"/>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联系人：赵先生</w:t>
      </w:r>
    </w:p>
    <w:p w14:paraId="1BA114EA">
      <w:pPr>
        <w:widowControl/>
        <w:shd w:val="clear" w:color="auto" w:fill="FFFFFF"/>
        <w:adjustRightInd w:val="0"/>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联系方式： 0513-59002596</w:t>
      </w:r>
    </w:p>
    <w:p w14:paraId="65A020CE">
      <w:pPr>
        <w:widowControl/>
        <w:shd w:val="clear" w:color="auto" w:fill="FFFFFF"/>
        <w:adjustRightInd w:val="0"/>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2.采购代理机构信息</w:t>
      </w:r>
    </w:p>
    <w:p w14:paraId="0EBCFE4C">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名称：江苏新时代工程项目管理有限公司</w:t>
      </w:r>
    </w:p>
    <w:p w14:paraId="02851CB2">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地址：南通市崇川区五一路天健大厦22楼</w:t>
      </w:r>
    </w:p>
    <w:p w14:paraId="00F2D330">
      <w:pPr>
        <w:adjustRightInd w:val="0"/>
        <w:snapToGrid w:val="0"/>
        <w:spacing w:line="360" w:lineRule="auto"/>
        <w:ind w:firstLine="560" w:firstLineChars="200"/>
        <w:rPr>
          <w:rFonts w:ascii="宋体" w:hAnsi="宋体" w:cs="宋体"/>
          <w:sz w:val="28"/>
          <w:szCs w:val="28"/>
          <w:lang w:val="zh-CN"/>
        </w:rPr>
        <w:sectPr>
          <w:headerReference r:id="rId3" w:type="default"/>
          <w:footerReference r:id="rId4" w:type="default"/>
          <w:pgSz w:w="11907" w:h="16839"/>
          <w:pgMar w:top="1440" w:right="1800" w:bottom="1440" w:left="1800" w:header="720" w:footer="720" w:gutter="0"/>
          <w:cols w:space="720" w:num="1"/>
          <w:docGrid w:linePitch="286" w:charSpace="0"/>
        </w:sectPr>
      </w:pPr>
      <w:r>
        <w:rPr>
          <w:rFonts w:hint="eastAsia" w:ascii="宋体" w:hAnsi="宋体" w:cs="宋体"/>
          <w:sz w:val="28"/>
          <w:szCs w:val="28"/>
        </w:rPr>
        <w:t>联系方式：董工17505206888</w:t>
      </w:r>
      <w:r>
        <w:rPr>
          <w:rFonts w:hint="eastAsia" w:ascii="宋体" w:hAnsi="宋体" w:cs="宋体"/>
          <w:sz w:val="28"/>
          <w:szCs w:val="28"/>
          <w:lang w:val="zh-CN"/>
        </w:rPr>
        <w:br w:type="page"/>
      </w:r>
    </w:p>
    <w:p w14:paraId="60246275">
      <w:pPr>
        <w:adjustRightInd w:val="0"/>
        <w:snapToGrid w:val="0"/>
        <w:spacing w:line="360" w:lineRule="auto"/>
        <w:ind w:firstLine="560" w:firstLineChars="200"/>
        <w:jc w:val="center"/>
        <w:outlineLvl w:val="0"/>
        <w:rPr>
          <w:rFonts w:ascii="宋体" w:hAnsi="宋体" w:cs="宋体"/>
          <w:sz w:val="28"/>
          <w:szCs w:val="28"/>
          <w:lang w:val="zh-CN"/>
        </w:rPr>
      </w:pPr>
      <w:r>
        <w:rPr>
          <w:rFonts w:hint="eastAsia" w:ascii="宋体" w:hAnsi="宋体" w:cs="宋体"/>
          <w:sz w:val="28"/>
          <w:szCs w:val="28"/>
          <w:lang w:val="zh-CN"/>
        </w:rPr>
        <w:t>第二部分 投标须知</w:t>
      </w:r>
    </w:p>
    <w:p w14:paraId="5DA0DA01">
      <w:pPr>
        <w:keepNext/>
        <w:keepLines/>
        <w:adjustRightInd w:val="0"/>
        <w:snapToGrid w:val="0"/>
        <w:spacing w:line="460" w:lineRule="exact"/>
        <w:ind w:firstLine="562" w:firstLineChars="200"/>
        <w:outlineLvl w:val="1"/>
        <w:rPr>
          <w:rFonts w:ascii="宋体" w:hAnsi="宋体" w:cs="宋体"/>
          <w:b/>
          <w:bCs/>
          <w:kern w:val="0"/>
          <w:sz w:val="28"/>
          <w:szCs w:val="28"/>
        </w:rPr>
      </w:pPr>
      <w:bookmarkStart w:id="2" w:name="_Toc513029203"/>
      <w:bookmarkStart w:id="3" w:name="_Toc16938519"/>
      <w:bookmarkStart w:id="4" w:name="_Toc20823275"/>
      <w:bookmarkStart w:id="5" w:name="_Toc120614214"/>
      <w:r>
        <w:rPr>
          <w:rFonts w:hint="eastAsia" w:ascii="宋体" w:hAnsi="宋体" w:cs="宋体"/>
          <w:b/>
          <w:bCs/>
          <w:kern w:val="0"/>
          <w:sz w:val="28"/>
          <w:szCs w:val="28"/>
        </w:rPr>
        <w:t>一、总则</w:t>
      </w:r>
      <w:bookmarkEnd w:id="2"/>
      <w:bookmarkEnd w:id="3"/>
      <w:bookmarkEnd w:id="4"/>
      <w:bookmarkEnd w:id="5"/>
    </w:p>
    <w:p w14:paraId="118AFDE4">
      <w:pPr>
        <w:keepNext/>
        <w:adjustRightInd w:val="0"/>
        <w:snapToGrid w:val="0"/>
        <w:spacing w:line="460" w:lineRule="exact"/>
        <w:ind w:firstLine="560" w:firstLineChars="200"/>
        <w:rPr>
          <w:rFonts w:ascii="宋体" w:hAnsi="宋体" w:cs="宋体"/>
          <w:b/>
          <w:bCs/>
          <w:kern w:val="0"/>
          <w:sz w:val="28"/>
          <w:szCs w:val="28"/>
        </w:rPr>
      </w:pPr>
      <w:bookmarkStart w:id="6" w:name="_Hlt16619475"/>
      <w:bookmarkEnd w:id="6"/>
      <w:bookmarkStart w:id="7" w:name="_Toc458694821"/>
      <w:bookmarkStart w:id="8" w:name="_Toc20823276"/>
      <w:bookmarkStart w:id="9" w:name="_Toc513029204"/>
      <w:bookmarkStart w:id="10" w:name="_Toc16938520"/>
      <w:r>
        <w:rPr>
          <w:rFonts w:hint="eastAsia" w:ascii="宋体" w:hAnsi="宋体" w:cs="宋体"/>
          <w:kern w:val="0"/>
          <w:sz w:val="28"/>
          <w:szCs w:val="28"/>
        </w:rPr>
        <w:t>1</w:t>
      </w:r>
      <w:bookmarkEnd w:id="7"/>
      <w:r>
        <w:rPr>
          <w:rFonts w:hint="eastAsia" w:ascii="宋体" w:hAnsi="宋体" w:cs="宋体"/>
          <w:kern w:val="0"/>
          <w:sz w:val="28"/>
          <w:szCs w:val="28"/>
        </w:rPr>
        <w:t>.采购方式</w:t>
      </w:r>
      <w:bookmarkEnd w:id="8"/>
      <w:bookmarkEnd w:id="9"/>
      <w:bookmarkEnd w:id="10"/>
    </w:p>
    <w:p w14:paraId="30400D55">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1.1 本次采取公开招标方式，本招标文件仅适用于招标公告中所述项目。</w:t>
      </w:r>
    </w:p>
    <w:p w14:paraId="4CFD8AF5">
      <w:pPr>
        <w:keepNext/>
        <w:adjustRightInd w:val="0"/>
        <w:snapToGrid w:val="0"/>
        <w:spacing w:line="460" w:lineRule="exact"/>
        <w:ind w:firstLine="560" w:firstLineChars="200"/>
        <w:rPr>
          <w:rFonts w:ascii="宋体" w:hAnsi="宋体" w:cs="宋体"/>
          <w:b/>
          <w:bCs/>
          <w:kern w:val="0"/>
          <w:sz w:val="28"/>
          <w:szCs w:val="28"/>
        </w:rPr>
      </w:pPr>
      <w:bookmarkStart w:id="11" w:name="_Toc513029205"/>
      <w:bookmarkStart w:id="12" w:name="_Toc20823277"/>
      <w:bookmarkStart w:id="13" w:name="_Toc16938521"/>
      <w:r>
        <w:rPr>
          <w:rFonts w:hint="eastAsia" w:ascii="宋体" w:hAnsi="宋体" w:cs="宋体"/>
          <w:kern w:val="0"/>
          <w:sz w:val="28"/>
          <w:szCs w:val="28"/>
        </w:rPr>
        <w:t>2.合格的</w:t>
      </w:r>
      <w:bookmarkEnd w:id="11"/>
      <w:bookmarkEnd w:id="12"/>
      <w:bookmarkEnd w:id="13"/>
      <w:r>
        <w:rPr>
          <w:rFonts w:hint="eastAsia" w:ascii="宋体" w:hAnsi="宋体" w:cs="宋体"/>
          <w:kern w:val="0"/>
          <w:sz w:val="28"/>
          <w:szCs w:val="28"/>
        </w:rPr>
        <w:t>供应商</w:t>
      </w:r>
    </w:p>
    <w:p w14:paraId="7920F6A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2.1满足招标公告中供应商的资格要求。</w:t>
      </w:r>
    </w:p>
    <w:p w14:paraId="4B992032">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2.2 满足本文件实质性条款。</w:t>
      </w:r>
    </w:p>
    <w:p w14:paraId="12848AFD">
      <w:pPr>
        <w:keepNext/>
        <w:adjustRightInd w:val="0"/>
        <w:snapToGrid w:val="0"/>
        <w:spacing w:line="460" w:lineRule="exact"/>
        <w:ind w:firstLine="560" w:firstLineChars="200"/>
        <w:rPr>
          <w:rFonts w:ascii="宋体" w:hAnsi="宋体" w:cs="宋体"/>
          <w:b/>
          <w:bCs/>
          <w:kern w:val="0"/>
          <w:sz w:val="28"/>
          <w:szCs w:val="28"/>
        </w:rPr>
      </w:pPr>
      <w:bookmarkStart w:id="14" w:name="_Toc20823278"/>
      <w:bookmarkStart w:id="15" w:name="_Toc16938522"/>
      <w:bookmarkStart w:id="16" w:name="_Toc513029206"/>
      <w:r>
        <w:rPr>
          <w:rFonts w:hint="eastAsia" w:ascii="宋体" w:hAnsi="宋体" w:cs="宋体"/>
          <w:kern w:val="0"/>
          <w:sz w:val="28"/>
          <w:szCs w:val="28"/>
        </w:rPr>
        <w:t>3.适用法律</w:t>
      </w:r>
      <w:bookmarkEnd w:id="14"/>
      <w:bookmarkEnd w:id="15"/>
      <w:bookmarkEnd w:id="16"/>
    </w:p>
    <w:p w14:paraId="244E37F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3.1 本次采购及由此产生的合同受中华人民共和国有关法律法规制约和保护。</w:t>
      </w:r>
    </w:p>
    <w:p w14:paraId="7AC3F901">
      <w:pPr>
        <w:keepNext/>
        <w:adjustRightInd w:val="0"/>
        <w:snapToGrid w:val="0"/>
        <w:spacing w:line="460" w:lineRule="exact"/>
        <w:ind w:firstLine="560" w:firstLineChars="200"/>
        <w:rPr>
          <w:rFonts w:ascii="宋体" w:hAnsi="宋体" w:cs="宋体"/>
          <w:b/>
          <w:bCs/>
          <w:kern w:val="0"/>
          <w:sz w:val="28"/>
          <w:szCs w:val="28"/>
        </w:rPr>
      </w:pPr>
      <w:bookmarkStart w:id="17" w:name="_Toc513029207"/>
      <w:bookmarkStart w:id="18" w:name="_Toc462564067"/>
      <w:bookmarkStart w:id="19" w:name="_Toc16938523"/>
      <w:bookmarkStart w:id="20" w:name="_Toc20823279"/>
      <w:r>
        <w:rPr>
          <w:rFonts w:hint="eastAsia" w:ascii="宋体" w:hAnsi="宋体" w:cs="宋体"/>
          <w:kern w:val="0"/>
          <w:sz w:val="28"/>
          <w:szCs w:val="28"/>
        </w:rPr>
        <w:t>4.投标费用</w:t>
      </w:r>
      <w:bookmarkEnd w:id="17"/>
      <w:bookmarkEnd w:id="18"/>
      <w:bookmarkEnd w:id="19"/>
      <w:bookmarkEnd w:id="20"/>
    </w:p>
    <w:p w14:paraId="61974F2D">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4.1</w:t>
      </w:r>
      <w:r>
        <w:rPr>
          <w:rFonts w:hint="eastAsia" w:ascii="宋体" w:hAnsi="宋体" w:cs="宋体"/>
          <w:sz w:val="28"/>
          <w:szCs w:val="28"/>
        </w:rPr>
        <w:t xml:space="preserve"> 供应商应自行承担所有与参加投标有关的费用，无论投标过程中的做法和结果如何，江苏新时代工程项目管理有限公司（以下简称采购代理机构）在任何情况下均无义务和责任承担这些费用。</w:t>
      </w:r>
    </w:p>
    <w:p w14:paraId="759E5F2F">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4.2 本项目招标代理费按3000元计取，由中标供应商支付。投标供应商报价时应将相关费用综合考虑在报价内（不单列）。</w:t>
      </w:r>
    </w:p>
    <w:p w14:paraId="3377D83C">
      <w:pPr>
        <w:keepNext/>
        <w:adjustRightInd w:val="0"/>
        <w:snapToGrid w:val="0"/>
        <w:spacing w:line="460" w:lineRule="exact"/>
        <w:ind w:firstLine="560" w:firstLineChars="200"/>
        <w:rPr>
          <w:rFonts w:ascii="宋体" w:hAnsi="宋体" w:cs="宋体"/>
          <w:b/>
          <w:bCs/>
          <w:kern w:val="0"/>
          <w:sz w:val="28"/>
          <w:szCs w:val="28"/>
        </w:rPr>
      </w:pPr>
      <w:r>
        <w:rPr>
          <w:rFonts w:hint="eastAsia" w:ascii="宋体" w:hAnsi="宋体" w:cs="宋体"/>
          <w:kern w:val="0"/>
          <w:sz w:val="28"/>
          <w:szCs w:val="28"/>
        </w:rPr>
        <w:t>5.招标文件的约束力</w:t>
      </w:r>
    </w:p>
    <w:p w14:paraId="5775867B">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5.1</w:t>
      </w:r>
      <w:r>
        <w:rPr>
          <w:rFonts w:hint="eastAsia" w:ascii="宋体" w:hAnsi="宋体" w:cs="宋体"/>
          <w:sz w:val="28"/>
          <w:szCs w:val="28"/>
        </w:rPr>
        <w:t xml:space="preserve"> 供应商一旦参加本项目采购活动，即被认为接受了本招标文件的规定和约束。</w:t>
      </w:r>
    </w:p>
    <w:p w14:paraId="43679E35">
      <w:pPr>
        <w:keepNext/>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6.招标文件的解释</w:t>
      </w:r>
    </w:p>
    <w:p w14:paraId="790AA8C3">
      <w:pPr>
        <w:adjustRightInd w:val="0"/>
        <w:snapToGrid w:val="0"/>
        <w:spacing w:line="460" w:lineRule="exact"/>
        <w:ind w:firstLine="560" w:firstLineChars="200"/>
        <w:rPr>
          <w:rFonts w:ascii="宋体" w:hAnsi="宋体" w:cs="宋体"/>
          <w:color w:val="FF0000"/>
          <w:sz w:val="28"/>
          <w:szCs w:val="28"/>
        </w:rPr>
      </w:pPr>
      <w:r>
        <w:rPr>
          <w:rFonts w:hint="eastAsia" w:ascii="宋体" w:hAnsi="宋体" w:cs="宋体"/>
          <w:bCs/>
          <w:sz w:val="28"/>
          <w:szCs w:val="28"/>
        </w:rPr>
        <w:t>6.1 招标</w:t>
      </w:r>
      <w:r>
        <w:rPr>
          <w:rFonts w:hint="eastAsia" w:ascii="宋体" w:hAnsi="宋体" w:cs="宋体"/>
          <w:sz w:val="28"/>
          <w:szCs w:val="28"/>
        </w:rPr>
        <w:t>文件需求部分（供应商资格要求、项目需求、商务技术评分标准）由采购人解释，其他部分由采购代理机构解释。</w:t>
      </w:r>
    </w:p>
    <w:p w14:paraId="6D9B17EA">
      <w:pPr>
        <w:keepNext/>
        <w:keepLines/>
        <w:adjustRightInd w:val="0"/>
        <w:snapToGrid w:val="0"/>
        <w:spacing w:line="460" w:lineRule="exact"/>
        <w:ind w:firstLine="562" w:firstLineChars="200"/>
        <w:outlineLvl w:val="1"/>
        <w:rPr>
          <w:rFonts w:ascii="宋体" w:hAnsi="宋体" w:cs="宋体"/>
          <w:b/>
          <w:bCs/>
          <w:kern w:val="0"/>
          <w:sz w:val="28"/>
          <w:szCs w:val="28"/>
        </w:rPr>
      </w:pPr>
      <w:bookmarkStart w:id="21" w:name="_Toc513029209"/>
      <w:bookmarkStart w:id="22" w:name="_Toc20823281"/>
      <w:bookmarkStart w:id="23" w:name="_Toc120614215"/>
      <w:bookmarkStart w:id="24" w:name="_Toc16938525"/>
      <w:r>
        <w:rPr>
          <w:rFonts w:hint="eastAsia" w:ascii="宋体" w:hAnsi="宋体" w:cs="宋体"/>
          <w:b/>
          <w:bCs/>
          <w:kern w:val="0"/>
          <w:sz w:val="28"/>
          <w:szCs w:val="28"/>
        </w:rPr>
        <w:t>二、招标文件</w:t>
      </w:r>
      <w:bookmarkEnd w:id="21"/>
      <w:bookmarkEnd w:id="22"/>
      <w:bookmarkEnd w:id="23"/>
      <w:bookmarkEnd w:id="24"/>
    </w:p>
    <w:p w14:paraId="2CA32C70">
      <w:pPr>
        <w:keepNext/>
        <w:adjustRightInd w:val="0"/>
        <w:snapToGrid w:val="0"/>
        <w:spacing w:line="460" w:lineRule="exact"/>
        <w:ind w:firstLine="560" w:firstLineChars="200"/>
        <w:rPr>
          <w:rFonts w:ascii="宋体" w:hAnsi="宋体" w:cs="宋体"/>
          <w:b/>
          <w:bCs/>
          <w:kern w:val="0"/>
          <w:sz w:val="28"/>
          <w:szCs w:val="28"/>
        </w:rPr>
      </w:pPr>
      <w:bookmarkStart w:id="25" w:name="_Toc16938526"/>
      <w:bookmarkStart w:id="26" w:name="_Toc513029210"/>
      <w:bookmarkStart w:id="27" w:name="_Toc20823282"/>
      <w:r>
        <w:rPr>
          <w:rFonts w:hint="eastAsia" w:ascii="宋体" w:hAnsi="宋体" w:cs="宋体"/>
          <w:kern w:val="0"/>
          <w:sz w:val="28"/>
          <w:szCs w:val="28"/>
        </w:rPr>
        <w:t>1.招标文件构成</w:t>
      </w:r>
      <w:bookmarkEnd w:id="25"/>
      <w:bookmarkEnd w:id="26"/>
      <w:bookmarkEnd w:id="27"/>
    </w:p>
    <w:p w14:paraId="63D3EC32">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1.1</w:t>
      </w:r>
      <w:r>
        <w:rPr>
          <w:rFonts w:hint="eastAsia" w:ascii="宋体" w:hAnsi="宋体" w:cs="宋体"/>
          <w:sz w:val="28"/>
          <w:szCs w:val="28"/>
        </w:rPr>
        <w:t xml:space="preserve"> 招标文件由以下部分组成：</w:t>
      </w:r>
    </w:p>
    <w:p w14:paraId="6C45A81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（1）招标公告</w:t>
      </w:r>
    </w:p>
    <w:p w14:paraId="70FD746B">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（2）投标须知</w:t>
      </w:r>
    </w:p>
    <w:p w14:paraId="2756C965">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（3）项目需求</w:t>
      </w:r>
    </w:p>
    <w:p w14:paraId="4E7296D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（4）评审方法和评审标准</w:t>
      </w:r>
    </w:p>
    <w:p w14:paraId="1F0E6DB2">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（5）响应文件组成</w:t>
      </w:r>
    </w:p>
    <w:p w14:paraId="140B964A">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（6）附件</w:t>
      </w:r>
    </w:p>
    <w:p w14:paraId="6A1951CD">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请仔细检查招标文件是否齐全，如有缺漏请立即与采购代理机构联系解决。</w:t>
      </w:r>
    </w:p>
    <w:p w14:paraId="03C37BCB">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1.2</w:t>
      </w:r>
      <w:r>
        <w:rPr>
          <w:rFonts w:hint="eastAsia" w:ascii="宋体" w:hAnsi="宋体" w:cs="宋体"/>
          <w:sz w:val="28"/>
          <w:szCs w:val="28"/>
        </w:rPr>
        <w:t xml:space="preserve"> 供应商应认真阅读招标文件中所有的事项、格式、条款和规范等要求。按招标文件要求和规定编制响应文件，并保证所提供的全部资料的真实性，以使其响应文件对招标文件作出实质性响应，否则其风险由供应商自行承担。</w:t>
      </w:r>
    </w:p>
    <w:p w14:paraId="7849D52B">
      <w:pPr>
        <w:keepNext/>
        <w:adjustRightInd w:val="0"/>
        <w:snapToGrid w:val="0"/>
        <w:spacing w:line="460" w:lineRule="exact"/>
        <w:ind w:firstLine="560" w:firstLineChars="200"/>
        <w:rPr>
          <w:rFonts w:ascii="宋体" w:hAnsi="宋体" w:cs="宋体"/>
          <w:b/>
          <w:bCs/>
          <w:kern w:val="0"/>
          <w:sz w:val="28"/>
          <w:szCs w:val="28"/>
        </w:rPr>
      </w:pPr>
      <w:bookmarkStart w:id="28" w:name="_Toc462564070"/>
      <w:bookmarkStart w:id="29" w:name="_Toc20823283"/>
      <w:bookmarkStart w:id="30" w:name="_Toc513029211"/>
      <w:bookmarkStart w:id="31" w:name="_Toc16938527"/>
      <w:r>
        <w:rPr>
          <w:rFonts w:hint="eastAsia" w:ascii="宋体" w:hAnsi="宋体" w:cs="宋体"/>
          <w:kern w:val="0"/>
          <w:sz w:val="28"/>
          <w:szCs w:val="28"/>
        </w:rPr>
        <w:t>2.招标文件的澄清</w:t>
      </w:r>
      <w:bookmarkEnd w:id="28"/>
      <w:bookmarkEnd w:id="29"/>
      <w:bookmarkEnd w:id="30"/>
      <w:bookmarkEnd w:id="31"/>
    </w:p>
    <w:p w14:paraId="12F669E3">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2.1</w:t>
      </w:r>
      <w:r>
        <w:rPr>
          <w:rFonts w:hint="eastAsia" w:ascii="宋体" w:hAnsi="宋体" w:cs="宋体"/>
          <w:sz w:val="28"/>
          <w:szCs w:val="28"/>
        </w:rPr>
        <w:t xml:space="preserve"> 任何要求对招标文件进行澄清的供应商，应在提交首次响应文件截止时间十五日前，按招标公告中的通讯地址，以书面形式通知采购人。采购人有权对发出的招标文件进行必要的澄清或修改。</w:t>
      </w:r>
    </w:p>
    <w:p w14:paraId="272EB8D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2.2 采购人视情组织答疑会。</w:t>
      </w:r>
    </w:p>
    <w:p w14:paraId="2B29DE81">
      <w:pPr>
        <w:keepNext/>
        <w:adjustRightInd w:val="0"/>
        <w:snapToGrid w:val="0"/>
        <w:spacing w:line="460" w:lineRule="exact"/>
        <w:ind w:firstLine="560" w:firstLineChars="200"/>
        <w:rPr>
          <w:rFonts w:ascii="宋体" w:hAnsi="宋体" w:cs="宋体"/>
          <w:b/>
          <w:bCs/>
          <w:kern w:val="0"/>
          <w:sz w:val="28"/>
          <w:szCs w:val="28"/>
        </w:rPr>
      </w:pPr>
      <w:bookmarkStart w:id="32" w:name="_Toc513029212"/>
      <w:bookmarkStart w:id="33" w:name="_Toc16938528"/>
      <w:bookmarkStart w:id="34" w:name="_Toc20823284"/>
      <w:bookmarkStart w:id="35" w:name="_Toc462564071"/>
      <w:r>
        <w:rPr>
          <w:rFonts w:hint="eastAsia" w:ascii="宋体" w:hAnsi="宋体" w:cs="宋体"/>
          <w:kern w:val="0"/>
          <w:sz w:val="28"/>
          <w:szCs w:val="28"/>
        </w:rPr>
        <w:t>3.招标文件的修改</w:t>
      </w:r>
      <w:bookmarkEnd w:id="32"/>
      <w:bookmarkEnd w:id="33"/>
      <w:bookmarkEnd w:id="34"/>
      <w:bookmarkEnd w:id="35"/>
    </w:p>
    <w:p w14:paraId="1CF9B65E">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3.1</w:t>
      </w:r>
      <w:r>
        <w:rPr>
          <w:rFonts w:hint="eastAsia" w:ascii="宋体" w:hAnsi="宋体" w:cs="宋体"/>
          <w:sz w:val="28"/>
          <w:szCs w:val="28"/>
        </w:rPr>
        <w:t xml:space="preserve"> 在响应文件提交截止时间之前，采购代理机构可以对招标文件进行修改。</w:t>
      </w:r>
    </w:p>
    <w:p w14:paraId="17E1C2D7">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 xml:space="preserve">3.2 </w:t>
      </w:r>
      <w:r>
        <w:rPr>
          <w:rFonts w:hint="eastAsia" w:ascii="宋体" w:hAnsi="宋体" w:cs="宋体"/>
          <w:sz w:val="28"/>
          <w:szCs w:val="28"/>
        </w:rPr>
        <w:t>采购代理机构有权按照法定的要求推迟响应文件提交截止日期和投标日期。</w:t>
      </w:r>
    </w:p>
    <w:p w14:paraId="79B5C7A8">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 xml:space="preserve">3.3 </w:t>
      </w:r>
      <w:r>
        <w:rPr>
          <w:rFonts w:hint="eastAsia" w:ascii="宋体" w:hAnsi="宋体" w:cs="宋体"/>
          <w:sz w:val="28"/>
          <w:szCs w:val="28"/>
        </w:rPr>
        <w:t>招标文件的修改将在南通市水利局网站公布，补充文件将作为招标文件的组成部分，并对供应商具有约束力。</w:t>
      </w:r>
    </w:p>
    <w:p w14:paraId="3842CB8B">
      <w:pPr>
        <w:keepNext/>
        <w:keepLines/>
        <w:adjustRightInd w:val="0"/>
        <w:snapToGrid w:val="0"/>
        <w:spacing w:line="460" w:lineRule="exact"/>
        <w:ind w:firstLine="562" w:firstLineChars="200"/>
        <w:outlineLvl w:val="1"/>
        <w:rPr>
          <w:rFonts w:ascii="宋体" w:hAnsi="宋体" w:cs="宋体"/>
          <w:b/>
          <w:bCs/>
          <w:kern w:val="0"/>
          <w:sz w:val="28"/>
          <w:szCs w:val="28"/>
        </w:rPr>
      </w:pPr>
      <w:bookmarkStart w:id="36" w:name="_Toc16938529"/>
      <w:bookmarkStart w:id="37" w:name="_Toc20823285"/>
      <w:bookmarkStart w:id="38" w:name="_Toc120614216"/>
      <w:bookmarkStart w:id="39" w:name="_Toc513029213"/>
      <w:bookmarkStart w:id="40" w:name="_Toc462564072"/>
      <w:r>
        <w:rPr>
          <w:rFonts w:hint="eastAsia" w:ascii="宋体" w:hAnsi="宋体" w:cs="宋体"/>
          <w:b/>
          <w:bCs/>
          <w:kern w:val="0"/>
          <w:sz w:val="28"/>
          <w:szCs w:val="28"/>
        </w:rPr>
        <w:t>三、响应文件的编制</w:t>
      </w:r>
      <w:bookmarkEnd w:id="36"/>
      <w:bookmarkEnd w:id="37"/>
      <w:bookmarkEnd w:id="38"/>
      <w:bookmarkEnd w:id="39"/>
      <w:bookmarkEnd w:id="40"/>
    </w:p>
    <w:p w14:paraId="52CEAF1C">
      <w:pPr>
        <w:keepNext/>
        <w:adjustRightInd w:val="0"/>
        <w:snapToGrid w:val="0"/>
        <w:spacing w:line="460" w:lineRule="exact"/>
        <w:ind w:firstLine="560" w:firstLineChars="200"/>
        <w:rPr>
          <w:rFonts w:ascii="宋体" w:hAnsi="宋体" w:cs="宋体"/>
          <w:bCs/>
          <w:kern w:val="0"/>
          <w:sz w:val="28"/>
          <w:szCs w:val="28"/>
        </w:rPr>
      </w:pPr>
      <w:bookmarkStart w:id="41" w:name="_Toc462564073"/>
      <w:bookmarkStart w:id="42" w:name="_Toc513029214"/>
      <w:bookmarkStart w:id="43" w:name="_Toc20823286"/>
      <w:bookmarkStart w:id="44" w:name="_Toc16938530"/>
      <w:r>
        <w:rPr>
          <w:rFonts w:hint="eastAsia" w:ascii="宋体" w:hAnsi="宋体" w:cs="宋体"/>
          <w:kern w:val="0"/>
          <w:sz w:val="28"/>
          <w:szCs w:val="28"/>
        </w:rPr>
        <w:t>1.响应文件的语言及度量衡单位</w:t>
      </w:r>
      <w:bookmarkEnd w:id="41"/>
      <w:bookmarkEnd w:id="42"/>
      <w:bookmarkEnd w:id="43"/>
      <w:bookmarkEnd w:id="44"/>
    </w:p>
    <w:p w14:paraId="589B58AF">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1.1 供应商</w:t>
      </w:r>
      <w:r>
        <w:rPr>
          <w:rFonts w:hint="eastAsia" w:ascii="宋体" w:hAnsi="宋体" w:cs="宋体"/>
          <w:sz w:val="28"/>
          <w:szCs w:val="28"/>
        </w:rPr>
        <w:t>提交的响应文件以及供应商与采购代理机构及采购人就有关事项的所有来往通知、函件和文件均应使用</w:t>
      </w:r>
      <w:r>
        <w:rPr>
          <w:rFonts w:hint="eastAsia" w:ascii="宋体" w:hAnsi="宋体" w:cs="宋体"/>
          <w:bCs/>
          <w:sz w:val="28"/>
          <w:szCs w:val="28"/>
        </w:rPr>
        <w:t>简体中文</w:t>
      </w:r>
      <w:r>
        <w:rPr>
          <w:rFonts w:hint="eastAsia" w:ascii="宋体" w:hAnsi="宋体" w:cs="宋体"/>
          <w:sz w:val="28"/>
          <w:szCs w:val="28"/>
        </w:rPr>
        <w:t>。</w:t>
      </w:r>
    </w:p>
    <w:p w14:paraId="73383837">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1.2</w:t>
      </w:r>
      <w:r>
        <w:rPr>
          <w:rFonts w:hint="eastAsia" w:ascii="宋体" w:hAnsi="宋体" w:cs="宋体"/>
          <w:sz w:val="28"/>
          <w:szCs w:val="28"/>
        </w:rPr>
        <w:t xml:space="preserve"> 除技术性能另有规定外，响应文件所使用的度量衡单位，均须采用国家法定计量单位。</w:t>
      </w:r>
    </w:p>
    <w:p w14:paraId="01483949">
      <w:pPr>
        <w:keepNext/>
        <w:adjustRightInd w:val="0"/>
        <w:snapToGrid w:val="0"/>
        <w:spacing w:line="460" w:lineRule="exact"/>
        <w:ind w:firstLine="560" w:firstLineChars="200"/>
        <w:rPr>
          <w:rFonts w:ascii="宋体" w:hAnsi="宋体" w:cs="宋体"/>
          <w:b/>
          <w:bCs/>
          <w:kern w:val="0"/>
          <w:sz w:val="28"/>
          <w:szCs w:val="28"/>
        </w:rPr>
      </w:pPr>
      <w:bookmarkStart w:id="45" w:name="_Toc462564074"/>
      <w:bookmarkStart w:id="46" w:name="_Toc513029215"/>
      <w:bookmarkStart w:id="47" w:name="_Toc16938531"/>
      <w:bookmarkStart w:id="48" w:name="_Toc20823287"/>
      <w:r>
        <w:rPr>
          <w:rFonts w:hint="eastAsia" w:ascii="宋体" w:hAnsi="宋体" w:cs="宋体"/>
          <w:kern w:val="0"/>
          <w:sz w:val="28"/>
          <w:szCs w:val="28"/>
        </w:rPr>
        <w:t>2.响应文件构成</w:t>
      </w:r>
      <w:bookmarkEnd w:id="45"/>
      <w:bookmarkEnd w:id="46"/>
      <w:bookmarkEnd w:id="47"/>
      <w:bookmarkEnd w:id="48"/>
    </w:p>
    <w:p w14:paraId="03216189">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2.1</w:t>
      </w:r>
      <w:r>
        <w:rPr>
          <w:rFonts w:hint="eastAsia" w:ascii="宋体" w:hAnsi="宋体" w:cs="宋体"/>
          <w:sz w:val="28"/>
          <w:szCs w:val="28"/>
        </w:rPr>
        <w:t xml:space="preserve"> 供应商编写的响应文件应包括资格审查证明材料文件、商务技术标文件、价格标文件。供应商按“第五部分 响应文件组成”要求编写响应文件。</w:t>
      </w:r>
    </w:p>
    <w:p w14:paraId="4079B7F2">
      <w:pPr>
        <w:keepNext/>
        <w:adjustRightInd w:val="0"/>
        <w:snapToGrid w:val="0"/>
        <w:spacing w:line="460" w:lineRule="exact"/>
        <w:ind w:firstLine="560" w:firstLineChars="200"/>
        <w:rPr>
          <w:rFonts w:ascii="宋体" w:hAnsi="宋体" w:cs="宋体"/>
          <w:b/>
          <w:bCs/>
          <w:kern w:val="0"/>
          <w:sz w:val="28"/>
          <w:szCs w:val="28"/>
        </w:rPr>
      </w:pPr>
      <w:bookmarkStart w:id="49" w:name="_Hlt26668975"/>
      <w:bookmarkEnd w:id="49"/>
      <w:bookmarkStart w:id="50" w:name="_Hlt26670360"/>
      <w:bookmarkEnd w:id="50"/>
      <w:bookmarkStart w:id="51" w:name="_Hlt26954838"/>
      <w:bookmarkEnd w:id="51"/>
      <w:bookmarkStart w:id="52" w:name="_Toc14577360"/>
      <w:bookmarkStart w:id="53" w:name="_Toc49090511"/>
      <w:r>
        <w:rPr>
          <w:rFonts w:hint="eastAsia" w:ascii="宋体" w:hAnsi="宋体" w:cs="宋体"/>
          <w:kern w:val="0"/>
          <w:sz w:val="28"/>
          <w:szCs w:val="28"/>
        </w:rPr>
        <w:t>3.</w:t>
      </w:r>
      <w:bookmarkEnd w:id="52"/>
      <w:bookmarkEnd w:id="53"/>
      <w:r>
        <w:rPr>
          <w:rFonts w:hint="eastAsia" w:ascii="宋体" w:hAnsi="宋体" w:cs="宋体"/>
          <w:kern w:val="0"/>
          <w:sz w:val="28"/>
          <w:szCs w:val="28"/>
        </w:rPr>
        <w:t>投标响应有效期</w:t>
      </w:r>
    </w:p>
    <w:p w14:paraId="32D27353">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3.1投标响应有效期为采购代理机构规定的响应文件</w:t>
      </w:r>
      <w:r>
        <w:rPr>
          <w:rFonts w:hint="eastAsia" w:ascii="宋体" w:hAnsi="宋体" w:cs="宋体"/>
          <w:sz w:val="28"/>
          <w:szCs w:val="28"/>
        </w:rPr>
        <w:t>提交</w:t>
      </w:r>
      <w:r>
        <w:rPr>
          <w:rFonts w:hint="eastAsia" w:ascii="宋体" w:hAnsi="宋体" w:cs="宋体"/>
          <w:bCs/>
          <w:sz w:val="28"/>
          <w:szCs w:val="28"/>
        </w:rPr>
        <w:t>截止时间后</w:t>
      </w:r>
      <w:r>
        <w:rPr>
          <w:rFonts w:hint="eastAsia" w:ascii="宋体" w:hAnsi="宋体" w:cs="宋体"/>
          <w:b/>
          <w:sz w:val="28"/>
          <w:szCs w:val="28"/>
          <w:u w:val="single"/>
        </w:rPr>
        <w:t>六十（60）天</w:t>
      </w:r>
      <w:r>
        <w:rPr>
          <w:rFonts w:hint="eastAsia" w:ascii="宋体" w:hAnsi="宋体" w:cs="宋体"/>
          <w:bCs/>
          <w:sz w:val="28"/>
          <w:szCs w:val="28"/>
        </w:rPr>
        <w:t>。投标响应有效期比规定短的将被视为非实质性响应而予以拒绝。</w:t>
      </w:r>
    </w:p>
    <w:p w14:paraId="35F61375">
      <w:pPr>
        <w:keepNext/>
        <w:adjustRightInd w:val="0"/>
        <w:snapToGrid w:val="0"/>
        <w:spacing w:line="460" w:lineRule="exact"/>
        <w:ind w:firstLine="560" w:firstLineChars="200"/>
        <w:rPr>
          <w:rFonts w:ascii="宋体" w:hAnsi="宋体" w:cs="宋体"/>
          <w:b/>
          <w:bCs/>
          <w:kern w:val="0"/>
          <w:sz w:val="28"/>
          <w:szCs w:val="28"/>
        </w:rPr>
      </w:pPr>
      <w:r>
        <w:rPr>
          <w:rFonts w:hint="eastAsia" w:ascii="宋体" w:hAnsi="宋体" w:cs="宋体"/>
          <w:kern w:val="0"/>
          <w:sz w:val="28"/>
          <w:szCs w:val="28"/>
        </w:rPr>
        <w:t>4. 投标响应有效期的延长</w:t>
      </w:r>
    </w:p>
    <w:p w14:paraId="40E8090C">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4.1在特殊情况下，采购代理机构于原投标响应有效期满之前，可向投标供应商提出延长投标响应有效期的要求。这种要求与答复均应采用书面形式。供应商可以拒绝采购代理机构的这一要求而放弃投标响应，同意延长投标响应有效期的供应商既不能要求也不允许修改其响应文件。</w:t>
      </w:r>
      <w:r>
        <w:rPr>
          <w:rFonts w:hint="eastAsia" w:ascii="宋体" w:hAnsi="宋体" w:cs="宋体"/>
          <w:sz w:val="28"/>
          <w:szCs w:val="28"/>
        </w:rPr>
        <w:t>受投标响应有效期约束的所有权利与义务均延长至新的有效期</w:t>
      </w:r>
      <w:r>
        <w:rPr>
          <w:rFonts w:hint="eastAsia" w:ascii="宋体" w:hAnsi="宋体" w:cs="宋体"/>
          <w:bCs/>
          <w:sz w:val="28"/>
          <w:szCs w:val="28"/>
        </w:rPr>
        <w:t>。</w:t>
      </w:r>
    </w:p>
    <w:p w14:paraId="316D12E6">
      <w:pPr>
        <w:keepNext/>
        <w:keepLines/>
        <w:adjustRightInd w:val="0"/>
        <w:snapToGrid w:val="0"/>
        <w:spacing w:line="460" w:lineRule="exact"/>
        <w:ind w:firstLine="562" w:firstLineChars="200"/>
        <w:outlineLvl w:val="1"/>
        <w:rPr>
          <w:rFonts w:ascii="宋体" w:hAnsi="宋体" w:cs="宋体"/>
          <w:b/>
          <w:bCs/>
          <w:kern w:val="0"/>
          <w:sz w:val="28"/>
          <w:szCs w:val="28"/>
        </w:rPr>
      </w:pPr>
      <w:bookmarkStart w:id="54" w:name="_Hlt26954852"/>
      <w:bookmarkEnd w:id="54"/>
      <w:bookmarkStart w:id="55" w:name="_Hlt26954739"/>
      <w:bookmarkEnd w:id="55"/>
      <w:bookmarkStart w:id="56" w:name="_Toc513029224"/>
      <w:bookmarkStart w:id="57" w:name="_Toc20823296"/>
      <w:bookmarkStart w:id="58" w:name="_Toc120614217"/>
      <w:bookmarkStart w:id="59" w:name="_Toc16938540"/>
      <w:r>
        <w:rPr>
          <w:rFonts w:hint="eastAsia" w:ascii="宋体" w:hAnsi="宋体" w:cs="宋体"/>
          <w:b/>
          <w:bCs/>
          <w:kern w:val="0"/>
          <w:sz w:val="28"/>
          <w:szCs w:val="28"/>
        </w:rPr>
        <w:t>四、响应文件的提交</w:t>
      </w:r>
      <w:bookmarkEnd w:id="56"/>
      <w:bookmarkEnd w:id="57"/>
      <w:bookmarkEnd w:id="58"/>
      <w:bookmarkEnd w:id="59"/>
    </w:p>
    <w:p w14:paraId="28EE1DB8">
      <w:pPr>
        <w:keepNext/>
        <w:adjustRightInd w:val="0"/>
        <w:snapToGrid w:val="0"/>
        <w:spacing w:line="460" w:lineRule="exact"/>
        <w:ind w:firstLine="560" w:firstLineChars="200"/>
        <w:rPr>
          <w:rFonts w:ascii="宋体" w:hAnsi="宋体" w:cs="宋体"/>
          <w:b/>
          <w:bCs/>
          <w:kern w:val="0"/>
          <w:sz w:val="28"/>
          <w:szCs w:val="28"/>
        </w:rPr>
      </w:pPr>
      <w:bookmarkStart w:id="60" w:name="_Toc20823297"/>
      <w:bookmarkStart w:id="61" w:name="_Toc16938541"/>
      <w:bookmarkStart w:id="62" w:name="_Toc462564084"/>
      <w:bookmarkStart w:id="63" w:name="_Toc513029225"/>
      <w:bookmarkStart w:id="64" w:name="_Toc513029226"/>
      <w:bookmarkStart w:id="65" w:name="_Toc16938542"/>
      <w:bookmarkStart w:id="66" w:name="_Toc20823298"/>
      <w:r>
        <w:rPr>
          <w:rFonts w:hint="eastAsia" w:ascii="宋体" w:hAnsi="宋体" w:cs="宋体"/>
          <w:kern w:val="0"/>
          <w:sz w:val="28"/>
          <w:szCs w:val="28"/>
        </w:rPr>
        <w:t>1.响应文件</w:t>
      </w:r>
      <w:bookmarkEnd w:id="60"/>
      <w:bookmarkEnd w:id="61"/>
      <w:bookmarkEnd w:id="62"/>
      <w:bookmarkEnd w:id="63"/>
      <w:r>
        <w:rPr>
          <w:rFonts w:hint="eastAsia" w:ascii="宋体" w:hAnsi="宋体" w:cs="宋体"/>
          <w:kern w:val="0"/>
          <w:sz w:val="28"/>
          <w:szCs w:val="28"/>
        </w:rPr>
        <w:t>的提交</w:t>
      </w:r>
    </w:p>
    <w:p w14:paraId="6A4856E0">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1.1 响应</w:t>
      </w:r>
      <w:r>
        <w:rPr>
          <w:rFonts w:hint="eastAsia" w:ascii="宋体" w:hAnsi="宋体" w:cs="宋体"/>
          <w:b/>
          <w:sz w:val="28"/>
          <w:szCs w:val="28"/>
        </w:rPr>
        <w:t>文件四部分内容（资格审查文件、商务技术文件、价格文件、电子文件）须分别单独密封，</w:t>
      </w:r>
      <w:r>
        <w:rPr>
          <w:rFonts w:hint="eastAsia" w:ascii="宋体" w:hAnsi="宋体" w:cs="宋体"/>
          <w:b/>
          <w:sz w:val="28"/>
          <w:szCs w:val="28"/>
          <w:lang w:val="zh-CN"/>
        </w:rPr>
        <w:t>并牢</w:t>
      </w:r>
      <w:r>
        <w:rPr>
          <w:rFonts w:hint="eastAsia" w:ascii="宋体" w:hAnsi="宋体" w:cs="宋体"/>
          <w:b/>
          <w:sz w:val="28"/>
          <w:szCs w:val="28"/>
        </w:rPr>
        <w:t>固装订成册，不得相互混淆。价格文件不得出现于其他响应文件中</w:t>
      </w:r>
      <w:r>
        <w:rPr>
          <w:rFonts w:hint="eastAsia" w:ascii="宋体" w:hAnsi="宋体" w:cs="宋体"/>
          <w:bCs/>
          <w:sz w:val="28"/>
          <w:szCs w:val="28"/>
        </w:rPr>
        <w:t>。</w:t>
      </w:r>
    </w:p>
    <w:p w14:paraId="790E8C42">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1.2 响应文件</w:t>
      </w:r>
      <w:r>
        <w:rPr>
          <w:rFonts w:hint="eastAsia" w:ascii="宋体" w:hAnsi="宋体" w:cs="宋体"/>
          <w:bCs/>
          <w:sz w:val="28"/>
          <w:szCs w:val="28"/>
          <w:lang w:val="en-US" w:eastAsia="zh-CN"/>
        </w:rPr>
        <w:t>纸质部分</w:t>
      </w:r>
      <w:r>
        <w:rPr>
          <w:rFonts w:hint="eastAsia" w:ascii="宋体" w:hAnsi="宋体" w:cs="宋体"/>
          <w:bCs/>
          <w:sz w:val="28"/>
          <w:szCs w:val="28"/>
        </w:rPr>
        <w:t>每一部分内容均须提供“一正、两副”纸质响应文件，并将正本、副本及图纸类等（如需提供其他资料）合并密封，统一装在一个密封袋或密封箱内（如有A3大小的图纸类，可单独密封）。</w:t>
      </w:r>
    </w:p>
    <w:p w14:paraId="159ABB1B">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1.3纸质响应文件须</w:t>
      </w:r>
      <w:r>
        <w:rPr>
          <w:rFonts w:hint="eastAsia" w:ascii="宋体" w:hAnsi="宋体" w:cs="宋体"/>
          <w:bCs/>
          <w:sz w:val="28"/>
          <w:szCs w:val="28"/>
          <w:lang w:val="zh-CN"/>
        </w:rPr>
        <w:t>采用A4纸（</w:t>
      </w:r>
      <w:r>
        <w:rPr>
          <w:rFonts w:hint="eastAsia" w:ascii="宋体" w:hAnsi="宋体" w:cs="宋体"/>
          <w:bCs/>
          <w:sz w:val="28"/>
          <w:szCs w:val="28"/>
        </w:rPr>
        <w:t>图纸等除外），正本须打印并由法定代表人或授权人签字并加盖单位印章。副本可复印，但须加盖单位印章。文件内容中不得行间插字、涂改、增删，如修补错漏处，须由响应文件签署人签字并加盖公章。</w:t>
      </w:r>
    </w:p>
    <w:p w14:paraId="4BCD0F33">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1.4响应文件密封后封袋封面应标明响应文件项目名称、供应商名称等关键信息并加盖单位公章。</w:t>
      </w:r>
    </w:p>
    <w:p w14:paraId="76E0975F">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1.5递交时间：供应商须在规定的响应文件接收截止时间前送达指定地点。供应商提交响应文件，即视为已响应参加政府采购活动。</w:t>
      </w:r>
    </w:p>
    <w:p w14:paraId="0EDABB96">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友情提醒：代理机构将拒绝接收在响应文件接收截止时间后递交的响应文件。</w:t>
      </w:r>
    </w:p>
    <w:p w14:paraId="7739F19E">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2.响应文件截止日期</w:t>
      </w:r>
      <w:bookmarkEnd w:id="64"/>
      <w:bookmarkEnd w:id="65"/>
      <w:bookmarkEnd w:id="66"/>
    </w:p>
    <w:p w14:paraId="4B6C4674">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2.1 供应商提交响应文件的时间不得迟于招标公告中规定的响应文件提交截止时间。</w:t>
      </w:r>
    </w:p>
    <w:p w14:paraId="285C810C">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供应商应充分考虑交通路况、停车、疫情管控等风险因素，如因供应商自身原因导致投标响应文件提交不成功，由供应商自行承担全部责任。</w:t>
      </w:r>
    </w:p>
    <w:p w14:paraId="6580898A">
      <w:pPr>
        <w:adjustRightInd w:val="0"/>
        <w:snapToGrid w:val="0"/>
        <w:spacing w:line="460" w:lineRule="exact"/>
        <w:ind w:firstLine="560" w:firstLineChars="200"/>
        <w:rPr>
          <w:rFonts w:ascii="宋体" w:hAnsi="宋体" w:cs="宋体"/>
          <w:bCs/>
          <w:sz w:val="28"/>
          <w:szCs w:val="28"/>
        </w:rPr>
      </w:pPr>
      <w:r>
        <w:rPr>
          <w:rFonts w:hint="eastAsia" w:ascii="宋体" w:hAnsi="宋体" w:cs="宋体"/>
          <w:sz w:val="28"/>
          <w:szCs w:val="28"/>
        </w:rPr>
        <w:t>2.2</w:t>
      </w:r>
      <w:r>
        <w:rPr>
          <w:rFonts w:hint="eastAsia" w:ascii="宋体" w:hAnsi="宋体" w:cs="宋体"/>
          <w:bCs/>
          <w:sz w:val="28"/>
          <w:szCs w:val="28"/>
        </w:rPr>
        <w:t xml:space="preserve"> 采购代理机构可以按照规定，通过修改响应文件酌情延长响应文件提交截止日期，在此情况下，供应商的所有权利和义务以及供应商受制的截止日期均应以延长后新的截止日期为准。</w:t>
      </w:r>
    </w:p>
    <w:p w14:paraId="39F1E0C3">
      <w:pPr>
        <w:keepNext/>
        <w:adjustRightInd w:val="0"/>
        <w:snapToGrid w:val="0"/>
        <w:spacing w:line="460" w:lineRule="exact"/>
        <w:ind w:firstLine="560" w:firstLineChars="200"/>
        <w:rPr>
          <w:rFonts w:ascii="宋体" w:hAnsi="宋体" w:cs="宋体"/>
          <w:b/>
          <w:bCs/>
          <w:kern w:val="0"/>
          <w:sz w:val="28"/>
          <w:szCs w:val="28"/>
        </w:rPr>
      </w:pPr>
      <w:bookmarkStart w:id="67" w:name="_Toc16938543"/>
      <w:bookmarkStart w:id="68" w:name="_Toc20823299"/>
      <w:bookmarkStart w:id="69" w:name="_Toc513029227"/>
      <w:r>
        <w:rPr>
          <w:rFonts w:hint="eastAsia" w:ascii="宋体" w:hAnsi="宋体" w:cs="宋体"/>
          <w:kern w:val="0"/>
          <w:sz w:val="28"/>
          <w:szCs w:val="28"/>
        </w:rPr>
        <w:t>3.响应文件</w:t>
      </w:r>
      <w:bookmarkEnd w:id="67"/>
      <w:bookmarkEnd w:id="68"/>
      <w:bookmarkEnd w:id="69"/>
      <w:r>
        <w:rPr>
          <w:rFonts w:hint="eastAsia" w:ascii="宋体" w:hAnsi="宋体" w:cs="宋体"/>
          <w:kern w:val="0"/>
          <w:sz w:val="28"/>
          <w:szCs w:val="28"/>
        </w:rPr>
        <w:t>的拒收</w:t>
      </w:r>
    </w:p>
    <w:p w14:paraId="2CBEB8E0">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3.1 采购代理机构拒绝接收在其规定的响应文件提交截止时间后提交的任何响应文件。</w:t>
      </w:r>
    </w:p>
    <w:p w14:paraId="7610FE99">
      <w:pPr>
        <w:keepNext/>
        <w:adjustRightInd w:val="0"/>
        <w:snapToGrid w:val="0"/>
        <w:spacing w:line="460" w:lineRule="exact"/>
        <w:ind w:firstLine="560" w:firstLineChars="200"/>
        <w:rPr>
          <w:rFonts w:ascii="宋体" w:hAnsi="宋体" w:cs="宋体"/>
          <w:b/>
          <w:bCs/>
          <w:kern w:val="0"/>
          <w:sz w:val="28"/>
          <w:szCs w:val="28"/>
        </w:rPr>
      </w:pPr>
      <w:bookmarkStart w:id="70" w:name="_Toc513029228"/>
      <w:bookmarkStart w:id="71" w:name="_Toc20823300"/>
      <w:bookmarkStart w:id="72" w:name="_Toc16938544"/>
      <w:r>
        <w:rPr>
          <w:rFonts w:hint="eastAsia" w:ascii="宋体" w:hAnsi="宋体" w:cs="宋体"/>
          <w:kern w:val="0"/>
          <w:sz w:val="28"/>
          <w:szCs w:val="28"/>
        </w:rPr>
        <w:t>4. 响应文件的撤回和修改</w:t>
      </w:r>
      <w:bookmarkEnd w:id="70"/>
      <w:bookmarkEnd w:id="71"/>
      <w:bookmarkEnd w:id="72"/>
    </w:p>
    <w:p w14:paraId="1AACE58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4.1 响应文件的撤回</w:t>
      </w:r>
    </w:p>
    <w:p w14:paraId="670D60DD">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4.1.1 响应文件的撤回</w:t>
      </w:r>
    </w:p>
    <w:p w14:paraId="73EC4D0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供应商可在响应文件提交截止时间前，书面撤回其投标响应文件。</w:t>
      </w:r>
    </w:p>
    <w:p w14:paraId="0553F56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4.1.2 供应商撤回投标响应文件，则认为其不再参与本项目公开招标活动。</w:t>
      </w:r>
    </w:p>
    <w:p w14:paraId="7030C60F">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4.2 响应文件的修改</w:t>
      </w:r>
    </w:p>
    <w:p w14:paraId="6CD96F6E">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在响应文件提交截止时间之后，供应商不得再对其提交的响应文件进行修改。</w:t>
      </w:r>
    </w:p>
    <w:p w14:paraId="36785214">
      <w:pPr>
        <w:adjustRightInd w:val="0"/>
        <w:snapToGrid w:val="0"/>
        <w:spacing w:line="460" w:lineRule="exact"/>
        <w:ind w:firstLine="562" w:firstLineChars="200"/>
        <w:outlineLvl w:val="1"/>
        <w:rPr>
          <w:rFonts w:ascii="宋体" w:hAnsi="宋体" w:cs="宋体"/>
          <w:b/>
          <w:bCs/>
          <w:sz w:val="28"/>
          <w:szCs w:val="28"/>
        </w:rPr>
      </w:pPr>
      <w:bookmarkStart w:id="73" w:name="_Toc120614218"/>
      <w:bookmarkStart w:id="74" w:name="_Toc16938545"/>
      <w:bookmarkStart w:id="75" w:name="_Toc513029229"/>
      <w:bookmarkStart w:id="76" w:name="_Toc20823301"/>
      <w:r>
        <w:rPr>
          <w:rFonts w:hint="eastAsia" w:ascii="宋体" w:hAnsi="宋体" w:cs="宋体"/>
          <w:b/>
          <w:bCs/>
          <w:sz w:val="28"/>
          <w:szCs w:val="28"/>
        </w:rPr>
        <w:t>五</w:t>
      </w:r>
      <w:bookmarkEnd w:id="73"/>
      <w:bookmarkEnd w:id="74"/>
      <w:bookmarkEnd w:id="75"/>
      <w:bookmarkEnd w:id="76"/>
      <w:bookmarkStart w:id="77" w:name="_Toc16938546"/>
      <w:bookmarkStart w:id="78" w:name="_Toc513029230"/>
      <w:bookmarkStart w:id="79" w:name="_Toc20823302"/>
      <w:r>
        <w:rPr>
          <w:rFonts w:hint="eastAsia" w:ascii="宋体" w:hAnsi="宋体" w:cs="宋体"/>
          <w:b/>
          <w:bCs/>
          <w:sz w:val="28"/>
          <w:szCs w:val="28"/>
        </w:rPr>
        <w:t>、开标与评审</w:t>
      </w:r>
    </w:p>
    <w:p w14:paraId="578027F4">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1.开标仪式</w:t>
      </w:r>
    </w:p>
    <w:p w14:paraId="5F111EDC">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1.1采购代理机构将在招标公告中规定的时间和地点组织公开招标开始仪式。供应商应当在招标公告中规定的时间和地点参加公开招标活动。</w:t>
      </w:r>
    </w:p>
    <w:p w14:paraId="24038B7B">
      <w:pPr>
        <w:adjustRightInd w:val="0"/>
        <w:snapToGrid w:val="0"/>
        <w:spacing w:line="460" w:lineRule="exact"/>
        <w:ind w:firstLine="560" w:firstLineChars="200"/>
        <w:rPr>
          <w:rFonts w:ascii="宋体" w:hAnsi="宋体" w:cs="宋体"/>
          <w:b/>
          <w:sz w:val="28"/>
          <w:szCs w:val="28"/>
        </w:rPr>
      </w:pPr>
      <w:r>
        <w:rPr>
          <w:rFonts w:hint="eastAsia" w:ascii="宋体" w:hAnsi="宋体" w:cs="宋体"/>
          <w:bCs/>
          <w:sz w:val="28"/>
          <w:szCs w:val="28"/>
        </w:rPr>
        <w:t>1.2 公开招标活动的文件密封性检查工作</w:t>
      </w:r>
      <w:r>
        <w:rPr>
          <w:rFonts w:hint="eastAsia" w:ascii="宋体" w:hAnsi="宋体" w:cs="宋体"/>
          <w:sz w:val="28"/>
          <w:szCs w:val="28"/>
        </w:rPr>
        <w:t>由采购代理机构组织。</w:t>
      </w:r>
    </w:p>
    <w:p w14:paraId="3B1F428B">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1.3供应商在投标过程中涉及的招标文件密封性检查、中标结果确认等工作，按照采购代理机构指引进行。</w:t>
      </w:r>
    </w:p>
    <w:p w14:paraId="2E34E50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2.评标委员会</w:t>
      </w:r>
    </w:p>
    <w:p w14:paraId="26A73C2B">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2.1</w:t>
      </w:r>
      <w:r>
        <w:rPr>
          <w:rFonts w:hint="eastAsia" w:ascii="宋体" w:hAnsi="宋体" w:cs="宋体"/>
          <w:sz w:val="28"/>
          <w:szCs w:val="28"/>
        </w:rPr>
        <w:t>开标后，代理机构将立即组织评标委员会（以下简称评委会）进行评标。</w:t>
      </w:r>
    </w:p>
    <w:p w14:paraId="1C7BAB40">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2.2</w:t>
      </w:r>
      <w:r>
        <w:rPr>
          <w:rFonts w:hint="eastAsia" w:ascii="宋体" w:hAnsi="宋体" w:cs="宋体"/>
          <w:sz w:val="28"/>
          <w:szCs w:val="28"/>
        </w:rPr>
        <w:t>评委会由有关技术、经济等方面的专家组成，且人员构成符合招标有关规定。</w:t>
      </w:r>
    </w:p>
    <w:p w14:paraId="6E3E4184">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2.3</w:t>
      </w:r>
      <w:r>
        <w:rPr>
          <w:rFonts w:hint="eastAsia" w:ascii="宋体" w:hAnsi="宋体" w:cs="宋体"/>
          <w:sz w:val="28"/>
          <w:szCs w:val="28"/>
        </w:rPr>
        <w:t>评委会独立工作，负责评审所有投标文件并推荐中候选标人。</w:t>
      </w:r>
    </w:p>
    <w:p w14:paraId="59DA52D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3. 评审过程的保密与公正</w:t>
      </w:r>
    </w:p>
    <w:p w14:paraId="4195F147">
      <w:pPr>
        <w:tabs>
          <w:tab w:val="left" w:pos="900"/>
        </w:tabs>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3.1</w:t>
      </w:r>
      <w:r>
        <w:rPr>
          <w:rFonts w:hint="eastAsia" w:ascii="宋体" w:hAnsi="宋体" w:cs="宋体"/>
          <w:sz w:val="28"/>
          <w:szCs w:val="28"/>
        </w:rPr>
        <w:t>公开开标后，直至向中标的投标人授予合同时止，凡是与审查、澄清、评价和比较投标的有关资料以及授标建议等，采购人、评委、代理机构均不得向投标人或与评标无关的其他人员透露。</w:t>
      </w:r>
    </w:p>
    <w:p w14:paraId="21CC0339">
      <w:pPr>
        <w:tabs>
          <w:tab w:val="left" w:pos="900"/>
        </w:tabs>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3.2</w:t>
      </w:r>
      <w:r>
        <w:rPr>
          <w:rFonts w:hint="eastAsia" w:ascii="宋体" w:hAnsi="宋体" w:cs="宋体"/>
          <w:sz w:val="28"/>
          <w:szCs w:val="28"/>
        </w:rPr>
        <w:t>在评标过程中，投标人不得以任何行为影响评标过程，否则其投标文件将被作为无效投标文件。</w:t>
      </w:r>
    </w:p>
    <w:p w14:paraId="7B0F21A7">
      <w:pPr>
        <w:tabs>
          <w:tab w:val="left" w:pos="900"/>
        </w:tabs>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3.3</w:t>
      </w:r>
      <w:r>
        <w:rPr>
          <w:rFonts w:hint="eastAsia" w:ascii="宋体" w:hAnsi="宋体" w:cs="宋体"/>
          <w:sz w:val="28"/>
          <w:szCs w:val="28"/>
        </w:rPr>
        <w:t>在评标期间，代理机构将设专门人员与投标人联系。</w:t>
      </w:r>
    </w:p>
    <w:p w14:paraId="5B87CD97">
      <w:pPr>
        <w:tabs>
          <w:tab w:val="left" w:pos="900"/>
        </w:tabs>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3.4</w:t>
      </w:r>
      <w:r>
        <w:rPr>
          <w:rFonts w:hint="eastAsia" w:ascii="宋体" w:hAnsi="宋体" w:cs="宋体"/>
          <w:sz w:val="28"/>
          <w:szCs w:val="28"/>
        </w:rPr>
        <w:t>代理机构和评标委员会不得向落标的投标人解释未中标原因，也不公布评标过程中的相关细节。</w:t>
      </w:r>
    </w:p>
    <w:p w14:paraId="4954A507">
      <w:pPr>
        <w:tabs>
          <w:tab w:val="left" w:pos="900"/>
        </w:tabs>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4.评审过程的澄清</w:t>
      </w:r>
    </w:p>
    <w:p w14:paraId="5B5F20DC">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4.1评标期间，为有助于投标文件的审查、评价和比较，评委会有权以书面形式要求投标人对其投标文件进行澄清，但并非对每个投标人都作澄清要求。</w:t>
      </w:r>
    </w:p>
    <w:p w14:paraId="709FF86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4.2到评委会澄清要求的投标人应派人按评委会通知的时间和地点做出书面澄清，书面澄清的内容须由投标人法人或授权代表签署，并作为投标文件的补充部分，但投标的价格和实质性的内容不得做任何更改。</w:t>
      </w:r>
    </w:p>
    <w:p w14:paraId="746AA13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4.3接到评委会澄清要求的投标人如未按规定作出澄清，其风险由投标人自行承担。</w:t>
      </w:r>
    </w:p>
    <w:p w14:paraId="6D799E92">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5.对投标响应文件的初审</w:t>
      </w:r>
    </w:p>
    <w:p w14:paraId="1B4B0BC6">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sz w:val="28"/>
          <w:szCs w:val="28"/>
        </w:rPr>
        <w:t>5.1</w:t>
      </w:r>
      <w:r>
        <w:rPr>
          <w:rFonts w:hint="eastAsia" w:ascii="宋体" w:hAnsi="宋体" w:cs="宋体"/>
          <w:bCs/>
          <w:sz w:val="28"/>
          <w:szCs w:val="28"/>
        </w:rPr>
        <w:t>投标文件初审分为资格性检查和符合性检查。</w:t>
      </w:r>
    </w:p>
    <w:p w14:paraId="4FF27FF4">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资格性检查：依据法律法规和招标文件的规定，对投标文件中的资格证明文件进行审查，以确定投标供应商是否具备投标资格。</w:t>
      </w:r>
    </w:p>
    <w:p w14:paraId="0B132963">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凡在投标截止时间节点，已被“信用中国”网站列入信用记录失信被执行人、重大税收违法案件当事人名单、政府采购严重违法失信行为记录名单，将拒绝其参加招标活动。</w:t>
      </w:r>
    </w:p>
    <w:p w14:paraId="62195780">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符合性检查：依据招标文件的规定，从投标文件的有效性、完整性和对招标文件的响应程度进行审查，以确定是否对招标文件的实质性要求作出响应。</w:t>
      </w:r>
    </w:p>
    <w:p w14:paraId="155FDACC">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sz w:val="28"/>
          <w:szCs w:val="28"/>
        </w:rPr>
        <w:t>5.2</w:t>
      </w:r>
      <w:r>
        <w:rPr>
          <w:rFonts w:hint="eastAsia" w:ascii="宋体" w:hAnsi="宋体" w:cs="宋体"/>
          <w:bCs/>
          <w:sz w:val="28"/>
          <w:szCs w:val="28"/>
        </w:rPr>
        <w:t>在详细评标之前，评委会将首先审查每份投标文件是否实质性响应了招标文件的要求。实质性响应的投标应该是与招标文件要求的全部条款、条件和规格相符，没有重大偏离或保留的投标。</w:t>
      </w:r>
    </w:p>
    <w:p w14:paraId="768C3637">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14:paraId="69890A34">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sz w:val="28"/>
          <w:szCs w:val="28"/>
        </w:rPr>
        <w:t>5.3</w:t>
      </w:r>
      <w:r>
        <w:rPr>
          <w:rFonts w:hint="eastAsia" w:ascii="宋体" w:hAnsi="宋体" w:cs="宋体"/>
          <w:bCs/>
          <w:sz w:val="28"/>
          <w:szCs w:val="28"/>
        </w:rPr>
        <w:t>如果投标文件实质上没有响应招标文件的要求，评委会将予以拒绝，投标人不得通过修改或撤销不符合要求的偏离或保留而使其投标成为实质性响应的投标。</w:t>
      </w:r>
    </w:p>
    <w:p w14:paraId="3DB15613">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sz w:val="28"/>
          <w:szCs w:val="28"/>
        </w:rPr>
        <w:t>5.4</w:t>
      </w:r>
      <w:r>
        <w:rPr>
          <w:rFonts w:hint="eastAsia" w:ascii="宋体" w:hAnsi="宋体" w:cs="宋体"/>
          <w:bCs/>
          <w:sz w:val="28"/>
          <w:szCs w:val="28"/>
        </w:rPr>
        <w:t>评委会将对确定为实质性响应的投标进行进一步审核，对投标文件中大小写金额不一致等问题的评审原则如下：</w:t>
      </w:r>
    </w:p>
    <w:p w14:paraId="09C99DF6">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77BC58DA">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sz w:val="28"/>
          <w:szCs w:val="28"/>
        </w:rPr>
        <w:t>5.5</w:t>
      </w:r>
      <w:r>
        <w:rPr>
          <w:rFonts w:hint="eastAsia" w:ascii="宋体" w:hAnsi="宋体" w:cs="宋体"/>
          <w:bCs/>
          <w:sz w:val="28"/>
          <w:szCs w:val="28"/>
        </w:rPr>
        <w:t>评委会将按上述修正错误的方法调整投标文件中的投标报价，调整后的价格应对投标人具有约束力。如果投标人不接受修正后的价格，则其投标将被拒绝。</w:t>
      </w:r>
    </w:p>
    <w:p w14:paraId="291E5B8C">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sz w:val="28"/>
          <w:szCs w:val="28"/>
        </w:rPr>
        <w:t>5.6</w:t>
      </w:r>
      <w:r>
        <w:rPr>
          <w:rFonts w:hint="eastAsia" w:ascii="宋体" w:hAnsi="宋体" w:cs="宋体"/>
          <w:bCs/>
          <w:sz w:val="28"/>
          <w:szCs w:val="28"/>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7B3D5317">
      <w:pPr>
        <w:tabs>
          <w:tab w:val="left" w:pos="6555"/>
          <w:tab w:val="right" w:pos="8306"/>
        </w:tabs>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 被认定为未实质性响应招标文件的响应文件的情形。</w:t>
      </w:r>
    </w:p>
    <w:p w14:paraId="31806FCD">
      <w:pPr>
        <w:tabs>
          <w:tab w:val="left" w:pos="6555"/>
          <w:tab w:val="right" w:pos="8306"/>
        </w:tabs>
        <w:adjustRightInd w:val="0"/>
        <w:snapToGrid w:val="0"/>
        <w:spacing w:line="460" w:lineRule="exact"/>
        <w:ind w:firstLine="560" w:firstLineChars="200"/>
        <w:rPr>
          <w:rFonts w:ascii="宋体" w:hAnsi="宋体" w:cs="宋体"/>
          <w:b/>
          <w:sz w:val="28"/>
          <w:szCs w:val="28"/>
        </w:rPr>
      </w:pPr>
      <w:r>
        <w:rPr>
          <w:rFonts w:hint="eastAsia" w:ascii="宋体" w:hAnsi="宋体" w:cs="宋体"/>
          <w:bCs/>
          <w:sz w:val="28"/>
          <w:szCs w:val="28"/>
        </w:rPr>
        <w:t>6.1出现下列情形之一的，作无效响应处理。</w:t>
      </w:r>
      <w:r>
        <w:rPr>
          <w:rFonts w:hint="eastAsia" w:ascii="宋体" w:hAnsi="宋体" w:cs="宋体"/>
          <w:bCs/>
          <w:sz w:val="28"/>
          <w:szCs w:val="28"/>
        </w:rPr>
        <w:tab/>
      </w:r>
      <w:r>
        <w:rPr>
          <w:rFonts w:hint="eastAsia" w:ascii="宋体" w:hAnsi="宋体" w:cs="宋体"/>
          <w:b/>
          <w:sz w:val="28"/>
          <w:szCs w:val="28"/>
        </w:rPr>
        <w:tab/>
      </w:r>
    </w:p>
    <w:p w14:paraId="53189A8F">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6.1.1供应商在规定的时间内未成功提交投标响应文件的。</w:t>
      </w:r>
    </w:p>
    <w:p w14:paraId="0AA05082">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6.1.2未完整提交响应文件的。</w:t>
      </w:r>
    </w:p>
    <w:p w14:paraId="6FD29270">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6.1.3同一供应商提交两个（含两个）以上不同的响应报价的。</w:t>
      </w:r>
    </w:p>
    <w:p w14:paraId="73BE00D6">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 xml:space="preserve">6.1.4不具备招标文件中规定的资格要求的。 </w:t>
      </w:r>
    </w:p>
    <w:p w14:paraId="1FFB1ECD">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 xml:space="preserve">6.1.5响应报价超过了采购预算或最高限价的。 </w:t>
      </w:r>
    </w:p>
    <w:p w14:paraId="6F8B6387">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6.1.6未通过符合性检查的。</w:t>
      </w:r>
    </w:p>
    <w:p w14:paraId="5E7A222A">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6.1.7不符合法律法规和招标文件中规定的其他实质性要求的。</w:t>
      </w:r>
    </w:p>
    <w:p w14:paraId="28BE1F62">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79DDF3A2">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6.1.9 响应文件含有采购人不能接受的附加条件的。</w:t>
      </w:r>
    </w:p>
    <w:p w14:paraId="338C65DA">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6.1.10评标委员会认为供应商的报价明显低于其他通过符合性审查供应商的报价，有可能影响产品质量或者不能诚信履约的，将要求其在合理的时间内提供说明，必要时提交相关证明材料；供应商不能证明其报价合理性的，评标委员会应当将其作为无效响应处理。</w:t>
      </w:r>
    </w:p>
    <w:p w14:paraId="15BE998A">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6.1.11本项目采购产品被财政部、国家发展改革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1BEE340D">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6.1.12响应文件未按照采购文件要求盖章、密封的。</w:t>
      </w:r>
    </w:p>
    <w:p w14:paraId="53B63CCF">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6.1.13投标人的商务技术部分得分相差悬殊，评标委员会认为得分畸低者没有实质性响应的。</w:t>
      </w:r>
    </w:p>
    <w:p w14:paraId="06B74FAE">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6.1.14其他法律法规及本招标文件规定的属无效响应的情形。</w:t>
      </w:r>
    </w:p>
    <w:p w14:paraId="1D1A0718">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6.2出现下列情形之一的，采购失败。</w:t>
      </w:r>
    </w:p>
    <w:p w14:paraId="59033993">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6.2.1符合条件的供应商或者对招标文件作实质响应的供应商不足3家的；</w:t>
      </w:r>
    </w:p>
    <w:p w14:paraId="01731AFF">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6.2.2出现影响采购公正的违法违规行为的；</w:t>
      </w:r>
    </w:p>
    <w:p w14:paraId="43DDECEF">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6.2.3因重大变故，采购任务取消的。</w:t>
      </w:r>
    </w:p>
    <w:p w14:paraId="37A79FD2">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6.2.4评标委员会认定招标文件存在歧义、重大缺陷导致评审工作无法进行。</w:t>
      </w:r>
    </w:p>
    <w:p w14:paraId="54D11BEB">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6.3 响应</w:t>
      </w:r>
      <w:r>
        <w:rPr>
          <w:rFonts w:hint="eastAsia" w:ascii="宋体" w:hAnsi="宋体" w:cs="宋体"/>
          <w:sz w:val="28"/>
          <w:szCs w:val="28"/>
        </w:rPr>
        <w:t>文件提交</w:t>
      </w:r>
      <w:r>
        <w:rPr>
          <w:rFonts w:hint="eastAsia" w:ascii="宋体" w:hAnsi="宋体" w:cs="宋体"/>
          <w:bCs/>
          <w:sz w:val="28"/>
          <w:szCs w:val="28"/>
        </w:rPr>
        <w:t>截止时间结束后参加投标的供应商不足3家的处理：</w:t>
      </w:r>
    </w:p>
    <w:p w14:paraId="17BF29A6">
      <w:pPr>
        <w:adjustRightInd w:val="0"/>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6.3.1如出现响应</w:t>
      </w:r>
      <w:r>
        <w:rPr>
          <w:rFonts w:hint="eastAsia" w:ascii="宋体" w:hAnsi="宋体" w:cs="宋体"/>
          <w:sz w:val="28"/>
          <w:szCs w:val="28"/>
        </w:rPr>
        <w:t>文件提交</w:t>
      </w:r>
      <w:r>
        <w:rPr>
          <w:rFonts w:hint="eastAsia" w:ascii="宋体" w:hAnsi="宋体" w:cs="宋体"/>
          <w:bCs/>
          <w:sz w:val="28"/>
          <w:szCs w:val="28"/>
        </w:rPr>
        <w:t>截止时间结束后参加投标的供应商或者在评审期间对招标文件做出实质响应的供应商不足3家情况，按政府采购相关规定执行。</w:t>
      </w:r>
      <w:bookmarkEnd w:id="77"/>
      <w:bookmarkEnd w:id="78"/>
      <w:bookmarkEnd w:id="79"/>
      <w:bookmarkStart w:id="80" w:name="_Toc120614219"/>
    </w:p>
    <w:p w14:paraId="2BB568B6">
      <w:pPr>
        <w:pStyle w:val="42"/>
        <w:spacing w:line="360" w:lineRule="auto"/>
        <w:ind w:left="0" w:firstLine="562"/>
        <w:rPr>
          <w:rFonts w:ascii="宋体" w:hAnsi="宋体" w:eastAsia="宋体" w:cs="宋体"/>
          <w:b/>
          <w:bCs/>
          <w:szCs w:val="28"/>
        </w:rPr>
      </w:pPr>
      <w:r>
        <w:rPr>
          <w:rFonts w:hint="eastAsia" w:ascii="宋体" w:hAnsi="宋体" w:eastAsia="宋体" w:cs="宋体"/>
          <w:b/>
          <w:bCs/>
          <w:szCs w:val="28"/>
        </w:rPr>
        <w:t>7.异常低价审查</w:t>
      </w:r>
    </w:p>
    <w:p w14:paraId="6E6EC493">
      <w:pPr>
        <w:pStyle w:val="42"/>
        <w:spacing w:line="360" w:lineRule="auto"/>
        <w:ind w:left="0" w:firstLine="562"/>
        <w:rPr>
          <w:rFonts w:ascii="宋体" w:hAnsi="宋体" w:eastAsia="宋体" w:cs="宋体"/>
          <w:b/>
          <w:bCs/>
          <w:szCs w:val="28"/>
        </w:rPr>
      </w:pPr>
      <w:r>
        <w:rPr>
          <w:rFonts w:hint="eastAsia" w:ascii="宋体" w:hAnsi="宋体" w:eastAsia="宋体" w:cs="宋体"/>
          <w:b/>
          <w:bCs/>
          <w:szCs w:val="28"/>
        </w:rPr>
        <w:t>7.1根据关于推动解决政府采购异常低价问题的通知（财库〔2026〕2号）要求，采购评审中出现下列情形之一的，评审委员会应当启动异常低价投标（响应）审查程序：</w:t>
      </w:r>
    </w:p>
    <w:p w14:paraId="60B83F49">
      <w:pPr>
        <w:pStyle w:val="42"/>
        <w:spacing w:line="360" w:lineRule="auto"/>
        <w:ind w:left="0" w:firstLine="562"/>
        <w:rPr>
          <w:rFonts w:ascii="宋体" w:hAnsi="宋体" w:eastAsia="宋体" w:cs="宋体"/>
          <w:b/>
          <w:bCs/>
          <w:szCs w:val="28"/>
        </w:rPr>
      </w:pPr>
      <w:r>
        <w:rPr>
          <w:rFonts w:hint="eastAsia" w:ascii="宋体" w:hAnsi="宋体" w:eastAsia="宋体" w:cs="宋体"/>
          <w:b/>
          <w:bCs/>
          <w:szCs w:val="28"/>
        </w:rPr>
        <w:t>（1）投标（响应）报价低于全部通过符合性审查供应商投标（响应）报价平均值50%的，即投标（响应）报价﹤全部通过符合性审查供应商投标（响应）报价平均值×50%；</w:t>
      </w:r>
    </w:p>
    <w:p w14:paraId="19BB21CE">
      <w:pPr>
        <w:pStyle w:val="42"/>
        <w:spacing w:line="360" w:lineRule="auto"/>
        <w:ind w:left="0" w:firstLine="562"/>
        <w:rPr>
          <w:rFonts w:ascii="宋体" w:hAnsi="宋体" w:eastAsia="宋体" w:cs="宋体"/>
          <w:b/>
          <w:bCs/>
          <w:szCs w:val="28"/>
        </w:rPr>
      </w:pPr>
      <w:r>
        <w:rPr>
          <w:rFonts w:hint="eastAsia" w:ascii="宋体" w:hAnsi="宋体" w:eastAsia="宋体" w:cs="宋体"/>
          <w:b/>
          <w:bCs/>
          <w:szCs w:val="28"/>
        </w:rPr>
        <w:t>（2）投标（响应）报价低于通过符合性审查的次低报价供应商投标（响应）报价50%的，即投标（响应）报价﹤通过符合性审查的次低报价供应商投标（响应）报价×50%；</w:t>
      </w:r>
    </w:p>
    <w:p w14:paraId="0EDE5358">
      <w:pPr>
        <w:pStyle w:val="42"/>
        <w:spacing w:line="360" w:lineRule="auto"/>
        <w:ind w:left="0" w:firstLine="562"/>
        <w:rPr>
          <w:rFonts w:ascii="宋体" w:hAnsi="宋体" w:eastAsia="宋体" w:cs="宋体"/>
          <w:b/>
          <w:bCs/>
          <w:szCs w:val="28"/>
        </w:rPr>
      </w:pPr>
      <w:r>
        <w:rPr>
          <w:rFonts w:hint="eastAsia" w:ascii="宋体" w:hAnsi="宋体" w:eastAsia="宋体" w:cs="宋体"/>
          <w:b/>
          <w:bCs/>
          <w:szCs w:val="28"/>
        </w:rPr>
        <w:t>（3）投标（响应）报价低于采购项目最高限价45%的，即投标（响应）报价﹤采购项目最高限价×45%；</w:t>
      </w:r>
    </w:p>
    <w:p w14:paraId="4574C26B">
      <w:pPr>
        <w:pStyle w:val="42"/>
        <w:spacing w:line="360" w:lineRule="auto"/>
        <w:ind w:left="0" w:firstLine="562"/>
        <w:rPr>
          <w:rFonts w:ascii="宋体" w:hAnsi="宋体" w:eastAsia="宋体" w:cs="宋体"/>
          <w:b/>
          <w:bCs/>
          <w:szCs w:val="28"/>
        </w:rPr>
      </w:pPr>
      <w:r>
        <w:rPr>
          <w:rFonts w:hint="eastAsia" w:ascii="宋体" w:hAnsi="宋体" w:eastAsia="宋体" w:cs="宋体"/>
          <w:b/>
          <w:bCs/>
          <w:szCs w:val="28"/>
        </w:rPr>
        <w:t>（4）评审委员会基于专业判断，认为供应商报价过低，有可能影响产品质量或者不能诚信履约的其他情形。</w:t>
      </w:r>
    </w:p>
    <w:p w14:paraId="61F771F2">
      <w:pPr>
        <w:pStyle w:val="42"/>
        <w:spacing w:line="360" w:lineRule="auto"/>
        <w:ind w:left="0" w:firstLine="562"/>
        <w:rPr>
          <w:rFonts w:ascii="宋体" w:hAnsi="宋体" w:eastAsia="宋体" w:cs="宋体"/>
          <w:b/>
          <w:bCs/>
          <w:szCs w:val="28"/>
        </w:rPr>
      </w:pPr>
      <w:r>
        <w:rPr>
          <w:rFonts w:hint="eastAsia" w:ascii="宋体" w:hAnsi="宋体" w:eastAsia="宋体" w:cs="宋体"/>
          <w:b/>
          <w:bCs/>
          <w:szCs w:val="28"/>
        </w:rPr>
        <w:t>7.2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F48D8A4">
      <w:pPr>
        <w:adjustRightInd w:val="0"/>
        <w:snapToGrid w:val="0"/>
        <w:spacing w:line="360" w:lineRule="auto"/>
        <w:ind w:firstLine="562" w:firstLineChars="200"/>
        <w:outlineLvl w:val="1"/>
        <w:rPr>
          <w:rFonts w:ascii="宋体" w:hAnsi="宋体" w:cs="宋体"/>
          <w:b/>
          <w:bCs/>
          <w:kern w:val="0"/>
          <w:sz w:val="28"/>
          <w:szCs w:val="28"/>
        </w:rPr>
      </w:pPr>
      <w:r>
        <w:rPr>
          <w:rFonts w:hint="eastAsia" w:ascii="宋体" w:hAnsi="宋体" w:cs="宋体"/>
          <w:b/>
          <w:bCs/>
          <w:kern w:val="0"/>
          <w:sz w:val="28"/>
          <w:szCs w:val="28"/>
        </w:rPr>
        <w:t>六</w:t>
      </w:r>
      <w:bookmarkEnd w:id="80"/>
      <w:r>
        <w:rPr>
          <w:rFonts w:hint="eastAsia" w:ascii="宋体" w:hAnsi="宋体" w:cs="宋体"/>
          <w:b/>
          <w:bCs/>
          <w:kern w:val="0"/>
          <w:sz w:val="28"/>
          <w:szCs w:val="28"/>
        </w:rPr>
        <w:t>、确定中标单位</w:t>
      </w:r>
      <w:bookmarkStart w:id="81" w:name="_Toc200451960"/>
    </w:p>
    <w:p w14:paraId="1BE66980">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1.评委会根据本招标文件规定评分办法与评分标准评出中标人。</w:t>
      </w:r>
    </w:p>
    <w:p w14:paraId="364535A8">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2.代理机构将在“南通市水利局网站”发布中标公告，公告期限为1个工作日。</w:t>
      </w:r>
    </w:p>
    <w:p w14:paraId="530C4D24">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3.若有充分证据证明，中标人出现下列情况之一的，一经查实，将被取消中标资格：</w:t>
      </w:r>
    </w:p>
    <w:p w14:paraId="696FABF3">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3.1提供虚假材料谋取中标的；</w:t>
      </w:r>
    </w:p>
    <w:p w14:paraId="4F15BC02">
      <w:pPr>
        <w:adjustRightInd w:val="0"/>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3.2向采购人、代理机构行贿或者提供其他不正当利益的；</w:t>
      </w:r>
    </w:p>
    <w:p w14:paraId="482FA77C">
      <w:pPr>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3.3恶意竞争，投标总报价明显低于其自身合理成本且又无法提供证明的；</w:t>
      </w:r>
    </w:p>
    <w:p w14:paraId="20B9E824">
      <w:pPr>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3.4属于本文件规定的无效条件，但在评标过程中又未被评委会发现的；</w:t>
      </w:r>
    </w:p>
    <w:p w14:paraId="01CCF02A">
      <w:pPr>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3.5与采购人或者其他供应商恶意串通的；</w:t>
      </w:r>
    </w:p>
    <w:p w14:paraId="0DA853A8">
      <w:pPr>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3.6采取不正当手段诋毁、排挤其他供应商的；</w:t>
      </w:r>
    </w:p>
    <w:p w14:paraId="4701CB42">
      <w:pPr>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3.7不符合法律法规的规定的。</w:t>
      </w:r>
    </w:p>
    <w:p w14:paraId="258E53FC">
      <w:pPr>
        <w:keepNext/>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4.有下列情形之一的，属于恶意串通：</w:t>
      </w:r>
    </w:p>
    <w:p w14:paraId="67EB4DFB">
      <w:pPr>
        <w:keepNext/>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4.1供应商直接或者间接从采购人或者采购代理机构处获得其他供应商的相关情况并修改其投标文件或者响应文件；</w:t>
      </w:r>
    </w:p>
    <w:p w14:paraId="4D546DE5">
      <w:pPr>
        <w:keepNext/>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4.2供应商按照采购人或者采购代理机构的授意撤换、修改投标文件或者响应文件；</w:t>
      </w:r>
    </w:p>
    <w:p w14:paraId="37587A9F">
      <w:pPr>
        <w:keepNext/>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4.3供应商之间协商报价、技术方案等投标文件或者响应文件的实质性内容；</w:t>
      </w:r>
    </w:p>
    <w:p w14:paraId="5B020492">
      <w:pPr>
        <w:keepNext/>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4.4属于同一集团、协会、商会等组织成员的供应商按照该组织要求协同参加采购活动；</w:t>
      </w:r>
    </w:p>
    <w:p w14:paraId="305636B0">
      <w:pPr>
        <w:keepNext/>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4.5供应商之间事先约定由某一特定供应商中标、成交；</w:t>
      </w:r>
    </w:p>
    <w:p w14:paraId="34C7996D">
      <w:pPr>
        <w:keepNext/>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4.6供应商之间商定部分供应商放弃参加采购活动或者放弃中标、成交；</w:t>
      </w:r>
    </w:p>
    <w:p w14:paraId="7E70E31E">
      <w:pPr>
        <w:keepNext/>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4.7供应商与采购人或者采购代理机构之间、供应商相互之间，为谋求特定供应商中标、成交或者排斥其他供应商的其他串通行为。</w:t>
      </w:r>
    </w:p>
    <w:p w14:paraId="5E4F7D16">
      <w:pPr>
        <w:keepNext/>
        <w:adjustRightInd w:val="0"/>
        <w:snapToGrid w:val="0"/>
        <w:spacing w:line="460" w:lineRule="exact"/>
        <w:ind w:firstLine="560" w:firstLineChars="200"/>
        <w:rPr>
          <w:rFonts w:ascii="宋体" w:hAnsi="宋体" w:cs="宋体"/>
          <w:b/>
          <w:kern w:val="0"/>
          <w:sz w:val="28"/>
          <w:szCs w:val="28"/>
        </w:rPr>
      </w:pPr>
      <w:r>
        <w:rPr>
          <w:rFonts w:hint="eastAsia" w:ascii="宋体" w:hAnsi="宋体" w:cs="宋体"/>
          <w:kern w:val="0"/>
          <w:sz w:val="28"/>
          <w:szCs w:val="28"/>
        </w:rPr>
        <w:t>6.质疑处理</w:t>
      </w:r>
      <w:bookmarkEnd w:id="81"/>
    </w:p>
    <w:p w14:paraId="68AD7416">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6.1 提出质疑的供应商应当是参与所质疑项目采购活动的供应商。潜在供应商依法获取其可质疑的招标文件的，可以对招标文件提出质疑。</w:t>
      </w:r>
    </w:p>
    <w:p w14:paraId="3171656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6.2供应商认为招标文件、采购过程和采购结果使自己的权益受到损害的，可以在知道或应知其权益受到损害之日起七个工作日内，以书面形式向采购代理机构或采购人提出质疑。上述应知其权益受到损害之日，是指：</w:t>
      </w:r>
    </w:p>
    <w:p w14:paraId="4E4BBFB7">
      <w:pPr>
        <w:adjustRightInd w:val="0"/>
        <w:snapToGrid w:val="0"/>
        <w:spacing w:line="460" w:lineRule="exact"/>
        <w:ind w:firstLine="560" w:firstLineChars="200"/>
        <w:rPr>
          <w:rFonts w:ascii="宋体" w:hAnsi="宋体" w:cs="宋体"/>
          <w:kern w:val="0"/>
          <w:sz w:val="28"/>
          <w:szCs w:val="28"/>
        </w:rPr>
      </w:pPr>
      <w:r>
        <w:rPr>
          <w:rFonts w:hint="eastAsia" w:ascii="宋体" w:hAnsi="宋体" w:cs="宋体"/>
          <w:sz w:val="28"/>
          <w:szCs w:val="28"/>
        </w:rPr>
        <w:t>6.2.1</w:t>
      </w:r>
      <w:r>
        <w:rPr>
          <w:rFonts w:hint="eastAsia" w:ascii="宋体" w:hAnsi="宋体" w:cs="宋体"/>
          <w:kern w:val="0"/>
          <w:sz w:val="28"/>
          <w:szCs w:val="28"/>
        </w:rPr>
        <w:t>对可以质疑的招标文件提出质疑的，为收到招标文件之日或者招标文件公告期限届满之日；</w:t>
      </w:r>
    </w:p>
    <w:p w14:paraId="53D29045">
      <w:pPr>
        <w:adjustRightInd w:val="0"/>
        <w:snapToGrid w:val="0"/>
        <w:spacing w:line="460" w:lineRule="exact"/>
        <w:ind w:firstLine="560" w:firstLineChars="200"/>
        <w:rPr>
          <w:rFonts w:ascii="宋体" w:hAnsi="宋体" w:cs="宋体"/>
          <w:kern w:val="0"/>
          <w:sz w:val="28"/>
          <w:szCs w:val="28"/>
        </w:rPr>
      </w:pPr>
      <w:r>
        <w:rPr>
          <w:rFonts w:hint="eastAsia" w:ascii="宋体" w:hAnsi="宋体" w:cs="宋体"/>
          <w:sz w:val="28"/>
          <w:szCs w:val="28"/>
        </w:rPr>
        <w:t>6.2.2</w:t>
      </w:r>
      <w:r>
        <w:rPr>
          <w:rFonts w:hint="eastAsia" w:ascii="宋体" w:hAnsi="宋体" w:cs="宋体"/>
          <w:kern w:val="0"/>
          <w:sz w:val="28"/>
          <w:szCs w:val="28"/>
        </w:rPr>
        <w:t>对采购过程提出质疑的，为各采购程序环节结束之日；</w:t>
      </w:r>
    </w:p>
    <w:p w14:paraId="30B90EE2">
      <w:pPr>
        <w:adjustRightInd w:val="0"/>
        <w:snapToGrid w:val="0"/>
        <w:spacing w:line="460" w:lineRule="exact"/>
        <w:ind w:firstLine="560" w:firstLineChars="200"/>
        <w:rPr>
          <w:rFonts w:ascii="宋体" w:hAnsi="宋体" w:cs="宋体"/>
          <w:kern w:val="0"/>
          <w:sz w:val="28"/>
          <w:szCs w:val="28"/>
        </w:rPr>
      </w:pPr>
      <w:r>
        <w:rPr>
          <w:rFonts w:hint="eastAsia" w:ascii="宋体" w:hAnsi="宋体" w:cs="宋体"/>
          <w:sz w:val="28"/>
          <w:szCs w:val="28"/>
        </w:rPr>
        <w:t>6.2.3</w:t>
      </w:r>
      <w:r>
        <w:rPr>
          <w:rFonts w:hint="eastAsia" w:ascii="宋体" w:hAnsi="宋体" w:cs="宋体"/>
          <w:kern w:val="0"/>
          <w:sz w:val="28"/>
          <w:szCs w:val="28"/>
        </w:rPr>
        <w:t>对中标结果提出质疑的，为中标结果公告期限届满之日。</w:t>
      </w:r>
    </w:p>
    <w:p w14:paraId="47716DDB">
      <w:pPr>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供应商应当在法定质疑期内一次性提出针对同一采购程序环节的质疑。</w:t>
      </w:r>
    </w:p>
    <w:p w14:paraId="618DE19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6.3质疑函必须按照本招标文件中《质疑函范本》要求的格式和内容进行填写。供应商如组成联合体参加投标，则《质疑函范本》中要求签字、盖章、加盖公章之处，联合体各方均须按要求签字、盖章、加盖公章。</w:t>
      </w:r>
    </w:p>
    <w:p w14:paraId="7EDB770C">
      <w:pPr>
        <w:adjustRightInd w:val="0"/>
        <w:snapToGrid w:val="0"/>
        <w:spacing w:line="460" w:lineRule="exact"/>
        <w:ind w:firstLine="560" w:firstLineChars="200"/>
        <w:rPr>
          <w:rFonts w:ascii="宋体" w:hAnsi="宋体" w:cs="宋体"/>
          <w:b/>
          <w:sz w:val="28"/>
          <w:szCs w:val="28"/>
        </w:rPr>
      </w:pPr>
      <w:r>
        <w:rPr>
          <w:rFonts w:hint="eastAsia" w:ascii="宋体" w:hAnsi="宋体" w:cs="宋体"/>
          <w:sz w:val="28"/>
          <w:szCs w:val="28"/>
        </w:rPr>
        <w:t>6.4对采购方式、招标文件中项目需求、供应商资格条件、评审方法和评审标准、资格审查结果等应当由采购人答复的质疑，请向采购人提出，由采购人负责答复。供应商对其他事项的质疑，请向采购代理机构提出，由采购代理机构负责答复。</w:t>
      </w:r>
    </w:p>
    <w:p w14:paraId="5D382CEA">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6.5 以下情形的质疑不予受理</w:t>
      </w:r>
    </w:p>
    <w:p w14:paraId="64FF72C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6.5.1 内容不符合《政府采购质疑和投诉办法》第十二条规定的质疑。</w:t>
      </w:r>
    </w:p>
    <w:p w14:paraId="3C44B59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6.5.2 超出政府采购法定期限的质疑。</w:t>
      </w:r>
    </w:p>
    <w:p w14:paraId="491C950B">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6.5.3 未参加公开招标活动的供应商或在公开招标活动中自身权益未受到损害的供应商所提出的质疑。</w:t>
      </w:r>
    </w:p>
    <w:p w14:paraId="12C561EA">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6.5.4供应商组成联合体参加投标，联合体中任何一方或多方未按要求签字、盖章、加盖公章的质疑。</w:t>
      </w:r>
    </w:p>
    <w:p w14:paraId="52E185C6">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6.6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1E4B6224">
      <w:pPr>
        <w:keepNext/>
        <w:adjustRightInd w:val="0"/>
        <w:snapToGrid w:val="0"/>
        <w:spacing w:line="460" w:lineRule="exact"/>
        <w:ind w:firstLine="560" w:firstLineChars="200"/>
        <w:rPr>
          <w:rFonts w:ascii="宋体" w:hAnsi="宋体" w:cs="宋体"/>
          <w:b/>
          <w:kern w:val="0"/>
          <w:sz w:val="28"/>
          <w:szCs w:val="28"/>
        </w:rPr>
      </w:pPr>
      <w:r>
        <w:rPr>
          <w:rFonts w:hint="eastAsia" w:ascii="宋体" w:hAnsi="宋体" w:cs="宋体"/>
          <w:kern w:val="0"/>
          <w:sz w:val="28"/>
          <w:szCs w:val="28"/>
        </w:rPr>
        <w:t>7.中标通知书</w:t>
      </w:r>
    </w:p>
    <w:p w14:paraId="1706ACDA">
      <w:pPr>
        <w:keepNext/>
        <w:keepLines/>
        <w:adjustRightInd w:val="0"/>
        <w:snapToGrid w:val="0"/>
        <w:spacing w:line="460" w:lineRule="exact"/>
        <w:ind w:firstLine="560" w:firstLineChars="200"/>
        <w:rPr>
          <w:rFonts w:ascii="宋体" w:hAnsi="宋体" w:cs="宋体"/>
          <w:sz w:val="28"/>
          <w:szCs w:val="28"/>
        </w:rPr>
      </w:pPr>
      <w:bookmarkStart w:id="82" w:name="_Toc120614220"/>
      <w:bookmarkStart w:id="83" w:name="_Toc513029236"/>
      <w:bookmarkStart w:id="84" w:name="_Toc20823308"/>
      <w:bookmarkStart w:id="85" w:name="_Toc16938552"/>
      <w:r>
        <w:rPr>
          <w:rFonts w:hint="eastAsia" w:ascii="宋体" w:hAnsi="宋体" w:cs="宋体"/>
          <w:sz w:val="28"/>
          <w:szCs w:val="28"/>
        </w:rPr>
        <w:t>7.1中标结果确定后，代理机构将向中标供应商发出中标通知书。</w:t>
      </w:r>
    </w:p>
    <w:p w14:paraId="5C21B91B">
      <w:pPr>
        <w:keepNext/>
        <w:keepLines/>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7.2中标通知书将是合同的一个组成部分。对采购人和中标供应商均具有法律效力。中标通知书发出后，采购人改变中标结果的，或者中标供应商放弃中标项目的，应当依法承担法律责任。</w:t>
      </w:r>
    </w:p>
    <w:p w14:paraId="4757D82F">
      <w:pPr>
        <w:keepNext/>
        <w:keepLines/>
        <w:adjustRightInd w:val="0"/>
        <w:snapToGrid w:val="0"/>
        <w:spacing w:line="460" w:lineRule="exact"/>
        <w:ind w:firstLine="562" w:firstLineChars="200"/>
        <w:outlineLvl w:val="1"/>
        <w:rPr>
          <w:rFonts w:ascii="宋体" w:hAnsi="宋体" w:cs="宋体"/>
          <w:b/>
          <w:bCs/>
          <w:kern w:val="0"/>
          <w:sz w:val="28"/>
          <w:szCs w:val="28"/>
        </w:rPr>
      </w:pPr>
      <w:r>
        <w:rPr>
          <w:rFonts w:hint="eastAsia" w:ascii="宋体" w:hAnsi="宋体" w:cs="宋体"/>
          <w:b/>
          <w:bCs/>
          <w:kern w:val="0"/>
          <w:sz w:val="28"/>
          <w:szCs w:val="28"/>
        </w:rPr>
        <w:t>七、授予合同</w:t>
      </w:r>
      <w:bookmarkEnd w:id="82"/>
    </w:p>
    <w:bookmarkEnd w:id="83"/>
    <w:bookmarkEnd w:id="84"/>
    <w:bookmarkEnd w:id="85"/>
    <w:p w14:paraId="0123D2A2">
      <w:pPr>
        <w:keepNext/>
        <w:adjustRightInd w:val="0"/>
        <w:snapToGrid w:val="0"/>
        <w:spacing w:line="460" w:lineRule="exact"/>
        <w:ind w:firstLine="560" w:firstLineChars="200"/>
        <w:rPr>
          <w:rFonts w:ascii="宋体" w:hAnsi="宋体" w:cs="宋体"/>
          <w:b/>
          <w:kern w:val="0"/>
          <w:sz w:val="28"/>
          <w:szCs w:val="28"/>
        </w:rPr>
      </w:pPr>
      <w:bookmarkStart w:id="86" w:name="_Toc20823309"/>
      <w:bookmarkStart w:id="87" w:name="_Toc16938553"/>
      <w:bookmarkStart w:id="88" w:name="_Toc513029237"/>
      <w:r>
        <w:rPr>
          <w:rFonts w:hint="eastAsia" w:ascii="宋体" w:hAnsi="宋体" w:cs="宋体"/>
          <w:kern w:val="0"/>
          <w:sz w:val="28"/>
          <w:szCs w:val="28"/>
        </w:rPr>
        <w:t>1.签订合同</w:t>
      </w:r>
    </w:p>
    <w:p w14:paraId="6ADE1178">
      <w:pPr>
        <w:adjustRightInd w:val="0"/>
        <w:snapToGrid w:val="0"/>
        <w:spacing w:line="460" w:lineRule="exact"/>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.l中标供应商应当在中标通知书发出之日起三十日内，按照招标文件确定的事项与采购人签订政府采购合同。</w:t>
      </w:r>
    </w:p>
    <w:p w14:paraId="2070FCE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1.2招标文件、中标供应商的响应文件及投标过程中有关澄清、承诺文件均应作为合同附件。</w:t>
      </w:r>
    </w:p>
    <w:p w14:paraId="3E5AB94C">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1.3签订合同后，中标供应商不得将货物及其他相关服务进行转包。未经采购人同意，中标供应商也不得采用分包的形式履行合同，否则采购人有权终止合同，中标供应商的履约保证金将不予退还。政府采购合同分包履行的，中标供应商就采购项目和分包项目向采购人负责，分包供应商就分包项目承担责任。转包或分包造成采购人损失的，中标供应商应承担相应赔偿责任。</w:t>
      </w:r>
    </w:p>
    <w:p w14:paraId="190DCEF2">
      <w:pPr>
        <w:keepNext/>
        <w:adjustRightInd w:val="0"/>
        <w:snapToGrid w:val="0"/>
        <w:spacing w:line="460" w:lineRule="exact"/>
        <w:ind w:firstLine="560" w:firstLineChars="200"/>
        <w:rPr>
          <w:rFonts w:ascii="宋体" w:hAnsi="宋体" w:cs="宋体"/>
          <w:b/>
          <w:kern w:val="0"/>
          <w:sz w:val="28"/>
          <w:szCs w:val="28"/>
        </w:rPr>
      </w:pPr>
      <w:r>
        <w:rPr>
          <w:rFonts w:hint="eastAsia" w:ascii="宋体" w:hAnsi="宋体" w:cs="宋体"/>
          <w:kern w:val="0"/>
          <w:sz w:val="28"/>
          <w:szCs w:val="28"/>
        </w:rPr>
        <w:t>2.货物和服务的追加、减少和添购。</w:t>
      </w:r>
    </w:p>
    <w:p w14:paraId="02922D2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2.1政府采购合同履行中，采购人需追加与合同标的相同的货物和服务的，在不改变合同其他条款的前提下，可以与中标供应商协商签订补充合同，但所有补充合同的采购金额不超过原合同金额10%。</w:t>
      </w:r>
    </w:p>
    <w:p w14:paraId="5283A236">
      <w:pPr>
        <w:keepNext/>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p w14:paraId="44665B0E">
      <w:pPr>
        <w:adjustRightInd w:val="0"/>
        <w:snapToGrid w:val="0"/>
        <w:spacing w:line="500" w:lineRule="exact"/>
        <w:rPr>
          <w:rFonts w:ascii="宋体" w:hAnsi="宋体" w:cs="宋体"/>
          <w:b/>
          <w:sz w:val="28"/>
          <w:szCs w:val="28"/>
        </w:rPr>
      </w:pPr>
    </w:p>
    <w:bookmarkEnd w:id="86"/>
    <w:bookmarkEnd w:id="87"/>
    <w:bookmarkEnd w:id="88"/>
    <w:p w14:paraId="7855D7D4">
      <w:pPr>
        <w:adjustRightInd w:val="0"/>
        <w:snapToGrid w:val="0"/>
        <w:spacing w:line="500" w:lineRule="exact"/>
        <w:jc w:val="center"/>
        <w:outlineLvl w:val="0"/>
        <w:rPr>
          <w:rFonts w:ascii="宋体" w:hAnsi="宋体" w:cs="宋体"/>
          <w:sz w:val="28"/>
          <w:szCs w:val="28"/>
        </w:rPr>
      </w:pPr>
      <w:r>
        <w:rPr>
          <w:rFonts w:hint="eastAsia" w:ascii="宋体" w:hAnsi="宋体" w:cs="宋体"/>
          <w:bCs/>
          <w:sz w:val="28"/>
          <w:szCs w:val="28"/>
        </w:rPr>
        <w:br w:type="page"/>
      </w:r>
      <w:r>
        <w:rPr>
          <w:rFonts w:hint="eastAsia" w:ascii="宋体" w:hAnsi="宋体" w:cs="宋体"/>
          <w:bCs/>
          <w:sz w:val="28"/>
          <w:szCs w:val="28"/>
        </w:rPr>
        <w:t>第三部分  项目需求</w:t>
      </w:r>
    </w:p>
    <w:p w14:paraId="71EF0313">
      <w:pPr>
        <w:spacing w:line="460" w:lineRule="exact"/>
        <w:ind w:firstLine="560"/>
        <w:rPr>
          <w:rFonts w:hint="eastAsia" w:ascii="宋体" w:hAnsi="宋体" w:cs="宋体"/>
          <w:color w:val="000000"/>
          <w:sz w:val="28"/>
          <w:szCs w:val="28"/>
        </w:rPr>
      </w:pPr>
      <w:r>
        <w:rPr>
          <w:rFonts w:hint="eastAsia" w:ascii="宋体" w:hAnsi="宋体" w:cs="宋体"/>
          <w:color w:val="000000"/>
          <w:sz w:val="28"/>
          <w:szCs w:val="28"/>
        </w:rPr>
        <w:t>投标人在制作投标文件时仔细研究项目需求说明。项目需求包括技术要求和商务要求：技术要求是指对采购标的功能和质量要求，或者服务内容和标准等；商务要求是指取得采购标的的时间、地点、财务和服务要求，包括交付（实施）的时间（期限）和地点（范围），付款条件（进度和方法），</w:t>
      </w:r>
    </w:p>
    <w:p w14:paraId="226AB79E">
      <w:pPr>
        <w:spacing w:line="460" w:lineRule="exact"/>
        <w:ind w:firstLine="280" w:firstLineChars="100"/>
        <w:rPr>
          <w:rFonts w:ascii="宋体" w:hAnsi="宋体" w:cs="宋体"/>
          <w:sz w:val="28"/>
          <w:szCs w:val="28"/>
        </w:rPr>
      </w:pPr>
      <w:r>
        <w:rPr>
          <w:rFonts w:hint="eastAsia" w:ascii="宋体" w:hAnsi="宋体" w:cs="宋体"/>
          <w:color w:val="000000"/>
          <w:sz w:val="28"/>
          <w:szCs w:val="28"/>
        </w:rPr>
        <w:t>售后服务</w:t>
      </w:r>
      <w:r>
        <w:rPr>
          <w:rFonts w:hint="eastAsia" w:ascii="宋体" w:hAnsi="宋体" w:cs="宋体"/>
          <w:sz w:val="28"/>
          <w:szCs w:val="28"/>
        </w:rPr>
        <w:t>，保险等。</w:t>
      </w:r>
    </w:p>
    <w:p w14:paraId="7DBA9B81">
      <w:pPr>
        <w:snapToGrid w:val="0"/>
        <w:spacing w:line="500" w:lineRule="exact"/>
        <w:ind w:firstLine="562" w:firstLineChars="200"/>
        <w:contextualSpacing/>
        <w:rPr>
          <w:rFonts w:ascii="宋体" w:hAnsi="宋体"/>
          <w:b/>
          <w:sz w:val="28"/>
          <w:szCs w:val="28"/>
        </w:rPr>
      </w:pPr>
      <w:r>
        <w:rPr>
          <w:rFonts w:hint="eastAsia" w:ascii="宋体" w:hAnsi="宋体"/>
          <w:b/>
          <w:sz w:val="28"/>
          <w:szCs w:val="28"/>
        </w:rPr>
        <w:t>一、项目具体需求说明</w:t>
      </w:r>
    </w:p>
    <w:p w14:paraId="074B0CD9">
      <w:pPr>
        <w:snapToGrid w:val="0"/>
        <w:spacing w:line="360" w:lineRule="auto"/>
        <w:ind w:firstLine="562" w:firstLineChars="200"/>
        <w:outlineLvl w:val="1"/>
        <w:rPr>
          <w:rFonts w:ascii="宋体" w:hAnsi="宋体" w:cs="宋体"/>
          <w:b/>
          <w:bCs/>
          <w:sz w:val="28"/>
          <w:szCs w:val="28"/>
        </w:rPr>
      </w:pPr>
      <w:r>
        <w:rPr>
          <w:rFonts w:hint="eastAsia" w:ascii="宋体" w:hAnsi="宋体" w:cs="宋体"/>
          <w:b/>
          <w:bCs/>
          <w:sz w:val="28"/>
          <w:szCs w:val="28"/>
        </w:rPr>
        <w:t>一、需求总则</w:t>
      </w:r>
    </w:p>
    <w:p w14:paraId="71303700">
      <w:pPr>
        <w:snapToGrid w:val="0"/>
        <w:spacing w:line="360" w:lineRule="auto"/>
        <w:ind w:firstLine="560" w:firstLineChars="200"/>
        <w:rPr>
          <w:rFonts w:ascii="宋体" w:hAnsi="宋体" w:cs="宋体"/>
          <w:b/>
          <w:bCs/>
          <w:sz w:val="28"/>
          <w:szCs w:val="28"/>
        </w:rPr>
      </w:pPr>
      <w:r>
        <w:rPr>
          <w:rFonts w:hint="eastAsia" w:ascii="宋体" w:hAnsi="宋体" w:cs="宋体"/>
          <w:sz w:val="28"/>
          <w:szCs w:val="28"/>
        </w:rPr>
        <w:t>产品必须是全新、未使用过的原装合格正品，完全符合招标文件规定的质量、规格和性能的要求，达到国家或行业规定的标准。</w:t>
      </w:r>
    </w:p>
    <w:p w14:paraId="248565E5">
      <w:pPr>
        <w:snapToGrid w:val="0"/>
        <w:spacing w:line="360" w:lineRule="auto"/>
        <w:ind w:firstLine="562" w:firstLineChars="200"/>
        <w:outlineLvl w:val="1"/>
        <w:rPr>
          <w:rFonts w:ascii="宋体" w:hAnsi="宋体" w:cs="宋体"/>
          <w:b/>
          <w:bCs/>
          <w:sz w:val="28"/>
          <w:szCs w:val="28"/>
        </w:rPr>
      </w:pPr>
      <w:r>
        <w:rPr>
          <w:rFonts w:hint="eastAsia" w:ascii="宋体" w:hAnsi="宋体" w:cs="宋体"/>
          <w:b/>
          <w:bCs/>
          <w:sz w:val="28"/>
          <w:szCs w:val="28"/>
        </w:rPr>
        <w:t>二、技术响应说明</w:t>
      </w:r>
    </w:p>
    <w:p w14:paraId="6AB7C37E">
      <w:pPr>
        <w:snapToGrid w:val="0"/>
        <w:spacing w:line="360" w:lineRule="auto"/>
        <w:ind w:firstLine="560" w:firstLineChars="200"/>
        <w:rPr>
          <w:rFonts w:ascii="宋体" w:hAnsi="宋体" w:cs="宋体"/>
          <w:sz w:val="28"/>
          <w:szCs w:val="28"/>
        </w:rPr>
      </w:pPr>
      <w:r>
        <w:rPr>
          <w:rFonts w:hint="eastAsia" w:ascii="宋体" w:hAnsi="宋体" w:cs="宋体"/>
          <w:sz w:val="28"/>
          <w:szCs w:val="28"/>
        </w:rPr>
        <w:t>投标响应供应商不能简单照搬照抄招标项目需求说明中的技术要求，必须作实事求是的响应：</w:t>
      </w:r>
    </w:p>
    <w:p w14:paraId="60DD9D60">
      <w:pPr>
        <w:snapToGrid w:val="0"/>
        <w:spacing w:line="360" w:lineRule="auto"/>
        <w:ind w:firstLine="560" w:firstLineChars="200"/>
        <w:rPr>
          <w:rFonts w:ascii="宋体" w:hAnsi="宋体" w:cs="宋体"/>
          <w:sz w:val="28"/>
          <w:szCs w:val="28"/>
        </w:rPr>
      </w:pPr>
      <w:r>
        <w:rPr>
          <w:rFonts w:hint="eastAsia" w:ascii="宋体" w:hAnsi="宋体" w:cs="宋体"/>
          <w:sz w:val="28"/>
          <w:szCs w:val="28"/>
        </w:rPr>
        <w:t>1.照搬照抄项目需求说明中的技术要求，一旦成交中标，在与采购人签订合同和履约环节中不得提出异议，一切后果和损失由成交人承担。</w:t>
      </w:r>
    </w:p>
    <w:p w14:paraId="27C62901">
      <w:pPr>
        <w:snapToGrid w:val="0"/>
        <w:spacing w:line="360" w:lineRule="auto"/>
        <w:ind w:firstLine="560" w:firstLineChars="200"/>
        <w:rPr>
          <w:rFonts w:ascii="宋体" w:hAnsi="宋体" w:cs="宋体"/>
          <w:sz w:val="28"/>
          <w:szCs w:val="28"/>
        </w:rPr>
      </w:pPr>
      <w:r>
        <w:rPr>
          <w:rFonts w:hint="eastAsia" w:ascii="宋体" w:hAnsi="宋体" w:cs="宋体"/>
          <w:sz w:val="28"/>
          <w:szCs w:val="28"/>
        </w:rPr>
        <w:t>2.投标响应供应商提供的货物和服务与采购人提出的项目需求说明中的技术要求不同，必须在逐一逐条响应的《技术条款响应正负偏离表》上明示偏离的部分。</w:t>
      </w:r>
    </w:p>
    <w:p w14:paraId="78AA7338">
      <w:pPr>
        <w:snapToGrid w:val="0"/>
        <w:spacing w:line="360" w:lineRule="auto"/>
        <w:ind w:firstLine="562" w:firstLineChars="200"/>
        <w:outlineLvl w:val="1"/>
        <w:rPr>
          <w:rFonts w:ascii="宋体" w:hAnsi="宋体" w:cs="宋体"/>
          <w:b/>
          <w:bCs/>
          <w:sz w:val="28"/>
          <w:szCs w:val="28"/>
        </w:rPr>
      </w:pPr>
      <w:r>
        <w:rPr>
          <w:rFonts w:hint="eastAsia" w:ascii="宋体" w:hAnsi="宋体" w:cs="宋体"/>
          <w:b/>
          <w:bCs/>
          <w:sz w:val="28"/>
          <w:szCs w:val="28"/>
        </w:rPr>
        <w:t>三、采购标的的数量及技术要求</w:t>
      </w:r>
    </w:p>
    <w:p w14:paraId="0CD89DD7">
      <w:pPr>
        <w:spacing w:before="120" w:after="120" w:line="288" w:lineRule="auto"/>
        <w:ind w:firstLine="562" w:firstLineChars="200"/>
        <w:jc w:val="left"/>
        <w:rPr>
          <w:rFonts w:ascii="宋体" w:hAnsi="宋体" w:cs="宋体"/>
          <w:sz w:val="28"/>
          <w:szCs w:val="28"/>
        </w:rPr>
      </w:pPr>
      <w:r>
        <w:rPr>
          <w:rFonts w:hint="eastAsia" w:ascii="宋体" w:hAnsi="宋体" w:cs="宋体"/>
          <w:b/>
          <w:bCs/>
          <w:sz w:val="28"/>
          <w:szCs w:val="28"/>
        </w:rPr>
        <w:t>1.项目清单及限价明细表如下：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85"/>
        <w:gridCol w:w="1185"/>
        <w:gridCol w:w="1185"/>
        <w:gridCol w:w="1185"/>
        <w:gridCol w:w="1185"/>
        <w:gridCol w:w="1185"/>
        <w:gridCol w:w="1185"/>
      </w:tblGrid>
      <w:tr w14:paraId="2471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85" w:type="dxa"/>
            <w:tcMar>
              <w:top w:w="60" w:type="dxa"/>
              <w:left w:w="120" w:type="dxa"/>
              <w:bottom w:w="30" w:type="dxa"/>
              <w:right w:w="120" w:type="dxa"/>
            </w:tcMar>
            <w:vAlign w:val="center"/>
          </w:tcPr>
          <w:p w14:paraId="25CC5560">
            <w:pPr>
              <w:spacing w:before="120" w:after="120" w:line="288" w:lineRule="auto"/>
              <w:jc w:val="center"/>
              <w:rPr>
                <w:rFonts w:ascii="宋体" w:hAnsi="宋体" w:cs="宋体"/>
                <w:sz w:val="28"/>
                <w:szCs w:val="28"/>
              </w:rPr>
            </w:pPr>
            <w:r>
              <w:rPr>
                <w:rFonts w:hint="eastAsia" w:ascii="宋体" w:hAnsi="宋体" w:cs="宋体"/>
                <w:sz w:val="28"/>
                <w:szCs w:val="28"/>
              </w:rPr>
              <w:t>序号</w:t>
            </w:r>
          </w:p>
        </w:tc>
        <w:tc>
          <w:tcPr>
            <w:tcW w:w="1185" w:type="dxa"/>
            <w:tcMar>
              <w:top w:w="60" w:type="dxa"/>
              <w:left w:w="120" w:type="dxa"/>
              <w:bottom w:w="30" w:type="dxa"/>
              <w:right w:w="120" w:type="dxa"/>
            </w:tcMar>
            <w:vAlign w:val="center"/>
          </w:tcPr>
          <w:p w14:paraId="66FB1CFB">
            <w:pPr>
              <w:spacing w:before="120" w:after="120" w:line="288" w:lineRule="auto"/>
              <w:jc w:val="center"/>
              <w:rPr>
                <w:rFonts w:ascii="宋体" w:hAnsi="宋体" w:cs="宋体"/>
                <w:sz w:val="28"/>
                <w:szCs w:val="28"/>
              </w:rPr>
            </w:pPr>
            <w:r>
              <w:rPr>
                <w:rFonts w:hint="eastAsia" w:ascii="宋体" w:hAnsi="宋体" w:cs="宋体"/>
                <w:sz w:val="28"/>
                <w:szCs w:val="28"/>
              </w:rPr>
              <w:t>货物名称</w:t>
            </w:r>
          </w:p>
        </w:tc>
        <w:tc>
          <w:tcPr>
            <w:tcW w:w="1185" w:type="dxa"/>
            <w:tcMar>
              <w:top w:w="60" w:type="dxa"/>
              <w:left w:w="120" w:type="dxa"/>
              <w:bottom w:w="30" w:type="dxa"/>
              <w:right w:w="120" w:type="dxa"/>
            </w:tcMar>
            <w:vAlign w:val="center"/>
          </w:tcPr>
          <w:p w14:paraId="12C9BD79">
            <w:pPr>
              <w:spacing w:before="120" w:after="120" w:line="288" w:lineRule="auto"/>
              <w:jc w:val="center"/>
              <w:rPr>
                <w:rFonts w:ascii="宋体" w:hAnsi="宋体" w:cs="宋体"/>
                <w:sz w:val="28"/>
                <w:szCs w:val="28"/>
              </w:rPr>
            </w:pPr>
            <w:r>
              <w:rPr>
                <w:rFonts w:hint="eastAsia" w:ascii="宋体" w:hAnsi="宋体" w:cs="宋体"/>
                <w:sz w:val="28"/>
                <w:szCs w:val="28"/>
              </w:rPr>
              <w:t>单价最高限价</w:t>
            </w:r>
          </w:p>
        </w:tc>
        <w:tc>
          <w:tcPr>
            <w:tcW w:w="1185" w:type="dxa"/>
            <w:tcMar>
              <w:top w:w="60" w:type="dxa"/>
              <w:left w:w="120" w:type="dxa"/>
              <w:bottom w:w="30" w:type="dxa"/>
              <w:right w:w="120" w:type="dxa"/>
            </w:tcMar>
            <w:vAlign w:val="center"/>
          </w:tcPr>
          <w:p w14:paraId="518C7C52">
            <w:pPr>
              <w:spacing w:before="120" w:after="120" w:line="288" w:lineRule="auto"/>
              <w:jc w:val="center"/>
              <w:rPr>
                <w:rFonts w:ascii="宋体" w:hAnsi="宋体" w:cs="宋体"/>
                <w:sz w:val="28"/>
                <w:szCs w:val="28"/>
              </w:rPr>
            </w:pPr>
            <w:r>
              <w:rPr>
                <w:rFonts w:hint="eastAsia" w:ascii="宋体" w:hAnsi="宋体" w:cs="宋体"/>
                <w:sz w:val="28"/>
                <w:szCs w:val="28"/>
              </w:rPr>
              <w:t>单位</w:t>
            </w:r>
          </w:p>
        </w:tc>
        <w:tc>
          <w:tcPr>
            <w:tcW w:w="1185" w:type="dxa"/>
            <w:tcMar>
              <w:top w:w="60" w:type="dxa"/>
              <w:left w:w="120" w:type="dxa"/>
              <w:bottom w:w="30" w:type="dxa"/>
              <w:right w:w="120" w:type="dxa"/>
            </w:tcMar>
            <w:vAlign w:val="center"/>
          </w:tcPr>
          <w:p w14:paraId="5DC46F72">
            <w:pPr>
              <w:spacing w:before="120" w:after="120" w:line="288" w:lineRule="auto"/>
              <w:jc w:val="center"/>
              <w:rPr>
                <w:rFonts w:ascii="宋体" w:hAnsi="宋体" w:cs="宋体"/>
                <w:sz w:val="28"/>
                <w:szCs w:val="28"/>
              </w:rPr>
            </w:pPr>
            <w:r>
              <w:rPr>
                <w:rFonts w:hint="eastAsia" w:ascii="宋体" w:hAnsi="宋体" w:cs="宋体"/>
                <w:sz w:val="28"/>
                <w:szCs w:val="28"/>
              </w:rPr>
              <w:t>采购数量</w:t>
            </w:r>
          </w:p>
        </w:tc>
        <w:tc>
          <w:tcPr>
            <w:tcW w:w="1185" w:type="dxa"/>
            <w:tcMar>
              <w:top w:w="60" w:type="dxa"/>
              <w:left w:w="120" w:type="dxa"/>
              <w:bottom w:w="30" w:type="dxa"/>
              <w:right w:w="120" w:type="dxa"/>
            </w:tcMar>
            <w:vAlign w:val="center"/>
          </w:tcPr>
          <w:p w14:paraId="2F5FA973">
            <w:pPr>
              <w:spacing w:before="120" w:after="120" w:line="288" w:lineRule="auto"/>
              <w:jc w:val="center"/>
              <w:rPr>
                <w:rFonts w:ascii="宋体" w:hAnsi="宋体" w:cs="宋体"/>
                <w:sz w:val="28"/>
                <w:szCs w:val="28"/>
              </w:rPr>
            </w:pPr>
            <w:r>
              <w:rPr>
                <w:rFonts w:hint="eastAsia" w:ascii="宋体" w:hAnsi="宋体" w:cs="宋体"/>
                <w:sz w:val="28"/>
                <w:szCs w:val="28"/>
              </w:rPr>
              <w:t>合价（元）</w:t>
            </w:r>
          </w:p>
        </w:tc>
        <w:tc>
          <w:tcPr>
            <w:tcW w:w="1185" w:type="dxa"/>
            <w:tcMar>
              <w:top w:w="60" w:type="dxa"/>
              <w:left w:w="120" w:type="dxa"/>
              <w:bottom w:w="30" w:type="dxa"/>
              <w:right w:w="120" w:type="dxa"/>
            </w:tcMar>
            <w:vAlign w:val="center"/>
          </w:tcPr>
          <w:p w14:paraId="753BA23D">
            <w:pPr>
              <w:spacing w:before="120" w:after="120" w:line="288" w:lineRule="auto"/>
              <w:jc w:val="center"/>
              <w:rPr>
                <w:rFonts w:ascii="宋体" w:hAnsi="宋体" w:cs="宋体"/>
                <w:sz w:val="28"/>
                <w:szCs w:val="28"/>
              </w:rPr>
            </w:pPr>
            <w:r>
              <w:rPr>
                <w:rFonts w:hint="eastAsia" w:ascii="宋体" w:hAnsi="宋体" w:cs="宋体"/>
                <w:sz w:val="28"/>
                <w:szCs w:val="28"/>
              </w:rPr>
              <w:t>备注</w:t>
            </w:r>
          </w:p>
        </w:tc>
      </w:tr>
      <w:tr w14:paraId="48E8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85" w:type="dxa"/>
            <w:tcMar>
              <w:top w:w="60" w:type="dxa"/>
              <w:left w:w="120" w:type="dxa"/>
              <w:bottom w:w="30" w:type="dxa"/>
              <w:right w:w="120" w:type="dxa"/>
            </w:tcMar>
            <w:vAlign w:val="center"/>
          </w:tcPr>
          <w:p w14:paraId="41CC515B">
            <w:pPr>
              <w:spacing w:before="120" w:after="120" w:line="288" w:lineRule="auto"/>
              <w:jc w:val="center"/>
              <w:rPr>
                <w:rFonts w:ascii="宋体" w:hAnsi="宋体" w:cs="宋体"/>
                <w:sz w:val="28"/>
                <w:szCs w:val="28"/>
              </w:rPr>
            </w:pPr>
            <w:r>
              <w:rPr>
                <w:rFonts w:hint="eastAsia" w:ascii="宋体" w:hAnsi="宋体" w:cs="宋体"/>
                <w:sz w:val="28"/>
                <w:szCs w:val="28"/>
              </w:rPr>
              <w:t>1</w:t>
            </w:r>
          </w:p>
        </w:tc>
        <w:tc>
          <w:tcPr>
            <w:tcW w:w="1185" w:type="dxa"/>
            <w:tcMar>
              <w:top w:w="60" w:type="dxa"/>
              <w:left w:w="120" w:type="dxa"/>
              <w:bottom w:w="30" w:type="dxa"/>
              <w:right w:w="120" w:type="dxa"/>
            </w:tcMar>
            <w:vAlign w:val="center"/>
          </w:tcPr>
          <w:p w14:paraId="09AFCE7C">
            <w:pPr>
              <w:spacing w:before="120" w:after="120" w:line="288" w:lineRule="auto"/>
              <w:jc w:val="center"/>
              <w:rPr>
                <w:rFonts w:ascii="宋体" w:hAnsi="宋体" w:cs="宋体"/>
                <w:sz w:val="28"/>
                <w:szCs w:val="28"/>
              </w:rPr>
            </w:pPr>
            <w:r>
              <w:rPr>
                <w:rFonts w:hint="eastAsia" w:ascii="宋体" w:hAnsi="宋体" w:cs="宋体"/>
                <w:sz w:val="28"/>
                <w:szCs w:val="28"/>
              </w:rPr>
              <w:t>注水式防洪箱</w:t>
            </w:r>
          </w:p>
        </w:tc>
        <w:tc>
          <w:tcPr>
            <w:tcW w:w="1185" w:type="dxa"/>
            <w:tcMar>
              <w:top w:w="60" w:type="dxa"/>
              <w:left w:w="120" w:type="dxa"/>
              <w:bottom w:w="30" w:type="dxa"/>
              <w:right w:w="120" w:type="dxa"/>
            </w:tcMar>
            <w:vAlign w:val="center"/>
          </w:tcPr>
          <w:p w14:paraId="56FE9D4D">
            <w:pPr>
              <w:spacing w:before="120" w:after="120" w:line="288" w:lineRule="auto"/>
              <w:jc w:val="center"/>
              <w:rPr>
                <w:rFonts w:ascii="宋体" w:hAnsi="宋体" w:cs="宋体"/>
                <w:sz w:val="28"/>
                <w:szCs w:val="28"/>
              </w:rPr>
            </w:pPr>
            <w:r>
              <w:rPr>
                <w:rFonts w:hint="eastAsia" w:ascii="宋体" w:hAnsi="宋体" w:cs="宋体"/>
                <w:sz w:val="28"/>
                <w:szCs w:val="28"/>
              </w:rPr>
              <w:t>1000</w:t>
            </w:r>
          </w:p>
        </w:tc>
        <w:tc>
          <w:tcPr>
            <w:tcW w:w="1185" w:type="dxa"/>
            <w:tcMar>
              <w:top w:w="60" w:type="dxa"/>
              <w:left w:w="120" w:type="dxa"/>
              <w:bottom w:w="30" w:type="dxa"/>
              <w:right w:w="120" w:type="dxa"/>
            </w:tcMar>
            <w:vAlign w:val="center"/>
          </w:tcPr>
          <w:p w14:paraId="26132E2F">
            <w:pPr>
              <w:spacing w:before="120" w:after="120" w:line="288" w:lineRule="auto"/>
              <w:jc w:val="center"/>
              <w:rPr>
                <w:rFonts w:ascii="宋体" w:hAnsi="宋体" w:cs="宋体"/>
                <w:sz w:val="28"/>
                <w:szCs w:val="28"/>
              </w:rPr>
            </w:pPr>
            <w:r>
              <w:rPr>
                <w:rFonts w:hint="eastAsia" w:ascii="宋体" w:hAnsi="宋体" w:cs="宋体"/>
                <w:sz w:val="28"/>
                <w:szCs w:val="28"/>
              </w:rPr>
              <w:t>套</w:t>
            </w:r>
          </w:p>
        </w:tc>
        <w:tc>
          <w:tcPr>
            <w:tcW w:w="1185" w:type="dxa"/>
            <w:tcMar>
              <w:top w:w="60" w:type="dxa"/>
              <w:left w:w="120" w:type="dxa"/>
              <w:bottom w:w="30" w:type="dxa"/>
              <w:right w:w="120" w:type="dxa"/>
            </w:tcMar>
            <w:vAlign w:val="center"/>
          </w:tcPr>
          <w:p w14:paraId="1425F1C8">
            <w:pPr>
              <w:spacing w:before="120" w:after="120" w:line="288" w:lineRule="auto"/>
              <w:jc w:val="center"/>
              <w:rPr>
                <w:rFonts w:ascii="宋体" w:hAnsi="宋体" w:cs="宋体"/>
                <w:sz w:val="28"/>
                <w:szCs w:val="28"/>
              </w:rPr>
            </w:pPr>
            <w:r>
              <w:rPr>
                <w:rFonts w:hint="eastAsia" w:ascii="宋体" w:hAnsi="宋体" w:cs="宋体"/>
                <w:sz w:val="28"/>
                <w:szCs w:val="28"/>
              </w:rPr>
              <w:t>100</w:t>
            </w:r>
          </w:p>
        </w:tc>
        <w:tc>
          <w:tcPr>
            <w:tcW w:w="1185" w:type="dxa"/>
            <w:tcMar>
              <w:top w:w="60" w:type="dxa"/>
              <w:left w:w="120" w:type="dxa"/>
              <w:bottom w:w="30" w:type="dxa"/>
              <w:right w:w="120" w:type="dxa"/>
            </w:tcMar>
            <w:vAlign w:val="center"/>
          </w:tcPr>
          <w:p w14:paraId="02F24D70">
            <w:pPr>
              <w:spacing w:before="120" w:after="120" w:line="288" w:lineRule="auto"/>
              <w:jc w:val="center"/>
              <w:rPr>
                <w:rFonts w:ascii="宋体" w:hAnsi="宋体" w:cs="宋体"/>
                <w:sz w:val="28"/>
                <w:szCs w:val="28"/>
              </w:rPr>
            </w:pPr>
            <w:r>
              <w:rPr>
                <w:rFonts w:hint="eastAsia" w:ascii="宋体" w:hAnsi="宋体" w:cs="宋体"/>
                <w:sz w:val="28"/>
                <w:szCs w:val="28"/>
              </w:rPr>
              <w:t>100000</w:t>
            </w:r>
          </w:p>
        </w:tc>
        <w:tc>
          <w:tcPr>
            <w:tcW w:w="1185" w:type="dxa"/>
            <w:tcMar>
              <w:top w:w="60" w:type="dxa"/>
              <w:left w:w="120" w:type="dxa"/>
              <w:bottom w:w="30" w:type="dxa"/>
              <w:right w:w="120" w:type="dxa"/>
            </w:tcMar>
            <w:vAlign w:val="center"/>
          </w:tcPr>
          <w:p w14:paraId="2B70CB1B">
            <w:pPr>
              <w:spacing w:before="120" w:after="120" w:line="288" w:lineRule="auto"/>
              <w:jc w:val="center"/>
              <w:rPr>
                <w:rFonts w:ascii="宋体" w:hAnsi="宋体" w:cs="宋体"/>
                <w:sz w:val="28"/>
                <w:szCs w:val="28"/>
              </w:rPr>
            </w:pPr>
          </w:p>
        </w:tc>
      </w:tr>
      <w:tr w14:paraId="39D5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85" w:type="dxa"/>
            <w:tcMar>
              <w:top w:w="60" w:type="dxa"/>
              <w:left w:w="120" w:type="dxa"/>
              <w:bottom w:w="30" w:type="dxa"/>
              <w:right w:w="120" w:type="dxa"/>
            </w:tcMar>
            <w:vAlign w:val="center"/>
          </w:tcPr>
          <w:p w14:paraId="57CB8B9C">
            <w:pPr>
              <w:spacing w:before="120" w:after="120" w:line="288" w:lineRule="auto"/>
              <w:jc w:val="center"/>
              <w:rPr>
                <w:rFonts w:ascii="宋体" w:hAnsi="宋体" w:cs="宋体"/>
                <w:sz w:val="28"/>
                <w:szCs w:val="28"/>
              </w:rPr>
            </w:pPr>
            <w:r>
              <w:rPr>
                <w:rFonts w:hint="eastAsia" w:ascii="宋体" w:hAnsi="宋体" w:cs="宋体"/>
                <w:sz w:val="28"/>
                <w:szCs w:val="28"/>
              </w:rPr>
              <w:t>2</w:t>
            </w:r>
          </w:p>
        </w:tc>
        <w:tc>
          <w:tcPr>
            <w:tcW w:w="1185" w:type="dxa"/>
            <w:tcMar>
              <w:top w:w="60" w:type="dxa"/>
              <w:left w:w="120" w:type="dxa"/>
              <w:bottom w:w="30" w:type="dxa"/>
              <w:right w:w="120" w:type="dxa"/>
            </w:tcMar>
            <w:vAlign w:val="center"/>
          </w:tcPr>
          <w:p w14:paraId="1E53504D">
            <w:pPr>
              <w:spacing w:before="120" w:after="120" w:line="288" w:lineRule="auto"/>
              <w:jc w:val="center"/>
              <w:rPr>
                <w:rFonts w:ascii="宋体" w:hAnsi="宋体" w:cs="宋体"/>
                <w:sz w:val="28"/>
                <w:szCs w:val="28"/>
              </w:rPr>
            </w:pPr>
            <w:r>
              <w:rPr>
                <w:rFonts w:hint="eastAsia" w:ascii="宋体" w:hAnsi="宋体" w:cs="宋体"/>
                <w:sz w:val="28"/>
                <w:szCs w:val="28"/>
              </w:rPr>
              <w:t>L型挡水板</w:t>
            </w:r>
          </w:p>
        </w:tc>
        <w:tc>
          <w:tcPr>
            <w:tcW w:w="1185" w:type="dxa"/>
            <w:tcMar>
              <w:top w:w="60" w:type="dxa"/>
              <w:left w:w="120" w:type="dxa"/>
              <w:bottom w:w="30" w:type="dxa"/>
              <w:right w:w="120" w:type="dxa"/>
            </w:tcMar>
            <w:vAlign w:val="center"/>
          </w:tcPr>
          <w:p w14:paraId="23B44598">
            <w:pPr>
              <w:spacing w:before="120" w:after="120" w:line="288" w:lineRule="auto"/>
              <w:jc w:val="center"/>
              <w:rPr>
                <w:rFonts w:ascii="宋体" w:hAnsi="宋体" w:cs="宋体"/>
                <w:sz w:val="28"/>
                <w:szCs w:val="28"/>
              </w:rPr>
            </w:pPr>
            <w:r>
              <w:rPr>
                <w:rFonts w:hint="eastAsia" w:ascii="宋体" w:hAnsi="宋体" w:cs="宋体"/>
                <w:sz w:val="28"/>
                <w:szCs w:val="28"/>
              </w:rPr>
              <w:t>250</w:t>
            </w:r>
          </w:p>
        </w:tc>
        <w:tc>
          <w:tcPr>
            <w:tcW w:w="1185" w:type="dxa"/>
            <w:tcMar>
              <w:top w:w="60" w:type="dxa"/>
              <w:left w:w="120" w:type="dxa"/>
              <w:bottom w:w="30" w:type="dxa"/>
              <w:right w:w="120" w:type="dxa"/>
            </w:tcMar>
            <w:vAlign w:val="center"/>
          </w:tcPr>
          <w:p w14:paraId="6FC22BFB">
            <w:pPr>
              <w:spacing w:before="120" w:after="120" w:line="288" w:lineRule="auto"/>
              <w:jc w:val="center"/>
              <w:rPr>
                <w:rFonts w:ascii="宋体" w:hAnsi="宋体" w:cs="宋体"/>
                <w:sz w:val="28"/>
                <w:szCs w:val="28"/>
              </w:rPr>
            </w:pPr>
            <w:r>
              <w:rPr>
                <w:rFonts w:hint="eastAsia" w:ascii="宋体" w:hAnsi="宋体" w:cs="宋体"/>
                <w:sz w:val="28"/>
                <w:szCs w:val="28"/>
              </w:rPr>
              <w:t>套</w:t>
            </w:r>
          </w:p>
        </w:tc>
        <w:tc>
          <w:tcPr>
            <w:tcW w:w="1185" w:type="dxa"/>
            <w:tcMar>
              <w:top w:w="60" w:type="dxa"/>
              <w:left w:w="120" w:type="dxa"/>
              <w:bottom w:w="30" w:type="dxa"/>
              <w:right w:w="120" w:type="dxa"/>
            </w:tcMar>
            <w:vAlign w:val="center"/>
          </w:tcPr>
          <w:p w14:paraId="776A773E">
            <w:pPr>
              <w:spacing w:before="120" w:after="120" w:line="288" w:lineRule="auto"/>
              <w:jc w:val="center"/>
              <w:rPr>
                <w:rFonts w:ascii="宋体" w:hAnsi="宋体" w:cs="宋体"/>
                <w:sz w:val="28"/>
                <w:szCs w:val="28"/>
              </w:rPr>
            </w:pPr>
            <w:r>
              <w:rPr>
                <w:rFonts w:hint="eastAsia" w:ascii="宋体" w:hAnsi="宋体" w:cs="宋体"/>
                <w:sz w:val="28"/>
                <w:szCs w:val="28"/>
              </w:rPr>
              <w:t>400</w:t>
            </w:r>
          </w:p>
        </w:tc>
        <w:tc>
          <w:tcPr>
            <w:tcW w:w="1185" w:type="dxa"/>
            <w:tcMar>
              <w:top w:w="60" w:type="dxa"/>
              <w:left w:w="120" w:type="dxa"/>
              <w:bottom w:w="30" w:type="dxa"/>
              <w:right w:w="120" w:type="dxa"/>
            </w:tcMar>
            <w:vAlign w:val="center"/>
          </w:tcPr>
          <w:p w14:paraId="73800421">
            <w:pPr>
              <w:spacing w:before="120" w:after="120" w:line="288" w:lineRule="auto"/>
              <w:jc w:val="center"/>
              <w:rPr>
                <w:rFonts w:ascii="宋体" w:hAnsi="宋体" w:cs="宋体"/>
                <w:sz w:val="28"/>
                <w:szCs w:val="28"/>
              </w:rPr>
            </w:pPr>
            <w:r>
              <w:rPr>
                <w:rFonts w:hint="eastAsia" w:ascii="宋体" w:hAnsi="宋体" w:cs="宋体"/>
                <w:sz w:val="28"/>
                <w:szCs w:val="28"/>
              </w:rPr>
              <w:t>100000</w:t>
            </w:r>
          </w:p>
        </w:tc>
        <w:tc>
          <w:tcPr>
            <w:tcW w:w="1185" w:type="dxa"/>
            <w:tcMar>
              <w:top w:w="60" w:type="dxa"/>
              <w:left w:w="120" w:type="dxa"/>
              <w:bottom w:w="30" w:type="dxa"/>
              <w:right w:w="120" w:type="dxa"/>
            </w:tcMar>
            <w:vAlign w:val="center"/>
          </w:tcPr>
          <w:p w14:paraId="1030BB88">
            <w:pPr>
              <w:spacing w:before="120" w:after="120" w:line="288" w:lineRule="auto"/>
              <w:jc w:val="center"/>
              <w:rPr>
                <w:rFonts w:ascii="宋体" w:hAnsi="宋体" w:cs="宋体"/>
                <w:sz w:val="28"/>
                <w:szCs w:val="28"/>
              </w:rPr>
            </w:pPr>
          </w:p>
        </w:tc>
      </w:tr>
      <w:tr w14:paraId="68E1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85" w:type="dxa"/>
            <w:tcMar>
              <w:top w:w="60" w:type="dxa"/>
              <w:left w:w="120" w:type="dxa"/>
              <w:bottom w:w="30" w:type="dxa"/>
              <w:right w:w="120" w:type="dxa"/>
            </w:tcMar>
            <w:vAlign w:val="center"/>
          </w:tcPr>
          <w:p w14:paraId="6934B264">
            <w:pPr>
              <w:spacing w:before="120" w:after="120" w:line="288" w:lineRule="auto"/>
              <w:jc w:val="center"/>
              <w:rPr>
                <w:rFonts w:ascii="宋体" w:hAnsi="宋体" w:cs="宋体"/>
                <w:sz w:val="28"/>
                <w:szCs w:val="28"/>
              </w:rPr>
            </w:pPr>
            <w:r>
              <w:rPr>
                <w:rFonts w:hint="eastAsia" w:ascii="宋体" w:hAnsi="宋体" w:cs="宋体"/>
                <w:sz w:val="28"/>
                <w:szCs w:val="28"/>
              </w:rPr>
              <w:t>3</w:t>
            </w:r>
          </w:p>
        </w:tc>
        <w:tc>
          <w:tcPr>
            <w:tcW w:w="1185" w:type="dxa"/>
            <w:tcMar>
              <w:top w:w="60" w:type="dxa"/>
              <w:left w:w="120" w:type="dxa"/>
              <w:bottom w:w="30" w:type="dxa"/>
              <w:right w:w="120" w:type="dxa"/>
            </w:tcMar>
            <w:vAlign w:val="center"/>
          </w:tcPr>
          <w:p w14:paraId="3E3EC287">
            <w:pPr>
              <w:spacing w:before="120" w:after="120" w:line="288" w:lineRule="auto"/>
              <w:jc w:val="center"/>
              <w:rPr>
                <w:rFonts w:ascii="宋体" w:hAnsi="宋体" w:cs="宋体"/>
                <w:sz w:val="28"/>
                <w:szCs w:val="28"/>
              </w:rPr>
            </w:pPr>
            <w:r>
              <w:rPr>
                <w:rFonts w:hint="eastAsia" w:ascii="宋体" w:hAnsi="宋体" w:cs="宋体"/>
                <w:sz w:val="28"/>
                <w:szCs w:val="28"/>
              </w:rPr>
              <w:t>防汛专用沙袋</w:t>
            </w:r>
          </w:p>
        </w:tc>
        <w:tc>
          <w:tcPr>
            <w:tcW w:w="1185" w:type="dxa"/>
            <w:tcMar>
              <w:top w:w="60" w:type="dxa"/>
              <w:left w:w="120" w:type="dxa"/>
              <w:bottom w:w="30" w:type="dxa"/>
              <w:right w:w="120" w:type="dxa"/>
            </w:tcMar>
            <w:vAlign w:val="center"/>
          </w:tcPr>
          <w:p w14:paraId="263F0119">
            <w:pPr>
              <w:spacing w:before="120" w:after="120" w:line="288" w:lineRule="auto"/>
              <w:jc w:val="center"/>
              <w:rPr>
                <w:rFonts w:ascii="宋体" w:hAnsi="宋体" w:cs="宋体"/>
                <w:sz w:val="28"/>
                <w:szCs w:val="28"/>
              </w:rPr>
            </w:pPr>
            <w:r>
              <w:rPr>
                <w:rFonts w:hint="eastAsia" w:ascii="宋体" w:hAnsi="宋体" w:cs="宋体"/>
                <w:sz w:val="28"/>
                <w:szCs w:val="28"/>
              </w:rPr>
              <w:t>2</w:t>
            </w:r>
          </w:p>
        </w:tc>
        <w:tc>
          <w:tcPr>
            <w:tcW w:w="1185" w:type="dxa"/>
            <w:tcMar>
              <w:top w:w="60" w:type="dxa"/>
              <w:left w:w="120" w:type="dxa"/>
              <w:bottom w:w="30" w:type="dxa"/>
              <w:right w:w="120" w:type="dxa"/>
            </w:tcMar>
            <w:vAlign w:val="center"/>
          </w:tcPr>
          <w:p w14:paraId="03563749">
            <w:pPr>
              <w:spacing w:before="120" w:after="120" w:line="288" w:lineRule="auto"/>
              <w:jc w:val="center"/>
              <w:rPr>
                <w:rFonts w:ascii="宋体" w:hAnsi="宋体" w:cs="宋体"/>
                <w:sz w:val="28"/>
                <w:szCs w:val="28"/>
              </w:rPr>
            </w:pPr>
            <w:r>
              <w:rPr>
                <w:rFonts w:hint="eastAsia" w:ascii="宋体" w:hAnsi="宋体" w:cs="宋体"/>
                <w:sz w:val="28"/>
                <w:szCs w:val="28"/>
              </w:rPr>
              <w:t>只</w:t>
            </w:r>
          </w:p>
        </w:tc>
        <w:tc>
          <w:tcPr>
            <w:tcW w:w="1185" w:type="dxa"/>
            <w:tcMar>
              <w:top w:w="60" w:type="dxa"/>
              <w:left w:w="120" w:type="dxa"/>
              <w:bottom w:w="30" w:type="dxa"/>
              <w:right w:w="120" w:type="dxa"/>
            </w:tcMar>
            <w:vAlign w:val="center"/>
          </w:tcPr>
          <w:p w14:paraId="7D67C5FD">
            <w:pPr>
              <w:spacing w:before="120" w:after="120" w:line="288" w:lineRule="auto"/>
              <w:jc w:val="center"/>
              <w:rPr>
                <w:rFonts w:ascii="宋体" w:hAnsi="宋体" w:cs="宋体"/>
                <w:sz w:val="28"/>
                <w:szCs w:val="28"/>
              </w:rPr>
            </w:pPr>
            <w:r>
              <w:rPr>
                <w:rFonts w:hint="eastAsia" w:ascii="宋体" w:hAnsi="宋体" w:cs="宋体"/>
                <w:sz w:val="28"/>
                <w:szCs w:val="28"/>
              </w:rPr>
              <w:t>5000</w:t>
            </w:r>
          </w:p>
        </w:tc>
        <w:tc>
          <w:tcPr>
            <w:tcW w:w="1185" w:type="dxa"/>
            <w:tcMar>
              <w:top w:w="60" w:type="dxa"/>
              <w:left w:w="120" w:type="dxa"/>
              <w:bottom w:w="30" w:type="dxa"/>
              <w:right w:w="120" w:type="dxa"/>
            </w:tcMar>
            <w:vAlign w:val="center"/>
          </w:tcPr>
          <w:p w14:paraId="7F05023D">
            <w:pPr>
              <w:spacing w:before="120" w:after="120" w:line="288" w:lineRule="auto"/>
              <w:jc w:val="center"/>
              <w:rPr>
                <w:rFonts w:ascii="宋体" w:hAnsi="宋体" w:cs="宋体"/>
                <w:sz w:val="28"/>
                <w:szCs w:val="28"/>
              </w:rPr>
            </w:pPr>
            <w:r>
              <w:rPr>
                <w:rFonts w:hint="eastAsia" w:ascii="宋体" w:hAnsi="宋体" w:cs="宋体"/>
                <w:sz w:val="28"/>
                <w:szCs w:val="28"/>
              </w:rPr>
              <w:t>10000</w:t>
            </w:r>
          </w:p>
        </w:tc>
        <w:tc>
          <w:tcPr>
            <w:tcW w:w="1185" w:type="dxa"/>
            <w:tcMar>
              <w:top w:w="60" w:type="dxa"/>
              <w:left w:w="120" w:type="dxa"/>
              <w:bottom w:w="30" w:type="dxa"/>
              <w:right w:w="120" w:type="dxa"/>
            </w:tcMar>
            <w:vAlign w:val="center"/>
          </w:tcPr>
          <w:p w14:paraId="7D6C2353">
            <w:pPr>
              <w:spacing w:before="120" w:after="120" w:line="288" w:lineRule="auto"/>
              <w:jc w:val="center"/>
              <w:rPr>
                <w:rFonts w:ascii="宋体" w:hAnsi="宋体" w:cs="宋体"/>
                <w:sz w:val="28"/>
                <w:szCs w:val="28"/>
              </w:rPr>
            </w:pPr>
          </w:p>
        </w:tc>
      </w:tr>
      <w:tr w14:paraId="731C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95" w:type="dxa"/>
            <w:gridSpan w:val="7"/>
            <w:tcMar>
              <w:top w:w="60" w:type="dxa"/>
              <w:left w:w="120" w:type="dxa"/>
              <w:bottom w:w="30" w:type="dxa"/>
              <w:right w:w="120" w:type="dxa"/>
            </w:tcMar>
            <w:vAlign w:val="center"/>
          </w:tcPr>
          <w:p w14:paraId="1D05CB1B">
            <w:pPr>
              <w:spacing w:before="120" w:after="120" w:line="288" w:lineRule="auto"/>
              <w:jc w:val="center"/>
              <w:rPr>
                <w:rFonts w:ascii="宋体" w:hAnsi="宋体" w:cs="宋体"/>
                <w:sz w:val="28"/>
                <w:szCs w:val="28"/>
              </w:rPr>
            </w:pPr>
            <w:r>
              <w:rPr>
                <w:rFonts w:hint="eastAsia" w:ascii="宋体" w:hAnsi="宋体" w:cs="宋体"/>
                <w:sz w:val="28"/>
                <w:szCs w:val="28"/>
              </w:rPr>
              <w:t>合计最高限价：210000.00元。</w:t>
            </w:r>
          </w:p>
        </w:tc>
      </w:tr>
    </w:tbl>
    <w:p w14:paraId="24611CDB">
      <w:pPr>
        <w:rPr>
          <w:rFonts w:ascii="宋体" w:hAnsi="宋体" w:cs="宋体"/>
          <w:sz w:val="24"/>
        </w:rPr>
      </w:pPr>
    </w:p>
    <w:p w14:paraId="7FABA71C">
      <w:pPr>
        <w:spacing w:before="320" w:after="120" w:line="288" w:lineRule="auto"/>
        <w:jc w:val="left"/>
        <w:rPr>
          <w:rFonts w:ascii="宋体" w:hAnsi="宋体" w:cs="宋体"/>
          <w:b/>
          <w:sz w:val="28"/>
          <w:szCs w:val="28"/>
        </w:rPr>
      </w:pPr>
      <w:r>
        <w:rPr>
          <w:rFonts w:hint="eastAsia" w:ascii="宋体" w:hAnsi="宋体" w:cs="宋体"/>
          <w:b/>
          <w:sz w:val="28"/>
          <w:szCs w:val="28"/>
        </w:rPr>
        <w:t>注：响应供应商单价和总价均不得高于最高限价，否则按无效标处理。</w:t>
      </w:r>
    </w:p>
    <w:p w14:paraId="624BD572">
      <w:pPr>
        <w:spacing w:before="320" w:after="120" w:line="288" w:lineRule="auto"/>
        <w:ind w:firstLine="562" w:firstLineChars="200"/>
        <w:jc w:val="left"/>
        <w:rPr>
          <w:rFonts w:ascii="宋体" w:hAnsi="宋体" w:cs="宋体"/>
          <w:sz w:val="28"/>
          <w:szCs w:val="28"/>
        </w:rPr>
      </w:pPr>
      <w:r>
        <w:rPr>
          <w:rFonts w:hint="eastAsia" w:ascii="宋体" w:hAnsi="宋体" w:cs="宋体"/>
          <w:b/>
          <w:sz w:val="28"/>
          <w:szCs w:val="28"/>
        </w:rPr>
        <w:t>2、货物技术质量标准</w:t>
      </w:r>
    </w:p>
    <w:p w14:paraId="6BA601FC">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2.1. 注水式防洪箱</w:t>
      </w:r>
    </w:p>
    <w:p w14:paraId="3C1518A1">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△箱体尺寸（顶部）：90×65 cm（±3 cm）</w:t>
      </w:r>
    </w:p>
    <w:p w14:paraId="2B95739A">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△箱体尺寸（底部）：75×50 cm（±3 cm）</w:t>
      </w:r>
    </w:p>
    <w:p w14:paraId="7B7D4917">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△箱体高度：60 cm（±3 cm）</w:t>
      </w:r>
    </w:p>
    <w:p w14:paraId="24927B42">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 xml:space="preserve">箱体质量：≥12.0 kg </w:t>
      </w:r>
    </w:p>
    <w:p w14:paraId="53B12787">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箱体密度：≥0.89 g/cm3</w:t>
      </w:r>
    </w:p>
    <w:p w14:paraId="6264EFFE">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△箱体拉伸强度：≥12.0 MPa</w:t>
      </w:r>
    </w:p>
    <w:p w14:paraId="6630CFD5">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△注水口尺寸：φ15.5cm（±0.5 cm）</w:t>
      </w:r>
    </w:p>
    <w:p w14:paraId="1C24AC22">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箱体四侧连接凹槽数量：≥8个</w:t>
      </w:r>
    </w:p>
    <w:p w14:paraId="72634C9B">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箱体单侧连接凹槽数量：≥2个</w:t>
      </w:r>
    </w:p>
    <w:p w14:paraId="089385C3">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箱体底部防渗垫层：平铺粘接</w:t>
      </w:r>
    </w:p>
    <w:p w14:paraId="1BBB368F">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2.2. L型挡水板</w:t>
      </w:r>
    </w:p>
    <w:p w14:paraId="6F4D8D51">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 xml:space="preserve"> L型结构，ABS材料可拆卸卸式防洪板，每块板上都有卡扣和连接结构，可灵活组装，底部有防滑胶条和阻水记忆棉，有效挡水高度不低于50cm。</w:t>
      </w:r>
    </w:p>
    <w:p w14:paraId="259CB106">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红色，L型，每块屏上设有卡扣连接结构，底部有防滑胶条和密封阻水条</w:t>
      </w:r>
    </w:p>
    <w:p w14:paraId="281B8789">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长68cm（±2cm）× 宽70cm（±2cm）× 高50cm（±2cm）</w:t>
      </w:r>
    </w:p>
    <w:p w14:paraId="28B0DA87">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厚度≧4mm</w:t>
      </w:r>
    </w:p>
    <w:p w14:paraId="17CEDECA">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重量≧3.6kg/块</w:t>
      </w:r>
    </w:p>
    <w:p w14:paraId="73C4C0E9">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△弯曲强度≥20Mpa</w:t>
      </w:r>
    </w:p>
    <w:p w14:paraId="6B1CC3F0">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△拉伸强度≥15Mpa</w:t>
      </w:r>
    </w:p>
    <w:p w14:paraId="376A1597">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2.3. 防汛专用沙袋</w:t>
      </w:r>
    </w:p>
    <w:p w14:paraId="09E54E06">
      <w:pPr>
        <w:spacing w:before="120" w:after="120" w:line="288" w:lineRule="auto"/>
        <w:ind w:firstLine="560" w:firstLineChars="200"/>
        <w:jc w:val="left"/>
        <w:rPr>
          <w:rFonts w:ascii="宋体" w:hAnsi="宋体" w:cs="宋体"/>
          <w:sz w:val="28"/>
          <w:szCs w:val="28"/>
        </w:rPr>
      </w:pPr>
      <w:r>
        <w:rPr>
          <w:rFonts w:ascii="宋体" w:hAnsi="宋体" w:cs="宋体"/>
          <w:sz w:val="28"/>
          <w:szCs w:val="28"/>
        </w:rPr>
        <w:t>规格尺寸：</w:t>
      </w:r>
      <w:r>
        <w:rPr>
          <w:rFonts w:hint="eastAsia" w:ascii="宋体" w:hAnsi="宋体" w:cs="宋体"/>
          <w:sz w:val="28"/>
          <w:szCs w:val="28"/>
        </w:rPr>
        <w:t>25</w:t>
      </w:r>
      <w:r>
        <w:rPr>
          <w:rFonts w:ascii="宋体" w:hAnsi="宋体" w:cs="宋体"/>
          <w:sz w:val="28"/>
          <w:szCs w:val="28"/>
        </w:rPr>
        <w:t>cm×</w:t>
      </w:r>
      <w:r>
        <w:rPr>
          <w:rFonts w:hint="eastAsia" w:ascii="宋体" w:hAnsi="宋体" w:cs="宋体"/>
          <w:sz w:val="28"/>
          <w:szCs w:val="28"/>
        </w:rPr>
        <w:t>5</w:t>
      </w:r>
      <w:r>
        <w:rPr>
          <w:rFonts w:ascii="宋体" w:hAnsi="宋体" w:cs="宋体"/>
          <w:sz w:val="28"/>
          <w:szCs w:val="28"/>
        </w:rPr>
        <w:t>0cm</w:t>
      </w:r>
    </w:p>
    <w:p w14:paraId="410205BF">
      <w:pPr>
        <w:spacing w:before="120" w:after="120" w:line="288" w:lineRule="auto"/>
        <w:ind w:firstLine="560" w:firstLineChars="200"/>
        <w:jc w:val="left"/>
        <w:rPr>
          <w:rFonts w:hint="eastAsia" w:ascii="宋体" w:hAnsi="宋体" w:cs="宋体"/>
          <w:sz w:val="28"/>
          <w:szCs w:val="28"/>
        </w:rPr>
      </w:pPr>
      <w:r>
        <w:rPr>
          <w:rFonts w:hint="eastAsia" w:ascii="宋体" w:hAnsi="宋体" w:cs="宋体"/>
          <w:sz w:val="28"/>
          <w:szCs w:val="28"/>
        </w:rPr>
        <w:t>面</w:t>
      </w:r>
      <w:r>
        <w:rPr>
          <w:rFonts w:ascii="宋体" w:hAnsi="宋体" w:cs="宋体"/>
          <w:sz w:val="28"/>
          <w:szCs w:val="28"/>
        </w:rPr>
        <w:t>料：</w:t>
      </w:r>
      <w:r>
        <w:rPr>
          <w:rFonts w:hint="eastAsia" w:ascii="宋体" w:hAnsi="宋体" w:cs="宋体"/>
          <w:sz w:val="28"/>
          <w:szCs w:val="28"/>
        </w:rPr>
        <w:t>加厚</w:t>
      </w:r>
      <w:r>
        <w:rPr>
          <w:rFonts w:ascii="宋体" w:hAnsi="宋体" w:cs="宋体"/>
          <w:sz w:val="28"/>
          <w:szCs w:val="28"/>
        </w:rPr>
        <w:t>帆布</w:t>
      </w:r>
    </w:p>
    <w:p w14:paraId="117DF8B3">
      <w:pPr>
        <w:spacing w:before="120" w:after="120" w:line="288" w:lineRule="auto"/>
        <w:ind w:firstLine="560" w:firstLineChars="200"/>
        <w:jc w:val="left"/>
        <w:rPr>
          <w:rFonts w:ascii="宋体" w:hAnsi="宋体" w:cs="宋体"/>
          <w:sz w:val="28"/>
          <w:szCs w:val="28"/>
        </w:rPr>
      </w:pPr>
      <w:r>
        <w:rPr>
          <w:rFonts w:ascii="宋体" w:hAnsi="宋体" w:cs="宋体"/>
          <w:sz w:val="28"/>
          <w:szCs w:val="28"/>
        </w:rPr>
        <w:t>封口：抽绳式</w:t>
      </w:r>
    </w:p>
    <w:p w14:paraId="187A9B0E">
      <w:pPr>
        <w:spacing w:before="120" w:after="120" w:line="288" w:lineRule="auto"/>
        <w:ind w:firstLine="560" w:firstLineChars="200"/>
        <w:jc w:val="left"/>
        <w:rPr>
          <w:rFonts w:hint="eastAsia" w:ascii="宋体" w:hAnsi="宋体" w:cs="宋体"/>
          <w:sz w:val="28"/>
          <w:szCs w:val="28"/>
        </w:rPr>
      </w:pPr>
      <w:r>
        <w:rPr>
          <w:rFonts w:ascii="宋体" w:hAnsi="宋体" w:cs="宋体"/>
          <w:sz w:val="28"/>
          <w:szCs w:val="28"/>
        </w:rPr>
        <w:t>性能：防潮、耐水浸泡</w:t>
      </w:r>
      <w:r>
        <w:rPr>
          <w:rFonts w:hint="eastAsia" w:ascii="宋体" w:hAnsi="宋体" w:cs="宋体"/>
          <w:sz w:val="28"/>
          <w:szCs w:val="28"/>
        </w:rPr>
        <w:t>，</w:t>
      </w:r>
      <w:r>
        <w:rPr>
          <w:rFonts w:ascii="宋体" w:hAnsi="宋体" w:cs="宋体"/>
          <w:sz w:val="28"/>
          <w:szCs w:val="28"/>
        </w:rPr>
        <w:t>装填沙子、泥土不易破损</w:t>
      </w:r>
      <w:r>
        <w:rPr>
          <w:rFonts w:hint="eastAsia" w:ascii="宋体" w:hAnsi="宋体" w:cs="宋体"/>
          <w:sz w:val="28"/>
          <w:szCs w:val="28"/>
        </w:rPr>
        <w:t>，</w:t>
      </w:r>
      <w:r>
        <w:rPr>
          <w:rFonts w:ascii="宋体" w:hAnsi="宋体" w:cs="宋体"/>
          <w:sz w:val="28"/>
          <w:szCs w:val="28"/>
        </w:rPr>
        <w:t>堆码后抗水流冲刷性良好</w:t>
      </w:r>
      <w:r>
        <w:rPr>
          <w:rFonts w:hint="eastAsia" w:ascii="宋体" w:hAnsi="宋体" w:cs="宋体"/>
          <w:sz w:val="28"/>
          <w:szCs w:val="28"/>
        </w:rPr>
        <w:t>。适用于小区物业、商超、停车场等。</w:t>
      </w:r>
    </w:p>
    <w:p w14:paraId="1D2F76EE">
      <w:pPr>
        <w:pStyle w:val="2"/>
        <w:ind w:firstLine="560" w:firstLineChars="200"/>
        <w:rPr>
          <w:rFonts w:ascii="宋体" w:hAnsi="宋体" w:eastAsia="宋体" w:cs="宋体"/>
          <w:kern w:val="2"/>
          <w:sz w:val="28"/>
          <w:szCs w:val="28"/>
        </w:rPr>
      </w:pPr>
      <w:r>
        <w:rPr>
          <w:rFonts w:hint="eastAsia" w:ascii="宋体" w:hAnsi="宋体" w:eastAsia="宋体" w:cs="宋体"/>
          <w:kern w:val="2"/>
          <w:sz w:val="28"/>
          <w:szCs w:val="28"/>
        </w:rPr>
        <w:t>其中打△技术参数需提供具备CMA资质认定的第三方检测机构出具的检测报告佐证，否则作无效投标处理。</w:t>
      </w:r>
    </w:p>
    <w:p w14:paraId="78940495">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2.4. 所有货物必须为全新正品行货，严禁假货、次品、临期、二手、翻新产品。</w:t>
      </w:r>
    </w:p>
    <w:p w14:paraId="4377AC92">
      <w:pPr>
        <w:spacing w:before="320" w:after="120" w:line="288" w:lineRule="auto"/>
        <w:ind w:firstLine="562" w:firstLineChars="200"/>
        <w:jc w:val="left"/>
        <w:rPr>
          <w:rFonts w:ascii="宋体" w:hAnsi="宋体" w:cs="宋体"/>
          <w:sz w:val="28"/>
          <w:szCs w:val="28"/>
        </w:rPr>
      </w:pPr>
      <w:r>
        <w:rPr>
          <w:rFonts w:hint="eastAsia" w:ascii="宋体" w:hAnsi="宋体" w:cs="宋体"/>
          <w:b/>
          <w:sz w:val="28"/>
          <w:szCs w:val="28"/>
        </w:rPr>
        <w:t>3、供货要求</w:t>
      </w:r>
    </w:p>
    <w:p w14:paraId="27554ACB">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3.1. 交货期限：合同签订后20日历天内全部送货到位。</w:t>
      </w:r>
    </w:p>
    <w:p w14:paraId="53C1A519">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3.2. 交货地点：采购人指定地点</w:t>
      </w:r>
    </w:p>
    <w:p w14:paraId="4C50AD6E">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3.3. 交货方式：供方免费送货上门、卸货清点、验收签收。</w:t>
      </w:r>
    </w:p>
    <w:p w14:paraId="7C819EF8">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3.4. 验收：货到现场，采购人按清单数量、质量标准现场验收，数量清点、抽检质量，验收合格签署验收单；不合格供方无条件换货、重做，逾期承担违约责任。</w:t>
      </w:r>
    </w:p>
    <w:p w14:paraId="5E702BCE">
      <w:pPr>
        <w:spacing w:before="120" w:after="120" w:line="288" w:lineRule="auto"/>
        <w:ind w:firstLine="562" w:firstLineChars="200"/>
        <w:jc w:val="left"/>
        <w:rPr>
          <w:rFonts w:ascii="宋体" w:hAnsi="宋体" w:cs="宋体"/>
          <w:sz w:val="28"/>
          <w:szCs w:val="28"/>
        </w:rPr>
      </w:pPr>
      <w:r>
        <w:rPr>
          <w:rFonts w:hint="eastAsia" w:ascii="宋体" w:hAnsi="宋体" w:cs="宋体"/>
          <w:b/>
          <w:bCs/>
          <w:sz w:val="28"/>
          <w:szCs w:val="28"/>
        </w:rPr>
        <w:t>四、其他要求</w:t>
      </w:r>
    </w:p>
    <w:p w14:paraId="18C546E7">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1. 付款方式：全部货物到货验收合格、供方开具正规增值税发票后，采购人一次性全额支付合同款项。</w:t>
      </w:r>
    </w:p>
    <w:p w14:paraId="6D71A41B">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2. 质保期：交货验收合格之日起12个月质保，质保期内质量问题免费更换、退换。</w:t>
      </w:r>
    </w:p>
    <w:p w14:paraId="2AF305CE">
      <w:pPr>
        <w:spacing w:before="120" w:after="120" w:line="288" w:lineRule="auto"/>
        <w:ind w:firstLine="560" w:firstLineChars="200"/>
        <w:jc w:val="left"/>
        <w:rPr>
          <w:rFonts w:ascii="宋体" w:hAnsi="宋体" w:cs="宋体"/>
          <w:sz w:val="28"/>
          <w:szCs w:val="28"/>
        </w:rPr>
      </w:pPr>
      <w:r>
        <w:rPr>
          <w:rFonts w:hint="eastAsia" w:ascii="宋体" w:hAnsi="宋体" w:cs="宋体"/>
          <w:sz w:val="28"/>
          <w:szCs w:val="28"/>
        </w:rPr>
        <w:t>3. 违约责任：供方逾期交货，每日按合同总价0.5%支付违约金；供货假货次品，采购人有权取消中标、解除合同、没收履约保证金并上报政府采购失信名单。</w:t>
      </w:r>
    </w:p>
    <w:p w14:paraId="4AE1BDDC">
      <w:pPr>
        <w:adjustRightInd w:val="0"/>
        <w:spacing w:line="500" w:lineRule="exact"/>
        <w:ind w:firstLine="560" w:firstLineChars="200"/>
        <w:rPr>
          <w:rFonts w:ascii="宋体" w:hAnsi="宋体" w:cs="宋体"/>
          <w:kern w:val="0"/>
          <w:sz w:val="28"/>
          <w:szCs w:val="28"/>
          <w:lang w:val="zh-CN"/>
        </w:rPr>
      </w:pPr>
      <w:r>
        <w:rPr>
          <w:rFonts w:hint="eastAsia" w:ascii="宋体" w:hAnsi="宋体" w:cs="宋体"/>
          <w:sz w:val="28"/>
          <w:szCs w:val="28"/>
        </w:rPr>
        <w:t>4. 履约保证金：中标人中标后缴纳合同总价5%履约保证金，验收合格后无息退还</w:t>
      </w:r>
      <w:r>
        <w:rPr>
          <w:rFonts w:hint="eastAsia" w:ascii="宋体" w:hAnsi="宋体" w:cs="宋体"/>
          <w:kern w:val="0"/>
          <w:sz w:val="28"/>
          <w:szCs w:val="28"/>
          <w:lang w:val="zh-CN"/>
        </w:rPr>
        <w:t>。</w:t>
      </w:r>
    </w:p>
    <w:p w14:paraId="6335C2FB">
      <w:pPr>
        <w:spacing w:line="460" w:lineRule="exact"/>
        <w:ind w:firstLine="560"/>
        <w:rPr>
          <w:rFonts w:ascii="宋体" w:hAnsi="宋体" w:cs="宋体"/>
          <w:sz w:val="28"/>
          <w:szCs w:val="28"/>
        </w:rPr>
      </w:pPr>
    </w:p>
    <w:p w14:paraId="53D8B66B">
      <w:pPr>
        <w:rPr>
          <w:rFonts w:ascii="宋体" w:hAnsi="宋体" w:cs="宋体"/>
          <w:bCs/>
          <w:sz w:val="28"/>
          <w:szCs w:val="28"/>
        </w:rPr>
      </w:pPr>
      <w:r>
        <w:rPr>
          <w:rFonts w:hint="eastAsia" w:ascii="宋体" w:hAnsi="宋体" w:cs="宋体"/>
          <w:bCs/>
          <w:sz w:val="28"/>
          <w:szCs w:val="28"/>
        </w:rPr>
        <w:br w:type="page"/>
      </w:r>
    </w:p>
    <w:p w14:paraId="070AF567">
      <w:pPr>
        <w:adjustRightInd w:val="0"/>
        <w:snapToGrid w:val="0"/>
        <w:spacing w:line="500" w:lineRule="exact"/>
        <w:jc w:val="center"/>
        <w:outlineLvl w:val="0"/>
        <w:rPr>
          <w:rFonts w:ascii="宋体" w:hAnsi="宋体" w:cs="宋体"/>
          <w:bCs/>
          <w:sz w:val="28"/>
          <w:szCs w:val="28"/>
        </w:rPr>
      </w:pPr>
      <w:r>
        <w:rPr>
          <w:rFonts w:hint="eastAsia" w:ascii="宋体" w:hAnsi="宋体" w:cs="宋体"/>
          <w:bCs/>
          <w:sz w:val="28"/>
          <w:szCs w:val="28"/>
        </w:rPr>
        <w:t>第四部分 评审方法和评审标准</w:t>
      </w:r>
    </w:p>
    <w:p w14:paraId="756247BE">
      <w:pPr>
        <w:snapToGrid w:val="0"/>
        <w:spacing w:line="360" w:lineRule="auto"/>
        <w:ind w:firstLine="562" w:firstLineChars="200"/>
        <w:outlineLvl w:val="1"/>
        <w:rPr>
          <w:rFonts w:ascii="宋体" w:hAnsi="宋体" w:cs="宋体"/>
          <w:b/>
          <w:color w:val="000000"/>
          <w:kern w:val="0"/>
          <w:sz w:val="28"/>
          <w:szCs w:val="28"/>
        </w:rPr>
      </w:pPr>
      <w:r>
        <w:rPr>
          <w:rFonts w:hint="eastAsia" w:ascii="宋体" w:hAnsi="宋体" w:cs="宋体"/>
          <w:b/>
          <w:color w:val="000000"/>
          <w:kern w:val="0"/>
          <w:sz w:val="28"/>
          <w:szCs w:val="28"/>
        </w:rPr>
        <w:t>一、评审原则</w:t>
      </w:r>
    </w:p>
    <w:p w14:paraId="5C5FBDEB">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1.本项目采用</w:t>
      </w:r>
      <w:r>
        <w:rPr>
          <w:rFonts w:hint="eastAsia" w:ascii="宋体" w:hAnsi="宋体" w:cs="宋体"/>
          <w:color w:val="000000"/>
          <w:kern w:val="0"/>
          <w:sz w:val="28"/>
          <w:szCs w:val="28"/>
          <w:u w:val="single"/>
        </w:rPr>
        <w:t xml:space="preserve">  </w:t>
      </w:r>
      <w:r>
        <w:rPr>
          <w:rFonts w:hint="eastAsia" w:ascii="宋体" w:hAnsi="宋体" w:cs="宋体"/>
          <w:b/>
          <w:color w:val="000000"/>
          <w:kern w:val="0"/>
          <w:sz w:val="28"/>
          <w:szCs w:val="28"/>
          <w:u w:val="single"/>
        </w:rPr>
        <w:t>综合评分法</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，即指在最大限度地满足招标文件实质性要求的前提下，按照本招标文件中规定的评标办法和评分标准及其他各项因素进行综合评审后，以评标综合得分最高的投标人作为中标候选人的评标方法。</w:t>
      </w:r>
    </w:p>
    <w:p w14:paraId="708C3C85">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2.由评标委员会对资格审查合格的投标人所提供的商务技术标进行评选。</w:t>
      </w:r>
    </w:p>
    <w:p w14:paraId="0988C9D0">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3.评标委员会对投标文件的判定，只依据投标内容本身，不依靠开标后的任何外来证明。</w:t>
      </w:r>
    </w:p>
    <w:p w14:paraId="35B160D0">
      <w:pPr>
        <w:snapToGrid w:val="0"/>
        <w:spacing w:line="360" w:lineRule="auto"/>
        <w:ind w:firstLine="562" w:firstLineChars="200"/>
        <w:outlineLvl w:val="1"/>
        <w:rPr>
          <w:rFonts w:ascii="宋体" w:hAnsi="宋体" w:cs="宋体"/>
          <w:b/>
          <w:color w:val="000000"/>
          <w:kern w:val="0"/>
          <w:sz w:val="28"/>
          <w:szCs w:val="28"/>
        </w:rPr>
      </w:pPr>
      <w:r>
        <w:rPr>
          <w:rFonts w:hint="eastAsia" w:ascii="宋体" w:hAnsi="宋体" w:cs="宋体"/>
          <w:b/>
          <w:color w:val="000000"/>
          <w:kern w:val="0"/>
          <w:sz w:val="28"/>
          <w:szCs w:val="28"/>
        </w:rPr>
        <w:t>二、评审方法</w:t>
      </w:r>
    </w:p>
    <w:p w14:paraId="1BAA7E92">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1.评标程序：</w:t>
      </w:r>
    </w:p>
    <w:p w14:paraId="2178DA03">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资格审查</w:t>
      </w:r>
      <w:r>
        <w:rPr>
          <w:rFonts w:hint="eastAsia" w:ascii="宋体" w:hAnsi="宋体" w:cs="宋体"/>
          <w:sz w:val="28"/>
          <w:szCs w:val="28"/>
        </w:rPr>
        <w:t>→商务技术标评审→价格标评审→</w:t>
      </w:r>
      <w:r>
        <w:rPr>
          <w:rFonts w:hint="eastAsia" w:ascii="宋体" w:hAnsi="宋体" w:cs="宋体"/>
          <w:color w:val="000000"/>
          <w:kern w:val="0"/>
          <w:sz w:val="28"/>
          <w:szCs w:val="28"/>
        </w:rPr>
        <w:t>推荐中标候选人。</w:t>
      </w:r>
    </w:p>
    <w:p w14:paraId="4303BA97">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本次资格审查采用资格后审，各投标人资格审查通过后方能进入评标程序。先评审商务技术标，商务技术标打分结束后再评审价格标。</w:t>
      </w:r>
    </w:p>
    <w:p w14:paraId="21A1BD40">
      <w:pPr>
        <w:snapToGrid w:val="0"/>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2.评标委员会将仅对按本招标文件载明的方法与规定，为实质上响应招标文件要求的投标文件评审并进行评价和比较。</w:t>
      </w:r>
    </w:p>
    <w:p w14:paraId="078108EF">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3.本项目的商务技术标和价格标评审总分值为100分。两部分评审因素比重如下：</w:t>
      </w:r>
    </w:p>
    <w:p w14:paraId="2E37C19F">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商务技术标分值占总分值的比重为</w:t>
      </w:r>
      <w:r>
        <w:rPr>
          <w:rFonts w:hint="eastAsia" w:ascii="宋体" w:hAnsi="宋体" w:cs="宋体"/>
          <w:color w:val="000000"/>
          <w:kern w:val="0"/>
          <w:sz w:val="28"/>
          <w:szCs w:val="28"/>
          <w:u w:val="single"/>
        </w:rPr>
        <w:t>70%</w:t>
      </w:r>
      <w:r>
        <w:rPr>
          <w:rFonts w:hint="eastAsia" w:ascii="宋体" w:hAnsi="宋体" w:cs="宋体"/>
          <w:color w:val="000000"/>
          <w:kern w:val="0"/>
          <w:sz w:val="28"/>
          <w:szCs w:val="28"/>
        </w:rPr>
        <w:t>（权重）（四舍五入保留两位小数）；</w:t>
      </w:r>
    </w:p>
    <w:p w14:paraId="23D3807F">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报价分值占总分值的比重为</w:t>
      </w:r>
      <w:r>
        <w:rPr>
          <w:rFonts w:hint="eastAsia" w:ascii="宋体" w:hAnsi="宋体" w:cs="宋体"/>
          <w:color w:val="000000"/>
          <w:kern w:val="0"/>
          <w:sz w:val="28"/>
          <w:szCs w:val="28"/>
          <w:u w:val="single"/>
        </w:rPr>
        <w:t>30%</w:t>
      </w:r>
      <w:r>
        <w:rPr>
          <w:rFonts w:hint="eastAsia" w:ascii="宋体" w:hAnsi="宋体" w:cs="宋体"/>
          <w:color w:val="000000"/>
          <w:kern w:val="0"/>
          <w:sz w:val="28"/>
          <w:szCs w:val="28"/>
        </w:rPr>
        <w:t>（权重）（四舍五入保留两位小数）。</w:t>
      </w:r>
    </w:p>
    <w:p w14:paraId="0FAC4E8C">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4.评标委员会严格按照招标文件的要求、条件、评分标准，对投标人所提供货物或服务的先进性、可靠性、售后服务承诺、质量保证承诺等实质性响应内容进行比较。</w:t>
      </w:r>
    </w:p>
    <w:p w14:paraId="0573D541">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5.评标委员会各成员独立对每个进入打分程序的有效投标人的标书商务技术标以打分的形式进行评审和评价，商务技术标分值为所有评委评分的算术平均值（计算结果均四舍五入保留两位小数）。</w:t>
      </w:r>
    </w:p>
    <w:p w14:paraId="696C68DE">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6.技术部分评审结束后，开启投标人的价格标，投标人的价格标得分直接计算取得，与商务技术标得分相加为投标人的综合得分（计算结果均四舍五入保留两位小数）。</w:t>
      </w:r>
    </w:p>
    <w:p w14:paraId="296E6956">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7.综合得分最高者推荐为预中标人，并出具评审报告。</w:t>
      </w:r>
    </w:p>
    <w:p w14:paraId="3DA4BF60">
      <w:pPr>
        <w:snapToGrid w:val="0"/>
        <w:spacing w:line="360" w:lineRule="auto"/>
        <w:ind w:firstLine="565" w:firstLineChars="202"/>
        <w:rPr>
          <w:rFonts w:ascii="宋体" w:hAnsi="宋体" w:cs="宋体"/>
          <w:color w:val="000000"/>
          <w:kern w:val="0"/>
          <w:sz w:val="28"/>
          <w:szCs w:val="28"/>
        </w:rPr>
      </w:pPr>
      <w:r>
        <w:rPr>
          <w:rFonts w:hint="eastAsia" w:ascii="宋体" w:hAnsi="宋体" w:cs="宋体"/>
          <w:color w:val="000000"/>
          <w:kern w:val="0"/>
          <w:sz w:val="28"/>
          <w:szCs w:val="28"/>
        </w:rPr>
        <w:t>本项目第一中标候选人原则上为中标人。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14:paraId="6E0839E9">
      <w:pPr>
        <w:snapToGrid w:val="0"/>
        <w:spacing w:line="360" w:lineRule="auto"/>
        <w:ind w:firstLine="562" w:firstLineChars="200"/>
        <w:outlineLvl w:val="1"/>
        <w:rPr>
          <w:rFonts w:ascii="宋体" w:hAnsi="宋体" w:cs="宋体"/>
          <w:b/>
          <w:color w:val="000000"/>
          <w:kern w:val="0"/>
          <w:sz w:val="28"/>
          <w:szCs w:val="28"/>
        </w:rPr>
      </w:pPr>
      <w:r>
        <w:rPr>
          <w:rFonts w:hint="eastAsia" w:ascii="宋体" w:hAnsi="宋体" w:cs="宋体"/>
          <w:b/>
          <w:color w:val="000000"/>
          <w:kern w:val="0"/>
          <w:sz w:val="28"/>
          <w:szCs w:val="28"/>
        </w:rPr>
        <w:t>三、</w:t>
      </w:r>
      <w:r>
        <w:rPr>
          <w:rFonts w:hint="eastAsia" w:ascii="宋体" w:hAnsi="宋体" w:cs="宋体"/>
          <w:b/>
          <w:bCs/>
          <w:color w:val="000000"/>
          <w:sz w:val="28"/>
          <w:szCs w:val="28"/>
        </w:rPr>
        <w:t>中标人的确定</w:t>
      </w:r>
    </w:p>
    <w:p w14:paraId="05488107">
      <w:pPr>
        <w:snapToGrid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1.评标委员会依据投标人的综合得分（商务技术得分与价格得分之和）</w:t>
      </w:r>
      <w:r>
        <w:rPr>
          <w:rFonts w:hint="eastAsia" w:ascii="宋体" w:hAnsi="宋体" w:cs="宋体"/>
          <w:bCs/>
          <w:sz w:val="28"/>
          <w:szCs w:val="28"/>
        </w:rPr>
        <w:t>从高到低排序</w:t>
      </w:r>
      <w:r>
        <w:rPr>
          <w:rFonts w:hint="eastAsia" w:ascii="宋体" w:hAnsi="宋体" w:cs="宋体"/>
          <w:color w:val="000000"/>
          <w:kern w:val="0"/>
          <w:sz w:val="28"/>
          <w:szCs w:val="28"/>
        </w:rPr>
        <w:t xml:space="preserve">推荐中标候选人，并将结果通知所有投标人。  </w:t>
      </w:r>
    </w:p>
    <w:p w14:paraId="3BD9B834">
      <w:pPr>
        <w:snapToGrid w:val="0"/>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2.推荐中标候选人的特殊情况处理：</w:t>
      </w:r>
    </w:p>
    <w:p w14:paraId="1028A6D0">
      <w:pPr>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 xml:space="preserve">   （1）若总分相同，则按价格标得分高者优先。</w:t>
      </w:r>
    </w:p>
    <w:p w14:paraId="7482677E">
      <w:pPr>
        <w:snapToGrid w:val="0"/>
        <w:spacing w:line="360" w:lineRule="auto"/>
        <w:rPr>
          <w:rFonts w:ascii="宋体" w:hAnsi="宋体" w:cs="宋体"/>
          <w:color w:val="000000"/>
          <w:kern w:val="0"/>
          <w:sz w:val="28"/>
          <w:szCs w:val="28"/>
        </w:rPr>
      </w:pPr>
      <w:r>
        <w:rPr>
          <w:rFonts w:hint="eastAsia" w:ascii="宋体" w:hAnsi="宋体" w:cs="宋体"/>
          <w:color w:val="000000"/>
          <w:kern w:val="0"/>
          <w:sz w:val="28"/>
          <w:szCs w:val="28"/>
        </w:rPr>
        <w:t xml:space="preserve">   （2）若总分且价格标得分相同，则采取现场抽签的方式确定（投标人的抽签顺序分别为各投标人递交投标文件签到顺序号）。</w:t>
      </w:r>
    </w:p>
    <w:p w14:paraId="57A92B8D">
      <w:pPr>
        <w:snapToGrid w:val="0"/>
        <w:spacing w:line="360" w:lineRule="auto"/>
        <w:ind w:firstLine="562" w:firstLineChars="200"/>
        <w:outlineLvl w:val="1"/>
        <w:rPr>
          <w:rFonts w:ascii="宋体" w:hAnsi="宋体" w:cs="宋体"/>
          <w:b/>
          <w:bCs/>
          <w:color w:val="000000"/>
          <w:sz w:val="28"/>
          <w:szCs w:val="28"/>
        </w:rPr>
      </w:pPr>
      <w:bookmarkStart w:id="89" w:name="_Toc14794"/>
      <w:bookmarkStart w:id="90" w:name="_Toc40256465"/>
      <w:r>
        <w:rPr>
          <w:rFonts w:hint="eastAsia" w:ascii="宋体" w:hAnsi="宋体" w:cs="宋体"/>
          <w:b/>
          <w:bCs/>
          <w:color w:val="000000"/>
          <w:sz w:val="28"/>
          <w:szCs w:val="28"/>
        </w:rPr>
        <w:t>四、评审因素和评分标准</w:t>
      </w:r>
      <w:bookmarkEnd w:id="89"/>
      <w:bookmarkEnd w:id="90"/>
    </w:p>
    <w:p w14:paraId="76E07818">
      <w:pPr>
        <w:snapToGrid w:val="0"/>
        <w:spacing w:line="360" w:lineRule="auto"/>
        <w:ind w:firstLine="562" w:firstLineChars="200"/>
        <w:outlineLvl w:val="2"/>
        <w:rPr>
          <w:rFonts w:ascii="宋体" w:hAnsi="宋体" w:cs="宋体"/>
          <w:b/>
          <w:bCs/>
          <w:color w:val="000000"/>
          <w:sz w:val="28"/>
          <w:szCs w:val="28"/>
        </w:rPr>
      </w:pPr>
      <w:r>
        <w:rPr>
          <w:rFonts w:hint="eastAsia" w:ascii="宋体" w:hAnsi="宋体" w:cs="宋体"/>
          <w:b/>
          <w:bCs/>
          <w:color w:val="000000"/>
          <w:sz w:val="28"/>
          <w:szCs w:val="28"/>
        </w:rPr>
        <w:t>（一）评审方法</w:t>
      </w:r>
    </w:p>
    <w:p w14:paraId="76666349">
      <w:pPr>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本项目采用综合评分法。</w:t>
      </w:r>
    </w:p>
    <w:p w14:paraId="7E5B7A8F">
      <w:pPr>
        <w:snapToGrid w:val="0"/>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注：每部分的得分保留小数点后两位，合计得分保留小数点后两位。</w:t>
      </w:r>
    </w:p>
    <w:p w14:paraId="65830E85">
      <w:pPr>
        <w:numPr>
          <w:ilvl w:val="0"/>
          <w:numId w:val="2"/>
        </w:numPr>
        <w:spacing w:line="460" w:lineRule="exact"/>
        <w:ind w:firstLine="281" w:firstLineChars="100"/>
        <w:outlineLvl w:val="2"/>
        <w:rPr>
          <w:rFonts w:ascii="宋体" w:hAnsi="宋体" w:cs="宋体"/>
          <w:b/>
          <w:bCs/>
          <w:color w:val="000000"/>
          <w:sz w:val="28"/>
          <w:szCs w:val="28"/>
        </w:rPr>
      </w:pPr>
      <w:r>
        <w:rPr>
          <w:rFonts w:hint="eastAsia" w:ascii="宋体" w:hAnsi="宋体" w:cs="宋体"/>
          <w:b/>
          <w:bCs/>
          <w:color w:val="000000"/>
          <w:sz w:val="28"/>
          <w:szCs w:val="28"/>
        </w:rPr>
        <w:t>商务技术标评审因素、权值及评分标准（70分）</w:t>
      </w:r>
    </w:p>
    <w:tbl>
      <w:tblPr>
        <w:tblStyle w:val="25"/>
        <w:tblW w:w="62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1367"/>
        <w:gridCol w:w="1392"/>
        <w:gridCol w:w="6415"/>
        <w:gridCol w:w="689"/>
      </w:tblGrid>
      <w:tr w14:paraId="6FF0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blHeader/>
          <w:jc w:val="center"/>
        </w:trPr>
        <w:tc>
          <w:tcPr>
            <w:tcW w:w="864" w:type="dxa"/>
            <w:vAlign w:val="center"/>
          </w:tcPr>
          <w:p w14:paraId="02880C08">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367" w:type="dxa"/>
            <w:vAlign w:val="center"/>
          </w:tcPr>
          <w:p w14:paraId="2AC85CBE">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评分项目</w:t>
            </w:r>
          </w:p>
        </w:tc>
        <w:tc>
          <w:tcPr>
            <w:tcW w:w="1392" w:type="dxa"/>
            <w:vAlign w:val="center"/>
          </w:tcPr>
          <w:p w14:paraId="35775D84">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评分因素</w:t>
            </w:r>
          </w:p>
        </w:tc>
        <w:tc>
          <w:tcPr>
            <w:tcW w:w="6414" w:type="dxa"/>
            <w:vAlign w:val="center"/>
          </w:tcPr>
          <w:p w14:paraId="6692A777">
            <w:pPr>
              <w:ind w:firstLine="33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评审标准</w:t>
            </w:r>
          </w:p>
        </w:tc>
        <w:tc>
          <w:tcPr>
            <w:tcW w:w="689" w:type="dxa"/>
            <w:vAlign w:val="center"/>
          </w:tcPr>
          <w:p w14:paraId="5FB6A7F2">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分值</w:t>
            </w:r>
          </w:p>
        </w:tc>
      </w:tr>
      <w:tr w14:paraId="38F1B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tblHeader/>
          <w:jc w:val="center"/>
        </w:trPr>
        <w:tc>
          <w:tcPr>
            <w:tcW w:w="864" w:type="dxa"/>
            <w:vAlign w:val="center"/>
          </w:tcPr>
          <w:p w14:paraId="06641D9F">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759" w:type="dxa"/>
            <w:gridSpan w:val="2"/>
            <w:vAlign w:val="center"/>
          </w:tcPr>
          <w:p w14:paraId="441B60E5">
            <w:pPr>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企业业绩（6分）</w:t>
            </w:r>
          </w:p>
        </w:tc>
        <w:tc>
          <w:tcPr>
            <w:tcW w:w="6414" w:type="dxa"/>
            <w:vAlign w:val="center"/>
          </w:tcPr>
          <w:p w14:paraId="4B92D4BA">
            <w:pPr>
              <w:ind w:firstLine="42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投标供应商自2023年05月01日（含）以来，承担过类似物资采购项目业绩的，每提供一个得3分，满分6分。</w:t>
            </w:r>
          </w:p>
          <w:p w14:paraId="563D9F99">
            <w:pPr>
              <w:ind w:firstLine="42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（须提供合同、销售发票，时间以合同为准，类似物资采购业绩内容应至少包含注水式防洪箱，提供的相关证明材料必须能反映出相关数据和内容，否则</w:t>
            </w:r>
            <w:r>
              <w:rPr>
                <w:rFonts w:hint="eastAsia" w:asciiTheme="minorEastAsia" w:hAnsiTheme="minorEastAsia" w:eastAsiaTheme="minorEastAsia" w:cstheme="minorEastAsia"/>
                <w:sz w:val="28"/>
                <w:szCs w:val="28"/>
                <w:lang w:val="en-US" w:eastAsia="zh-CN"/>
              </w:rPr>
              <w:t>不得分</w:t>
            </w:r>
            <w:r>
              <w:rPr>
                <w:rFonts w:hint="eastAsia" w:asciiTheme="minorEastAsia" w:hAnsiTheme="minorEastAsia" w:eastAsiaTheme="minorEastAsia" w:cstheme="minorEastAsia"/>
                <w:sz w:val="28"/>
                <w:szCs w:val="28"/>
              </w:rPr>
              <w:t>）。</w:t>
            </w:r>
          </w:p>
        </w:tc>
        <w:tc>
          <w:tcPr>
            <w:tcW w:w="689" w:type="dxa"/>
            <w:vAlign w:val="center"/>
          </w:tcPr>
          <w:p w14:paraId="15C2BD7C">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r>
      <w:tr w14:paraId="04278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blHeader/>
          <w:jc w:val="center"/>
        </w:trPr>
        <w:tc>
          <w:tcPr>
            <w:tcW w:w="864" w:type="dxa"/>
            <w:vAlign w:val="center"/>
          </w:tcPr>
          <w:p w14:paraId="4414B0C9">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759" w:type="dxa"/>
            <w:gridSpan w:val="2"/>
            <w:vAlign w:val="center"/>
          </w:tcPr>
          <w:p w14:paraId="73E73CD2">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产品功能、性能、配置要求（14分）</w:t>
            </w:r>
          </w:p>
        </w:tc>
        <w:tc>
          <w:tcPr>
            <w:tcW w:w="6414" w:type="dxa"/>
            <w:vAlign w:val="center"/>
          </w:tcPr>
          <w:p w14:paraId="6DE40540">
            <w:pPr>
              <w:ind w:firstLine="42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产品对招标文件具体需求的响应程度：全部响应即满足招标文件的“项目需求”中技术参数要求的得14分；其中参数每有一项负偏离的减1分，扣完为止。投标人需在“技术要求响应及偏离表”中如实逐项填列所投产品的技术</w:t>
            </w:r>
            <w:r>
              <w:rPr>
                <w:rFonts w:hint="eastAsia" w:ascii="宋体" w:hAnsi="宋体" w:eastAsia="宋体" w:cs="宋体"/>
                <w:kern w:val="2"/>
                <w:sz w:val="28"/>
                <w:szCs w:val="28"/>
              </w:rPr>
              <w:t>。</w:t>
            </w:r>
          </w:p>
        </w:tc>
        <w:tc>
          <w:tcPr>
            <w:tcW w:w="689" w:type="dxa"/>
            <w:vAlign w:val="center"/>
          </w:tcPr>
          <w:p w14:paraId="2B967275">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r>
      <w:tr w14:paraId="58AFD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864" w:type="dxa"/>
            <w:vAlign w:val="center"/>
          </w:tcPr>
          <w:p w14:paraId="23CDC3E7">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w:t>
            </w:r>
          </w:p>
        </w:tc>
        <w:tc>
          <w:tcPr>
            <w:tcW w:w="1367" w:type="dxa"/>
            <w:vMerge w:val="restart"/>
            <w:vAlign w:val="center"/>
          </w:tcPr>
          <w:p w14:paraId="3FF6C822">
            <w:pPr>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服务方案</w:t>
            </w:r>
          </w:p>
          <w:p w14:paraId="4C074494">
            <w:pPr>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(50分)</w:t>
            </w:r>
          </w:p>
        </w:tc>
        <w:tc>
          <w:tcPr>
            <w:tcW w:w="1392" w:type="dxa"/>
            <w:vAlign w:val="center"/>
          </w:tcPr>
          <w:p w14:paraId="6F1E93E6">
            <w:pPr>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项目实施方案（10分）</w:t>
            </w:r>
          </w:p>
        </w:tc>
        <w:tc>
          <w:tcPr>
            <w:tcW w:w="6414" w:type="dxa"/>
            <w:vAlign w:val="center"/>
          </w:tcPr>
          <w:p w14:paraId="75E693BD">
            <w:pPr>
              <w:ind w:firstLine="48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根据招标文件要求，考察各投标人提供项目的详细实施方案，包括但不限于项目组织架构、实施步骤、项目实施计划、验收方案等方案内容是否切实可行由评委打分。</w:t>
            </w:r>
          </w:p>
          <w:p w14:paraId="7C3F8C19">
            <w:pPr>
              <w:ind w:firstLine="48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1、方案清晰、合理、详细、全面、针对性强、可行性强的，得10分；</w:t>
            </w:r>
          </w:p>
          <w:p w14:paraId="36A920C8">
            <w:pPr>
              <w:ind w:firstLine="48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2、方案清晰、合理、详细、全面的，得7分；</w:t>
            </w:r>
          </w:p>
          <w:p w14:paraId="084ACEAF">
            <w:pPr>
              <w:ind w:firstLine="48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3、方案基本满足招标文件要求的，得4分；</w:t>
            </w:r>
          </w:p>
          <w:p w14:paraId="5110B105">
            <w:pPr>
              <w:ind w:firstLine="48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4、未提供不得分。</w:t>
            </w:r>
          </w:p>
        </w:tc>
        <w:tc>
          <w:tcPr>
            <w:tcW w:w="689" w:type="dxa"/>
            <w:vAlign w:val="center"/>
          </w:tcPr>
          <w:p w14:paraId="114B37EB">
            <w:pPr>
              <w:spacing w:line="46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r>
      <w:tr w14:paraId="063D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blHeader/>
          <w:jc w:val="center"/>
        </w:trPr>
        <w:tc>
          <w:tcPr>
            <w:tcW w:w="864" w:type="dxa"/>
            <w:vAlign w:val="center"/>
          </w:tcPr>
          <w:p w14:paraId="55DF6258">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p>
        </w:tc>
        <w:tc>
          <w:tcPr>
            <w:tcW w:w="1367" w:type="dxa"/>
            <w:vMerge w:val="continue"/>
            <w:vAlign w:val="center"/>
          </w:tcPr>
          <w:p w14:paraId="34189DCF">
            <w:pPr>
              <w:rPr>
                <w:rFonts w:asciiTheme="minorEastAsia" w:hAnsiTheme="minorEastAsia" w:eastAsiaTheme="minorEastAsia" w:cstheme="minorEastAsia"/>
                <w:sz w:val="28"/>
                <w:szCs w:val="28"/>
              </w:rPr>
            </w:pPr>
          </w:p>
        </w:tc>
        <w:tc>
          <w:tcPr>
            <w:tcW w:w="1392" w:type="dxa"/>
            <w:vAlign w:val="center"/>
          </w:tcPr>
          <w:p w14:paraId="4591A326">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项目质量保障方案（10分）</w:t>
            </w:r>
          </w:p>
        </w:tc>
        <w:tc>
          <w:tcPr>
            <w:tcW w:w="6414" w:type="dxa"/>
            <w:shd w:val="clear" w:color="auto" w:fill="auto"/>
            <w:vAlign w:val="center"/>
          </w:tcPr>
          <w:p w14:paraId="4C895AF0">
            <w:pPr>
              <w:ind w:firstLine="42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根据投标人提供的项目实施过程中的保障方案，包括实施策略、风险控制、质量保障机制等，能够确保产品稳定可靠等内容是否合理，各工作方案内容是否切实可行由评委打分：</w:t>
            </w:r>
          </w:p>
          <w:p w14:paraId="376AB5AB">
            <w:pPr>
              <w:ind w:firstLine="42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1、质量保障方案细致全面、合理,可实施性强的，得10分；</w:t>
            </w:r>
          </w:p>
          <w:p w14:paraId="10BFF928">
            <w:pPr>
              <w:ind w:firstLine="42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2、质量保障方案细致全面性较强、合理,可实施性较强的，得7分；</w:t>
            </w:r>
          </w:p>
          <w:p w14:paraId="76B63527">
            <w:pPr>
              <w:ind w:firstLine="42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3、质量保障方案简单、合理性欠缺的，得4分；</w:t>
            </w:r>
          </w:p>
          <w:p w14:paraId="46F83C3C">
            <w:pPr>
              <w:ind w:firstLine="42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4、未提供不得分。</w:t>
            </w:r>
          </w:p>
        </w:tc>
        <w:tc>
          <w:tcPr>
            <w:tcW w:w="689" w:type="dxa"/>
            <w:vAlign w:val="center"/>
          </w:tcPr>
          <w:p w14:paraId="540754DC">
            <w:pPr>
              <w:spacing w:line="46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r>
      <w:tr w14:paraId="313A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tblHeader/>
          <w:jc w:val="center"/>
        </w:trPr>
        <w:tc>
          <w:tcPr>
            <w:tcW w:w="864" w:type="dxa"/>
            <w:vAlign w:val="center"/>
          </w:tcPr>
          <w:p w14:paraId="5BAA4D9F">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w:t>
            </w:r>
          </w:p>
        </w:tc>
        <w:tc>
          <w:tcPr>
            <w:tcW w:w="1367" w:type="dxa"/>
            <w:vMerge w:val="continue"/>
            <w:vAlign w:val="center"/>
          </w:tcPr>
          <w:p w14:paraId="6065A415">
            <w:pPr>
              <w:contextualSpacing/>
              <w:rPr>
                <w:rFonts w:asciiTheme="minorEastAsia" w:hAnsiTheme="minorEastAsia" w:eastAsiaTheme="minorEastAsia" w:cstheme="minorEastAsia"/>
                <w:sz w:val="28"/>
                <w:szCs w:val="28"/>
              </w:rPr>
            </w:pPr>
          </w:p>
        </w:tc>
        <w:tc>
          <w:tcPr>
            <w:tcW w:w="1392" w:type="dxa"/>
            <w:vAlign w:val="center"/>
          </w:tcPr>
          <w:p w14:paraId="7BCF1ACC">
            <w:pPr>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供货计划方案（10分）</w:t>
            </w:r>
          </w:p>
        </w:tc>
        <w:tc>
          <w:tcPr>
            <w:tcW w:w="6414" w:type="dxa"/>
            <w:shd w:val="clear" w:color="auto" w:fill="auto"/>
            <w:vAlign w:val="center"/>
          </w:tcPr>
          <w:p w14:paraId="664E52A5">
            <w:pPr>
              <w:ind w:firstLine="48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投标人提供的项目的供货方案的合理性、生产进度计划比较（包括供货周期、生产设备的匹配度、工期进度安排的保障措施等）项目的供货方案的合理性、生产进度计划比较（包括供货周期、生产设备的匹配度、工期进度安排的保障措施等）等方案内容是否切实可行由评委打分。</w:t>
            </w:r>
          </w:p>
          <w:p w14:paraId="39477E6E">
            <w:pPr>
              <w:ind w:firstLine="48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1、供货方案、生产计划明确合理、条理最清晰的，得10分；</w:t>
            </w:r>
          </w:p>
          <w:p w14:paraId="6D864516">
            <w:pPr>
              <w:ind w:firstLine="48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2、供货方案、生产计划较合理，条理较清晰的，得7分；</w:t>
            </w:r>
          </w:p>
          <w:p w14:paraId="5CE5F8FF">
            <w:pPr>
              <w:ind w:firstLine="48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3、供货方案、生产计划简单，条理性欠缺的，得4分；</w:t>
            </w:r>
          </w:p>
          <w:p w14:paraId="740024D4">
            <w:pPr>
              <w:ind w:firstLine="480"/>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4、未提供不得分。</w:t>
            </w:r>
          </w:p>
        </w:tc>
        <w:tc>
          <w:tcPr>
            <w:tcW w:w="689" w:type="dxa"/>
            <w:shd w:val="clear" w:color="auto" w:fill="auto"/>
            <w:vAlign w:val="center"/>
          </w:tcPr>
          <w:p w14:paraId="1BE3A36B">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r>
      <w:tr w14:paraId="3BE1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tblHeader/>
          <w:jc w:val="center"/>
        </w:trPr>
        <w:tc>
          <w:tcPr>
            <w:tcW w:w="864" w:type="dxa"/>
            <w:vAlign w:val="center"/>
          </w:tcPr>
          <w:p w14:paraId="707C10A0">
            <w:pPr>
              <w:jc w:val="center"/>
              <w:rPr>
                <w:rFonts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sz w:val="28"/>
                <w:szCs w:val="28"/>
              </w:rPr>
              <w:t>3.4</w:t>
            </w:r>
          </w:p>
        </w:tc>
        <w:tc>
          <w:tcPr>
            <w:tcW w:w="1367" w:type="dxa"/>
            <w:vMerge w:val="continue"/>
            <w:vAlign w:val="center"/>
          </w:tcPr>
          <w:p w14:paraId="3069F676">
            <w:pPr>
              <w:ind w:firstLine="480"/>
              <w:contextualSpacing/>
              <w:rPr>
                <w:rFonts w:asciiTheme="minorEastAsia" w:hAnsiTheme="minorEastAsia" w:eastAsiaTheme="minorEastAsia" w:cstheme="minorEastAsia"/>
                <w:sz w:val="28"/>
                <w:szCs w:val="28"/>
              </w:rPr>
            </w:pPr>
          </w:p>
        </w:tc>
        <w:tc>
          <w:tcPr>
            <w:tcW w:w="1392" w:type="dxa"/>
            <w:vAlign w:val="center"/>
          </w:tcPr>
          <w:p w14:paraId="386F3156">
            <w:pPr>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应急保障措施方案（10分）</w:t>
            </w:r>
          </w:p>
        </w:tc>
        <w:tc>
          <w:tcPr>
            <w:tcW w:w="6414" w:type="dxa"/>
            <w:vAlign w:val="center"/>
          </w:tcPr>
          <w:p w14:paraId="03070010">
            <w:pPr>
              <w:ind w:firstLine="42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根据投标人提供的项目的应急预案及保障措施，包括突发事件处理、物流延误、紧急事件联络方式等方案内容是否切实可行由评委打分。</w:t>
            </w:r>
          </w:p>
          <w:p w14:paraId="1AD08A1B">
            <w:pPr>
              <w:ind w:firstLine="42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1、应急保障措施方案详实具体、保障性好、可实施性强的，得10分；</w:t>
            </w:r>
          </w:p>
          <w:p w14:paraId="64EC9D95">
            <w:pPr>
              <w:ind w:firstLine="42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2、应急保障措施方案较为详细、保障性较好、可实施性较好的，得7分；</w:t>
            </w:r>
          </w:p>
          <w:p w14:paraId="0B91FC7A">
            <w:pPr>
              <w:ind w:firstLine="42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3、应急保障措施方案不够详细、保障性欠合理的，得4分；</w:t>
            </w:r>
          </w:p>
          <w:p w14:paraId="421AE08A">
            <w:pPr>
              <w:ind w:firstLine="42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4、未提供不得分。</w:t>
            </w:r>
          </w:p>
        </w:tc>
        <w:tc>
          <w:tcPr>
            <w:tcW w:w="689" w:type="dxa"/>
            <w:shd w:val="clear" w:color="auto" w:fill="auto"/>
            <w:vAlign w:val="center"/>
          </w:tcPr>
          <w:p w14:paraId="6B5933EA">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r>
      <w:tr w14:paraId="5E536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tblHeader/>
          <w:jc w:val="center"/>
        </w:trPr>
        <w:tc>
          <w:tcPr>
            <w:tcW w:w="864" w:type="dxa"/>
            <w:vAlign w:val="center"/>
          </w:tcPr>
          <w:p w14:paraId="76BE5763">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3.5</w:t>
            </w:r>
          </w:p>
        </w:tc>
        <w:tc>
          <w:tcPr>
            <w:tcW w:w="1367" w:type="dxa"/>
            <w:vMerge w:val="continue"/>
            <w:vAlign w:val="center"/>
          </w:tcPr>
          <w:p w14:paraId="0ABEF61B">
            <w:pPr>
              <w:jc w:val="center"/>
              <w:rPr>
                <w:rFonts w:asciiTheme="minorEastAsia" w:hAnsiTheme="minorEastAsia" w:eastAsiaTheme="minorEastAsia" w:cstheme="minorEastAsia"/>
                <w:color w:val="0000FF"/>
                <w:sz w:val="28"/>
                <w:szCs w:val="28"/>
              </w:rPr>
            </w:pPr>
          </w:p>
        </w:tc>
        <w:tc>
          <w:tcPr>
            <w:tcW w:w="1392" w:type="dxa"/>
            <w:vAlign w:val="center"/>
          </w:tcPr>
          <w:p w14:paraId="4BF12E76">
            <w:pPr>
              <w:contextualSpacing/>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售后服务方案（10分）</w:t>
            </w:r>
          </w:p>
        </w:tc>
        <w:tc>
          <w:tcPr>
            <w:tcW w:w="6414" w:type="dxa"/>
            <w:vAlign w:val="center"/>
          </w:tcPr>
          <w:p w14:paraId="302C4472">
            <w:pPr>
              <w:ind w:firstLine="42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根据投标人提供的售后服务方案，包括但不限于售后服务人员配置、服务体系、服务内容、响应时间等方案内容是否切实可行由评委打分。</w:t>
            </w:r>
          </w:p>
          <w:p w14:paraId="02BF4DE0">
            <w:pPr>
              <w:ind w:firstLine="42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1、售后服务方案详细、具体，具有实际可操作性的，得10分；</w:t>
            </w:r>
          </w:p>
          <w:p w14:paraId="7382EE7C">
            <w:pPr>
              <w:ind w:firstLine="42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2、售后服务方案基本满足项目需求，具有一定可操作性的，得7分；</w:t>
            </w:r>
          </w:p>
          <w:p w14:paraId="3266C331">
            <w:pPr>
              <w:ind w:firstLine="42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3、售后服务方案较为简单，可操作性欠缺的，得 分；</w:t>
            </w:r>
          </w:p>
          <w:p w14:paraId="05000F8D">
            <w:pPr>
              <w:ind w:firstLine="42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4、未提供不得分。</w:t>
            </w:r>
          </w:p>
        </w:tc>
        <w:tc>
          <w:tcPr>
            <w:tcW w:w="689" w:type="dxa"/>
            <w:shd w:val="clear" w:color="auto" w:fill="auto"/>
            <w:vAlign w:val="center"/>
          </w:tcPr>
          <w:p w14:paraId="55B36C2C">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r>
    </w:tbl>
    <w:p w14:paraId="2DEFB15B">
      <w:pPr>
        <w:spacing w:line="460" w:lineRule="exact"/>
        <w:outlineLvl w:val="2"/>
        <w:rPr>
          <w:rFonts w:ascii="宋体" w:hAnsi="宋体" w:cs="宋体"/>
          <w:sz w:val="28"/>
          <w:szCs w:val="28"/>
        </w:rPr>
      </w:pPr>
      <w:r>
        <w:rPr>
          <w:rFonts w:hint="eastAsia" w:ascii="宋体" w:hAnsi="宋体" w:cs="宋体"/>
          <w:b/>
          <w:sz w:val="28"/>
          <w:szCs w:val="28"/>
        </w:rPr>
        <w:t>（三）</w:t>
      </w:r>
      <w:r>
        <w:rPr>
          <w:rFonts w:hint="eastAsia" w:ascii="宋体" w:hAnsi="宋体" w:cs="宋体"/>
          <w:b/>
          <w:sz w:val="28"/>
          <w:szCs w:val="28"/>
          <w:lang w:val="zh-CN"/>
        </w:rPr>
        <w:t>价格分</w:t>
      </w:r>
      <w:r>
        <w:rPr>
          <w:rFonts w:hint="eastAsia" w:ascii="宋体" w:hAnsi="宋体" w:cs="宋体"/>
          <w:bCs/>
          <w:sz w:val="28"/>
          <w:szCs w:val="28"/>
        </w:rPr>
        <w:t>：30</w:t>
      </w:r>
      <w:r>
        <w:rPr>
          <w:rFonts w:hint="eastAsia" w:ascii="宋体" w:hAnsi="宋体" w:cs="宋体"/>
          <w:bCs/>
          <w:sz w:val="28"/>
          <w:szCs w:val="28"/>
          <w:lang w:val="zh-CN"/>
        </w:rPr>
        <w:t>分</w:t>
      </w:r>
    </w:p>
    <w:p w14:paraId="026E0251">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价格分统一采用低价优先法计算，即满足招标文件要求且最后报价最低的供应商的价格为评标基准价，其价格分为满分。其他投标人的价格分统一按照下列公式计算：</w:t>
      </w:r>
    </w:p>
    <w:p w14:paraId="75F228E1">
      <w:pPr>
        <w:adjustRightInd w:val="0"/>
        <w:snapToGrid w:val="0"/>
        <w:spacing w:line="360" w:lineRule="auto"/>
        <w:ind w:firstLine="560" w:firstLineChars="200"/>
        <w:rPr>
          <w:rFonts w:ascii="宋体" w:hAnsi="宋体" w:cs="宋体"/>
          <w:color w:val="000000"/>
          <w:sz w:val="28"/>
          <w:szCs w:val="28"/>
        </w:rPr>
      </w:pPr>
      <w:r>
        <w:rPr>
          <w:rFonts w:hint="eastAsia" w:ascii="宋体" w:hAnsi="宋体" w:cs="宋体"/>
          <w:sz w:val="28"/>
          <w:szCs w:val="28"/>
        </w:rPr>
        <w:t>投标报价得分=（评标基准价/最后投标报价）×价格权值×100</w:t>
      </w:r>
      <w:r>
        <w:rPr>
          <w:rFonts w:hint="eastAsia" w:ascii="宋体" w:hAnsi="宋体" w:cs="宋体"/>
          <w:color w:val="000000"/>
          <w:sz w:val="28"/>
          <w:szCs w:val="28"/>
        </w:rPr>
        <w:t>。</w:t>
      </w:r>
    </w:p>
    <w:p w14:paraId="7DF1EF06">
      <w:pPr>
        <w:snapToGrid w:val="0"/>
        <w:spacing w:line="360" w:lineRule="auto"/>
        <w:ind w:firstLine="562" w:firstLineChars="200"/>
        <w:outlineLvl w:val="1"/>
        <w:rPr>
          <w:rFonts w:ascii="宋体" w:hAnsi="宋体" w:cs="宋体"/>
          <w:b/>
          <w:bCs/>
          <w:color w:val="000000"/>
          <w:sz w:val="28"/>
          <w:szCs w:val="28"/>
        </w:rPr>
      </w:pPr>
      <w:r>
        <w:rPr>
          <w:rFonts w:hint="eastAsia" w:ascii="宋体" w:hAnsi="宋体" w:cs="宋体"/>
          <w:b/>
          <w:bCs/>
          <w:color w:val="000000"/>
          <w:sz w:val="28"/>
          <w:szCs w:val="28"/>
        </w:rPr>
        <w:t>五、其他</w:t>
      </w:r>
    </w:p>
    <w:p w14:paraId="1EA39BA6">
      <w:pPr>
        <w:pStyle w:val="100"/>
        <w:ind w:firstLine="560" w:firstLineChars="200"/>
        <w:rPr>
          <w:rFonts w:cs="宋体"/>
          <w:b w:val="0"/>
          <w:bCs/>
          <w:sz w:val="28"/>
          <w:szCs w:val="28"/>
        </w:rPr>
      </w:pPr>
      <w:r>
        <w:rPr>
          <w:rFonts w:hint="eastAsia" w:cs="宋体"/>
          <w:b w:val="0"/>
          <w:bCs/>
          <w:sz w:val="28"/>
          <w:szCs w:val="28"/>
        </w:rPr>
        <w:t xml:space="preserve">本项目第一中标候选人原则上为中标人。当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       </w:t>
      </w:r>
    </w:p>
    <w:p w14:paraId="3DFB4939">
      <w:pPr>
        <w:pStyle w:val="100"/>
        <w:ind w:firstLine="560" w:firstLineChars="200"/>
        <w:rPr>
          <w:rFonts w:cs="宋体"/>
          <w:b w:val="0"/>
          <w:bCs/>
          <w:sz w:val="28"/>
          <w:szCs w:val="28"/>
        </w:rPr>
      </w:pPr>
      <w:r>
        <w:rPr>
          <w:rFonts w:hint="eastAsia" w:cs="宋体"/>
          <w:b w:val="0"/>
          <w:bCs/>
          <w:sz w:val="28"/>
          <w:szCs w:val="28"/>
        </w:rPr>
        <w:t>评标过程中出现本评标办法未尽事宜，由评标委员会根据有关法律法规讨论决定。</w:t>
      </w:r>
    </w:p>
    <w:p w14:paraId="06413D54">
      <w:pPr>
        <w:pStyle w:val="100"/>
        <w:ind w:firstLine="562" w:firstLineChars="200"/>
        <w:rPr>
          <w:rFonts w:cs="宋体"/>
          <w:sz w:val="28"/>
          <w:szCs w:val="28"/>
        </w:rPr>
      </w:pPr>
      <w:r>
        <w:rPr>
          <w:rFonts w:hint="eastAsia" w:cs="宋体"/>
          <w:sz w:val="28"/>
          <w:szCs w:val="28"/>
        </w:rPr>
        <w:t>六、公告中标结果</w:t>
      </w:r>
    </w:p>
    <w:p w14:paraId="31DA4127">
      <w:pPr>
        <w:pStyle w:val="100"/>
        <w:ind w:firstLine="560" w:firstLineChars="200"/>
        <w:rPr>
          <w:rFonts w:cs="宋体"/>
          <w:b w:val="0"/>
          <w:bCs/>
          <w:sz w:val="28"/>
          <w:szCs w:val="28"/>
        </w:rPr>
      </w:pPr>
      <w:r>
        <w:rPr>
          <w:rFonts w:hint="eastAsia" w:cs="宋体"/>
          <w:b w:val="0"/>
          <w:bCs/>
          <w:sz w:val="28"/>
          <w:szCs w:val="28"/>
        </w:rPr>
        <w:t>自确定中标供应商之日起2个工作日内，在南通市水利局网站公告中标结果，公告期限为1个工作日。</w:t>
      </w:r>
    </w:p>
    <w:p w14:paraId="16D370CE">
      <w:pPr>
        <w:pStyle w:val="100"/>
        <w:ind w:firstLine="562" w:firstLineChars="200"/>
        <w:rPr>
          <w:rFonts w:cs="宋体"/>
          <w:sz w:val="28"/>
          <w:szCs w:val="28"/>
        </w:rPr>
      </w:pPr>
      <w:r>
        <w:rPr>
          <w:rFonts w:hint="eastAsia" w:cs="宋体"/>
          <w:sz w:val="28"/>
          <w:szCs w:val="28"/>
        </w:rPr>
        <w:t>七、发放中标通知书</w:t>
      </w:r>
    </w:p>
    <w:p w14:paraId="604714A5">
      <w:pPr>
        <w:pStyle w:val="100"/>
        <w:ind w:firstLine="560" w:firstLineChars="200"/>
        <w:rPr>
          <w:rFonts w:cs="宋体"/>
          <w:b w:val="0"/>
          <w:bCs/>
          <w:sz w:val="28"/>
          <w:szCs w:val="28"/>
        </w:rPr>
      </w:pPr>
      <w:r>
        <w:rPr>
          <w:rFonts w:hint="eastAsia" w:cs="宋体"/>
          <w:b w:val="0"/>
          <w:bCs/>
          <w:sz w:val="28"/>
          <w:szCs w:val="28"/>
        </w:rPr>
        <w:t>公告中标结果的同时，采购代理机构向中标供应商发放中标通知书。中标通知书发出后，采购人不得违法改变中标结果，中标供应商无正当理由不得放弃成交。</w:t>
      </w:r>
    </w:p>
    <w:p w14:paraId="382AA38F">
      <w:pPr>
        <w:adjustRightInd w:val="0"/>
        <w:snapToGrid w:val="0"/>
        <w:spacing w:line="500" w:lineRule="exact"/>
        <w:jc w:val="center"/>
        <w:outlineLvl w:val="0"/>
        <w:rPr>
          <w:rFonts w:ascii="宋体" w:hAnsi="宋体" w:cs="宋体"/>
          <w:bCs/>
          <w:sz w:val="28"/>
          <w:szCs w:val="28"/>
        </w:rPr>
      </w:pPr>
      <w:r>
        <w:rPr>
          <w:rFonts w:hint="eastAsia" w:ascii="宋体" w:hAnsi="宋体" w:cs="宋体"/>
          <w:b/>
          <w:sz w:val="28"/>
          <w:szCs w:val="28"/>
        </w:rPr>
        <w:br w:type="page"/>
      </w:r>
      <w:r>
        <w:rPr>
          <w:rFonts w:hint="eastAsia" w:ascii="宋体" w:hAnsi="宋体" w:cs="宋体"/>
          <w:bCs/>
          <w:sz w:val="28"/>
          <w:szCs w:val="28"/>
        </w:rPr>
        <w:t>第五部分  响应文件组成</w:t>
      </w:r>
    </w:p>
    <w:p w14:paraId="7C8643E9">
      <w:pPr>
        <w:adjustRightInd w:val="0"/>
        <w:snapToGrid w:val="0"/>
        <w:spacing w:line="460" w:lineRule="exact"/>
        <w:ind w:firstLine="562" w:firstLineChars="200"/>
        <w:jc w:val="left"/>
        <w:rPr>
          <w:rFonts w:ascii="宋体" w:hAnsi="宋体" w:cs="宋体"/>
          <w:b/>
          <w:sz w:val="28"/>
          <w:szCs w:val="28"/>
        </w:rPr>
      </w:pPr>
      <w:r>
        <w:rPr>
          <w:rFonts w:hint="eastAsia" w:ascii="宋体" w:hAnsi="宋体" w:cs="宋体"/>
          <w:b/>
          <w:sz w:val="28"/>
          <w:szCs w:val="28"/>
        </w:rPr>
        <w:t>响应文件由资格审查证明材料、商务技术文件、价格文件、电子文件四部分组成。</w:t>
      </w:r>
    </w:p>
    <w:p w14:paraId="0EF7F2C4">
      <w:pPr>
        <w:adjustRightInd w:val="0"/>
        <w:snapToGrid w:val="0"/>
        <w:spacing w:line="460" w:lineRule="exact"/>
        <w:ind w:firstLine="562" w:firstLineChars="200"/>
        <w:rPr>
          <w:rFonts w:ascii="宋体" w:hAnsi="宋体" w:cs="宋体"/>
          <w:b/>
          <w:bCs/>
          <w:kern w:val="0"/>
          <w:sz w:val="28"/>
          <w:szCs w:val="28"/>
          <w:lang w:val="zh-CN"/>
        </w:rPr>
      </w:pPr>
      <w:r>
        <w:rPr>
          <w:rFonts w:hint="eastAsia" w:ascii="宋体" w:hAnsi="宋体" w:cs="宋体"/>
          <w:b/>
          <w:bCs/>
          <w:kern w:val="0"/>
          <w:sz w:val="28"/>
          <w:szCs w:val="28"/>
          <w:lang w:val="zh-CN"/>
        </w:rPr>
        <w:t>一、资格审查证明材料</w:t>
      </w:r>
    </w:p>
    <w:p w14:paraId="6C4013E7">
      <w:pPr>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lang w:val="zh-CN"/>
        </w:rPr>
        <w:t>1.</w:t>
      </w:r>
      <w:r>
        <w:rPr>
          <w:rFonts w:hint="eastAsia" w:ascii="宋体" w:hAnsi="宋体" w:cs="宋体"/>
          <w:kern w:val="0"/>
          <w:sz w:val="28"/>
          <w:szCs w:val="28"/>
        </w:rPr>
        <w:t>投标人符合《中华人民共和国政府采购法》第二十二条规定条件的承诺函</w:t>
      </w:r>
      <w:r>
        <w:rPr>
          <w:rFonts w:hint="eastAsia" w:ascii="宋体" w:hAnsi="宋体" w:cs="宋体"/>
          <w:kern w:val="0"/>
          <w:sz w:val="28"/>
          <w:szCs w:val="28"/>
          <w:lang w:val="zh-CN"/>
        </w:rPr>
        <w:t>（格式见附件1）；</w:t>
      </w:r>
    </w:p>
    <w:p w14:paraId="6E113678">
      <w:pPr>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lang w:val="zh-CN"/>
        </w:rPr>
        <w:t>2.法定代表人身份证明书（格式见附件2）；</w:t>
      </w:r>
    </w:p>
    <w:p w14:paraId="2810123C">
      <w:pPr>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lang w:val="zh-CN"/>
        </w:rPr>
        <w:t>3.法定代表人授权委托书原件，授权代表本人身份证复印件（格式见附件3）；</w:t>
      </w:r>
    </w:p>
    <w:p w14:paraId="5758BDBB">
      <w:pPr>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lang w:val="zh-CN"/>
        </w:rPr>
        <w:t>4.有效的营业执照复印件加盖公章；</w:t>
      </w:r>
    </w:p>
    <w:p w14:paraId="4C8DBD56">
      <w:pPr>
        <w:adjustRightInd w:val="0"/>
        <w:snapToGrid w:val="0"/>
        <w:spacing w:line="460" w:lineRule="exact"/>
        <w:ind w:firstLine="560" w:firstLineChars="200"/>
        <w:rPr>
          <w:rFonts w:ascii="宋体" w:hAnsi="宋体" w:cs="宋体"/>
          <w:sz w:val="28"/>
          <w:szCs w:val="28"/>
        </w:rPr>
      </w:pPr>
      <w:r>
        <w:rPr>
          <w:rFonts w:hint="eastAsia" w:ascii="宋体" w:hAnsi="宋体" w:cs="宋体"/>
          <w:kern w:val="0"/>
          <w:sz w:val="28"/>
          <w:szCs w:val="28"/>
        </w:rPr>
        <w:t>5.</w:t>
      </w:r>
      <w:r>
        <w:rPr>
          <w:rFonts w:hint="eastAsia" w:ascii="宋体" w:hAnsi="宋体" w:cs="宋体"/>
          <w:bCs/>
          <w:kern w:val="0"/>
          <w:sz w:val="28"/>
          <w:szCs w:val="28"/>
          <w:lang w:val="zh-CN"/>
        </w:rPr>
        <w:t>提</w:t>
      </w:r>
      <w:r>
        <w:rPr>
          <w:rFonts w:hint="eastAsia" w:ascii="宋体" w:hAnsi="宋体" w:cs="宋体"/>
          <w:kern w:val="0"/>
          <w:sz w:val="28"/>
          <w:szCs w:val="28"/>
          <w:lang w:val="zh-CN"/>
        </w:rPr>
        <w:t xml:space="preserve">供中小企业声明函（格式见附件 </w:t>
      </w:r>
      <w:r>
        <w:rPr>
          <w:rFonts w:hint="eastAsia" w:ascii="宋体" w:hAnsi="宋体" w:cs="宋体"/>
          <w:kern w:val="0"/>
          <w:sz w:val="28"/>
          <w:szCs w:val="28"/>
        </w:rPr>
        <w:t>6</w:t>
      </w:r>
      <w:r>
        <w:rPr>
          <w:rFonts w:hint="eastAsia" w:ascii="宋体" w:hAnsi="宋体" w:cs="宋体"/>
          <w:kern w:val="0"/>
          <w:sz w:val="28"/>
          <w:szCs w:val="28"/>
          <w:lang w:val="zh-CN"/>
        </w:rPr>
        <w:t>）或残疾人福利性单位声明函（格式见附件</w:t>
      </w:r>
      <w:r>
        <w:rPr>
          <w:rFonts w:hint="eastAsia" w:ascii="宋体" w:hAnsi="宋体" w:cs="宋体"/>
          <w:kern w:val="0"/>
          <w:sz w:val="28"/>
          <w:szCs w:val="28"/>
        </w:rPr>
        <w:t>7</w:t>
      </w:r>
      <w:r>
        <w:rPr>
          <w:rFonts w:hint="eastAsia" w:ascii="宋体" w:hAnsi="宋体" w:cs="宋体"/>
          <w:kern w:val="0"/>
          <w:sz w:val="28"/>
          <w:szCs w:val="28"/>
          <w:lang w:val="zh-CN"/>
        </w:rPr>
        <w:t>）或监狱和戒毒企业证明材料（格式见附件</w:t>
      </w:r>
      <w:r>
        <w:rPr>
          <w:rFonts w:hint="eastAsia" w:ascii="宋体" w:hAnsi="宋体" w:cs="宋体"/>
          <w:kern w:val="0"/>
          <w:sz w:val="28"/>
          <w:szCs w:val="28"/>
        </w:rPr>
        <w:t>8</w:t>
      </w:r>
      <w:r>
        <w:rPr>
          <w:rFonts w:hint="eastAsia" w:ascii="宋体" w:hAnsi="宋体" w:cs="宋体"/>
          <w:kern w:val="0"/>
          <w:sz w:val="28"/>
          <w:szCs w:val="28"/>
          <w:lang w:val="zh-CN"/>
        </w:rPr>
        <w:t>）</w:t>
      </w:r>
      <w:r>
        <w:rPr>
          <w:rFonts w:hint="eastAsia" w:ascii="宋体" w:hAnsi="宋体" w:cs="宋体"/>
          <w:sz w:val="28"/>
          <w:szCs w:val="28"/>
        </w:rPr>
        <w:t>；</w:t>
      </w:r>
    </w:p>
    <w:p w14:paraId="23F29CCD">
      <w:pPr>
        <w:adjustRightInd w:val="0"/>
        <w:snapToGrid w:val="0"/>
        <w:spacing w:line="460" w:lineRule="exact"/>
        <w:ind w:firstLine="562" w:firstLineChars="200"/>
        <w:rPr>
          <w:rFonts w:ascii="宋体" w:hAnsi="宋体" w:cs="宋体"/>
          <w:b/>
          <w:bCs/>
          <w:kern w:val="0"/>
          <w:sz w:val="28"/>
          <w:szCs w:val="28"/>
          <w:lang w:val="zh-CN"/>
        </w:rPr>
      </w:pPr>
      <w:r>
        <w:rPr>
          <w:rFonts w:hint="eastAsia" w:ascii="宋体" w:hAnsi="宋体" w:cs="宋体"/>
          <w:b/>
          <w:bCs/>
          <w:kern w:val="0"/>
          <w:sz w:val="28"/>
          <w:szCs w:val="28"/>
          <w:lang w:val="zh-CN"/>
        </w:rPr>
        <w:t>二、商务技术文件</w:t>
      </w:r>
    </w:p>
    <w:p w14:paraId="7D108E86">
      <w:pPr>
        <w:adjustRightInd w:val="0"/>
        <w:snapToGrid w:val="0"/>
        <w:spacing w:line="460" w:lineRule="exact"/>
        <w:ind w:firstLine="562" w:firstLineChars="200"/>
        <w:rPr>
          <w:rFonts w:hint="eastAsia" w:ascii="宋体" w:hAnsi="宋体" w:cs="宋体"/>
          <w:b/>
          <w:bCs w:val="0"/>
          <w:kern w:val="0"/>
          <w:sz w:val="28"/>
          <w:szCs w:val="28"/>
        </w:rPr>
      </w:pPr>
      <w:r>
        <w:rPr>
          <w:rFonts w:hint="eastAsia" w:ascii="宋体" w:hAnsi="宋体" w:cs="宋体"/>
          <w:b/>
          <w:bCs w:val="0"/>
          <w:kern w:val="0"/>
          <w:sz w:val="28"/>
          <w:szCs w:val="28"/>
        </w:rPr>
        <w:t>1.</w:t>
      </w:r>
      <w:r>
        <w:rPr>
          <w:rFonts w:hint="eastAsia" w:ascii="宋体" w:hAnsi="宋体" w:cs="宋体"/>
          <w:b/>
          <w:bCs w:val="0"/>
          <w:kern w:val="0"/>
          <w:sz w:val="28"/>
          <w:szCs w:val="28"/>
          <w:lang w:val="en-US" w:eastAsia="zh-CN"/>
        </w:rPr>
        <w:t>技术要求中</w:t>
      </w:r>
      <w:r>
        <w:rPr>
          <w:rFonts w:hint="eastAsia" w:ascii="宋体" w:hAnsi="宋体" w:eastAsia="宋体" w:cs="宋体"/>
          <w:b/>
          <w:bCs w:val="0"/>
          <w:kern w:val="2"/>
          <w:sz w:val="28"/>
          <w:szCs w:val="28"/>
        </w:rPr>
        <w:t>△技术参数需提供具备CMA资质认定的第三方检测机构出具的检测报告，否则作无效投标处理。</w:t>
      </w:r>
    </w:p>
    <w:p w14:paraId="1F96962D">
      <w:pPr>
        <w:adjustRightInd w:val="0"/>
        <w:snapToGrid w:val="0"/>
        <w:spacing w:line="460" w:lineRule="exact"/>
        <w:ind w:firstLine="560" w:firstLineChars="200"/>
        <w:rPr>
          <w:rFonts w:ascii="宋体" w:hAnsi="宋体" w:cs="宋体"/>
          <w:bCs/>
          <w:kern w:val="0"/>
          <w:sz w:val="28"/>
          <w:szCs w:val="28"/>
        </w:rPr>
      </w:pPr>
      <w:r>
        <w:rPr>
          <w:rFonts w:hint="eastAsia" w:ascii="宋体" w:hAnsi="宋体" w:cs="宋体"/>
          <w:bCs/>
          <w:kern w:val="0"/>
          <w:sz w:val="28"/>
          <w:szCs w:val="28"/>
          <w:lang w:val="en-US" w:eastAsia="zh-CN"/>
        </w:rPr>
        <w:t>2.</w:t>
      </w:r>
      <w:r>
        <w:rPr>
          <w:rFonts w:hint="eastAsia" w:ascii="宋体" w:hAnsi="宋体" w:cs="宋体"/>
          <w:bCs/>
          <w:kern w:val="0"/>
          <w:sz w:val="28"/>
          <w:szCs w:val="28"/>
        </w:rPr>
        <w:t>技术条款响应一览表</w:t>
      </w:r>
      <w:r>
        <w:rPr>
          <w:rFonts w:hint="eastAsia" w:ascii="宋体" w:hAnsi="宋体" w:cs="宋体"/>
          <w:kern w:val="0"/>
          <w:sz w:val="28"/>
          <w:szCs w:val="28"/>
          <w:lang w:val="zh-CN"/>
        </w:rPr>
        <w:t xml:space="preserve">（格式见附件 </w:t>
      </w:r>
      <w:r>
        <w:rPr>
          <w:rFonts w:hint="eastAsia" w:ascii="宋体" w:hAnsi="宋体" w:cs="宋体"/>
          <w:kern w:val="0"/>
          <w:sz w:val="28"/>
          <w:szCs w:val="28"/>
        </w:rPr>
        <w:t>4</w:t>
      </w:r>
      <w:r>
        <w:rPr>
          <w:rFonts w:hint="eastAsia" w:ascii="宋体" w:hAnsi="宋体" w:cs="宋体"/>
          <w:kern w:val="0"/>
          <w:sz w:val="28"/>
          <w:szCs w:val="28"/>
          <w:lang w:val="zh-CN"/>
        </w:rPr>
        <w:t>）；</w:t>
      </w:r>
    </w:p>
    <w:p w14:paraId="6A289BC6">
      <w:pPr>
        <w:adjustRightInd w:val="0"/>
        <w:snapToGrid w:val="0"/>
        <w:spacing w:line="460" w:lineRule="exact"/>
        <w:ind w:firstLine="560" w:firstLineChars="200"/>
        <w:rPr>
          <w:rFonts w:ascii="宋体" w:hAnsi="宋体" w:cs="宋体"/>
          <w:bCs/>
          <w:kern w:val="0"/>
          <w:sz w:val="28"/>
          <w:szCs w:val="28"/>
        </w:rPr>
      </w:pPr>
      <w:r>
        <w:rPr>
          <w:rFonts w:hint="eastAsia" w:ascii="宋体" w:hAnsi="宋体" w:cs="宋体"/>
          <w:bCs/>
          <w:kern w:val="0"/>
          <w:sz w:val="28"/>
          <w:szCs w:val="28"/>
          <w:lang w:val="en-US" w:eastAsia="zh-CN"/>
        </w:rPr>
        <w:t>3</w:t>
      </w:r>
      <w:r>
        <w:rPr>
          <w:rFonts w:hint="eastAsia" w:ascii="宋体" w:hAnsi="宋体" w:cs="宋体"/>
          <w:bCs/>
          <w:kern w:val="0"/>
          <w:sz w:val="28"/>
          <w:szCs w:val="28"/>
        </w:rPr>
        <w:t>.商务技术评分标准中需提供的相关得分佐证材料；</w:t>
      </w:r>
    </w:p>
    <w:p w14:paraId="149F1047">
      <w:pPr>
        <w:adjustRightInd w:val="0"/>
        <w:snapToGrid w:val="0"/>
        <w:spacing w:line="460" w:lineRule="exact"/>
        <w:ind w:firstLine="560" w:firstLineChars="200"/>
        <w:rPr>
          <w:rFonts w:ascii="宋体" w:hAnsi="宋体" w:cs="宋体"/>
          <w:bCs/>
          <w:kern w:val="0"/>
          <w:sz w:val="28"/>
          <w:szCs w:val="28"/>
        </w:rPr>
      </w:pPr>
      <w:r>
        <w:rPr>
          <w:rFonts w:hint="eastAsia" w:ascii="宋体" w:hAnsi="宋体" w:cs="宋体"/>
          <w:bCs/>
          <w:kern w:val="0"/>
          <w:sz w:val="28"/>
          <w:szCs w:val="28"/>
          <w:lang w:val="en-US" w:eastAsia="zh-CN"/>
        </w:rPr>
        <w:t>4</w:t>
      </w:r>
      <w:r>
        <w:rPr>
          <w:rFonts w:hint="eastAsia" w:ascii="宋体" w:hAnsi="宋体" w:cs="宋体"/>
          <w:bCs/>
          <w:kern w:val="0"/>
          <w:sz w:val="28"/>
          <w:szCs w:val="28"/>
        </w:rPr>
        <w:t>.供应商认为需要提交的其他商务技术材料。</w:t>
      </w:r>
    </w:p>
    <w:p w14:paraId="565FA411">
      <w:pPr>
        <w:adjustRightInd w:val="0"/>
        <w:snapToGrid w:val="0"/>
        <w:spacing w:line="460" w:lineRule="exact"/>
        <w:ind w:firstLine="562" w:firstLineChars="200"/>
        <w:rPr>
          <w:rFonts w:ascii="宋体" w:hAnsi="宋体" w:cs="宋体"/>
          <w:b/>
          <w:bCs/>
          <w:kern w:val="0"/>
          <w:sz w:val="28"/>
          <w:szCs w:val="28"/>
          <w:lang w:val="zh-CN"/>
        </w:rPr>
      </w:pPr>
      <w:r>
        <w:rPr>
          <w:rFonts w:hint="eastAsia" w:ascii="宋体" w:hAnsi="宋体" w:cs="宋体"/>
          <w:b/>
          <w:bCs/>
          <w:kern w:val="0"/>
          <w:sz w:val="28"/>
          <w:szCs w:val="28"/>
          <w:lang w:val="zh-CN"/>
        </w:rPr>
        <w:t>三、价格文件</w:t>
      </w:r>
    </w:p>
    <w:p w14:paraId="7EF10D56">
      <w:pPr>
        <w:adjustRightInd w:val="0"/>
        <w:snapToGrid w:val="0"/>
        <w:spacing w:line="460" w:lineRule="exact"/>
        <w:ind w:firstLine="560" w:firstLineChars="200"/>
        <w:rPr>
          <w:rFonts w:ascii="宋体" w:hAnsi="宋体" w:cs="宋体"/>
          <w:b/>
          <w:kern w:val="0"/>
          <w:sz w:val="28"/>
          <w:szCs w:val="28"/>
        </w:rPr>
      </w:pPr>
      <w:r>
        <w:rPr>
          <w:rFonts w:hint="eastAsia" w:ascii="宋体" w:hAnsi="宋体" w:cs="宋体"/>
          <w:kern w:val="0"/>
          <w:sz w:val="28"/>
          <w:szCs w:val="28"/>
          <w:lang w:val="zh-CN"/>
        </w:rPr>
        <w:t>1.</w:t>
      </w:r>
      <w:r>
        <w:rPr>
          <w:rFonts w:hint="eastAsia" w:ascii="宋体" w:hAnsi="宋体" w:cs="宋体"/>
          <w:kern w:val="0"/>
          <w:sz w:val="28"/>
          <w:szCs w:val="28"/>
        </w:rPr>
        <w:t>报价表</w:t>
      </w:r>
      <w:r>
        <w:rPr>
          <w:rFonts w:hint="eastAsia" w:ascii="宋体" w:hAnsi="宋体" w:cs="宋体"/>
          <w:kern w:val="0"/>
          <w:sz w:val="28"/>
          <w:szCs w:val="28"/>
          <w:lang w:val="zh-CN"/>
        </w:rPr>
        <w:t>（格式见附件</w:t>
      </w:r>
      <w:r>
        <w:rPr>
          <w:rFonts w:hint="eastAsia" w:ascii="宋体" w:hAnsi="宋体" w:cs="宋体"/>
          <w:kern w:val="0"/>
          <w:sz w:val="28"/>
          <w:szCs w:val="28"/>
        </w:rPr>
        <w:t>5</w:t>
      </w:r>
      <w:r>
        <w:rPr>
          <w:rFonts w:hint="eastAsia" w:ascii="宋体" w:hAnsi="宋体" w:cs="宋体"/>
          <w:kern w:val="0"/>
          <w:sz w:val="28"/>
          <w:szCs w:val="28"/>
          <w:lang w:val="zh-CN"/>
        </w:rPr>
        <w:t>）；</w:t>
      </w:r>
    </w:p>
    <w:p w14:paraId="6FCA4D35">
      <w:pPr>
        <w:snapToGrid w:val="0"/>
        <w:spacing w:line="400" w:lineRule="exact"/>
        <w:ind w:firstLine="540" w:firstLineChars="192"/>
        <w:contextualSpacing/>
        <w:rPr>
          <w:rFonts w:ascii="宋体" w:hAnsi="宋体" w:cs="宋体"/>
          <w:b/>
          <w:kern w:val="0"/>
          <w:sz w:val="28"/>
          <w:szCs w:val="28"/>
        </w:rPr>
      </w:pPr>
      <w:r>
        <w:rPr>
          <w:rFonts w:hint="eastAsia" w:ascii="宋体" w:hAnsi="宋体" w:cs="宋体"/>
          <w:b/>
          <w:kern w:val="0"/>
          <w:sz w:val="28"/>
          <w:szCs w:val="28"/>
        </w:rPr>
        <w:t>四、电子文件</w:t>
      </w:r>
    </w:p>
    <w:p w14:paraId="6EAEF1DF">
      <w:pPr>
        <w:snapToGrid w:val="0"/>
        <w:spacing w:line="400" w:lineRule="exact"/>
        <w:ind w:firstLine="540" w:firstLineChars="192"/>
        <w:contextualSpacing/>
        <w:rPr>
          <w:rFonts w:ascii="宋体" w:hAnsi="宋体" w:cs="宋体"/>
          <w:b/>
          <w:kern w:val="0"/>
          <w:sz w:val="28"/>
          <w:szCs w:val="28"/>
        </w:rPr>
      </w:pPr>
      <w:r>
        <w:rPr>
          <w:rFonts w:hint="eastAsia" w:ascii="宋体" w:hAnsi="宋体" w:cs="宋体"/>
          <w:b/>
          <w:sz w:val="28"/>
          <w:szCs w:val="28"/>
        </w:rPr>
        <w:t>资格审查证明材料、商务技术文件、价格文件的pdf电子文件一套，U盘提交。</w:t>
      </w:r>
      <w:r>
        <w:rPr>
          <w:rFonts w:hint="eastAsia" w:ascii="宋体" w:hAnsi="宋体" w:cs="宋体"/>
          <w:b/>
          <w:kern w:val="0"/>
          <w:sz w:val="28"/>
          <w:szCs w:val="28"/>
        </w:rPr>
        <w:br w:type="page"/>
      </w:r>
    </w:p>
    <w:p w14:paraId="33B0682E">
      <w:pPr>
        <w:snapToGrid w:val="0"/>
        <w:spacing w:line="400" w:lineRule="exact"/>
        <w:contextualSpacing/>
        <w:rPr>
          <w:rFonts w:ascii="宋体" w:hAnsi="宋体" w:cs="宋体"/>
          <w:kern w:val="0"/>
          <w:sz w:val="28"/>
          <w:szCs w:val="28"/>
          <w:lang w:val="zh-CN"/>
        </w:rPr>
      </w:pPr>
      <w:r>
        <w:rPr>
          <w:rFonts w:hint="eastAsia" w:ascii="宋体" w:hAnsi="宋体" w:cs="宋体"/>
          <w:kern w:val="0"/>
          <w:sz w:val="28"/>
          <w:szCs w:val="28"/>
          <w:lang w:val="zh-CN"/>
        </w:rPr>
        <w:t>附件1</w:t>
      </w:r>
    </w:p>
    <w:p w14:paraId="492CC132">
      <w:pPr>
        <w:rPr>
          <w:rFonts w:ascii="宋体" w:hAnsi="宋体" w:cs="宋体"/>
          <w:b/>
          <w:color w:val="000000"/>
          <w:sz w:val="28"/>
          <w:szCs w:val="28"/>
        </w:rPr>
      </w:pPr>
    </w:p>
    <w:p w14:paraId="655B10DB">
      <w:pPr>
        <w:jc w:val="center"/>
        <w:rPr>
          <w:rFonts w:ascii="宋体" w:hAnsi="宋体" w:cs="宋体"/>
          <w:b/>
          <w:color w:val="000000"/>
          <w:sz w:val="28"/>
          <w:szCs w:val="28"/>
        </w:rPr>
      </w:pPr>
      <w:r>
        <w:rPr>
          <w:rFonts w:hint="eastAsia" w:ascii="宋体" w:hAnsi="宋体" w:cs="宋体"/>
          <w:b/>
          <w:color w:val="000000"/>
          <w:sz w:val="28"/>
          <w:szCs w:val="28"/>
        </w:rPr>
        <w:t>投标人符合《中华人民共和国政府采购法》第二十二条规定条件的声明函</w:t>
      </w:r>
    </w:p>
    <w:p w14:paraId="0F7F5A53">
      <w:pPr>
        <w:spacing w:line="460" w:lineRule="exact"/>
        <w:rPr>
          <w:rFonts w:ascii="宋体" w:hAnsi="宋体" w:cs="宋体"/>
          <w:b/>
          <w:bCs/>
          <w:color w:val="000000"/>
          <w:sz w:val="28"/>
          <w:szCs w:val="28"/>
        </w:rPr>
      </w:pPr>
    </w:p>
    <w:p w14:paraId="32A3A8EA">
      <w:pPr>
        <w:spacing w:line="460" w:lineRule="exact"/>
        <w:ind w:firstLine="560" w:firstLineChars="200"/>
        <w:rPr>
          <w:rFonts w:ascii="宋体" w:hAnsi="宋体" w:cs="宋体"/>
          <w:b/>
          <w:bCs/>
          <w:color w:val="000000"/>
          <w:sz w:val="28"/>
          <w:szCs w:val="28"/>
        </w:rPr>
      </w:pPr>
      <w:r>
        <w:rPr>
          <w:rFonts w:hint="eastAsia" w:ascii="宋体" w:hAnsi="宋体" w:cs="宋体"/>
          <w:bCs/>
          <w:color w:val="000000"/>
          <w:sz w:val="28"/>
          <w:szCs w:val="28"/>
        </w:rPr>
        <w:t>我单位参加</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（项目名称），</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（项目编号）投标活动。针对《中华人民共和国政府采购法》第二十二条规定做出如下声明：</w:t>
      </w:r>
    </w:p>
    <w:p w14:paraId="613994DA">
      <w:pPr>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1.我单位具有独立承担民事责任的能力；</w:t>
      </w:r>
    </w:p>
    <w:p w14:paraId="72DB1FC9">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2.我单位具有良好的商业信誉和健全的财务会计制度；</w:t>
      </w:r>
    </w:p>
    <w:p w14:paraId="28DB11BE">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3.我单位具有履行合同所必需的设备和专业技术能力；</w:t>
      </w:r>
    </w:p>
    <w:p w14:paraId="41C5A577">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4.我单位有依法缴纳税收和社会保障资金的良好记录；</w:t>
      </w:r>
    </w:p>
    <w:p w14:paraId="20716E95">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3B3C3A0">
      <w:pPr>
        <w:spacing w:line="460" w:lineRule="exact"/>
        <w:ind w:firstLine="560" w:firstLineChars="200"/>
        <w:rPr>
          <w:rFonts w:ascii="宋体" w:hAnsi="宋体" w:cs="宋体"/>
          <w:color w:val="000000"/>
          <w:sz w:val="28"/>
          <w:szCs w:val="28"/>
        </w:rPr>
      </w:pPr>
      <w:r>
        <w:rPr>
          <w:rFonts w:hint="eastAsia" w:ascii="宋体" w:hAnsi="宋体" w:cs="宋体"/>
          <w:sz w:val="28"/>
          <w:szCs w:val="28"/>
        </w:rPr>
        <w:t>6.我单位未被“信用中国”网站（www.creditchina.gov.cn）列入失信被执行人、重大税收违法案件当事人名单，未被“中国政府采购网”（www.ccgp.gov.cn）政府采购不良行为记录名单。</w:t>
      </w:r>
    </w:p>
    <w:p w14:paraId="107DD5F6">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7.我单位满足法律、行政法规规定的其他条件。</w:t>
      </w:r>
    </w:p>
    <w:p w14:paraId="408A65A5">
      <w:pPr>
        <w:spacing w:line="460" w:lineRule="exact"/>
        <w:ind w:firstLine="560" w:firstLineChars="200"/>
        <w:rPr>
          <w:rFonts w:ascii="宋体" w:hAnsi="宋体" w:cs="宋体"/>
          <w:color w:val="000000"/>
          <w:sz w:val="28"/>
          <w:szCs w:val="28"/>
        </w:rPr>
      </w:pPr>
    </w:p>
    <w:p w14:paraId="07BD509F">
      <w:pPr>
        <w:spacing w:line="460" w:lineRule="exact"/>
        <w:ind w:firstLine="560" w:firstLineChars="200"/>
        <w:rPr>
          <w:rFonts w:ascii="宋体" w:hAnsi="宋体" w:cs="宋体"/>
          <w:bCs/>
          <w:color w:val="000000"/>
          <w:sz w:val="28"/>
          <w:szCs w:val="28"/>
        </w:rPr>
      </w:pPr>
    </w:p>
    <w:p w14:paraId="1CC07EBA">
      <w:pPr>
        <w:spacing w:line="460" w:lineRule="exact"/>
        <w:ind w:firstLine="560" w:firstLineChars="200"/>
        <w:rPr>
          <w:rFonts w:ascii="宋体" w:hAnsi="宋体" w:cs="宋体"/>
          <w:bCs/>
          <w:color w:val="000000"/>
          <w:sz w:val="28"/>
          <w:szCs w:val="28"/>
        </w:rPr>
      </w:pPr>
    </w:p>
    <w:p w14:paraId="13CDB6F6">
      <w:pPr>
        <w:spacing w:line="460" w:lineRule="exact"/>
        <w:ind w:firstLine="560" w:firstLineChars="200"/>
        <w:jc w:val="center"/>
        <w:rPr>
          <w:rFonts w:ascii="宋体" w:hAnsi="宋体" w:cs="宋体"/>
          <w:bCs/>
          <w:color w:val="000000"/>
          <w:sz w:val="28"/>
          <w:szCs w:val="28"/>
        </w:rPr>
      </w:pPr>
      <w:r>
        <w:rPr>
          <w:rFonts w:hint="eastAsia" w:ascii="宋体" w:hAnsi="宋体" w:cs="宋体"/>
          <w:bCs/>
          <w:color w:val="000000"/>
          <w:sz w:val="28"/>
          <w:szCs w:val="28"/>
        </w:rPr>
        <w:t xml:space="preserve">                                      承诺人名称（公章）：</w:t>
      </w:r>
    </w:p>
    <w:p w14:paraId="5E0B25ED">
      <w:pPr>
        <w:spacing w:line="460" w:lineRule="exact"/>
        <w:ind w:firstLine="560" w:firstLineChars="200"/>
        <w:jc w:val="right"/>
        <w:rPr>
          <w:rFonts w:ascii="宋体" w:hAnsi="宋体" w:cs="宋体"/>
          <w:bCs/>
          <w:color w:val="000000"/>
          <w:sz w:val="28"/>
          <w:szCs w:val="28"/>
        </w:rPr>
      </w:pPr>
    </w:p>
    <w:p w14:paraId="6970B866">
      <w:pPr>
        <w:spacing w:line="460" w:lineRule="exact"/>
        <w:ind w:firstLine="560" w:firstLineChars="200"/>
        <w:jc w:val="right"/>
        <w:rPr>
          <w:rFonts w:ascii="宋体" w:hAnsi="宋体" w:cs="宋体"/>
          <w:bCs/>
          <w:color w:val="000000"/>
          <w:sz w:val="28"/>
          <w:szCs w:val="28"/>
        </w:rPr>
      </w:pPr>
      <w:r>
        <w:rPr>
          <w:rFonts w:hint="eastAsia" w:ascii="宋体" w:hAnsi="宋体" w:cs="宋体"/>
          <w:bCs/>
          <w:color w:val="000000"/>
          <w:sz w:val="28"/>
          <w:szCs w:val="28"/>
        </w:rPr>
        <w:t xml:space="preserve">                                 日期：年月日</w:t>
      </w:r>
    </w:p>
    <w:p w14:paraId="5D3E12C5">
      <w:pPr>
        <w:snapToGrid w:val="0"/>
        <w:spacing w:line="400" w:lineRule="exact"/>
        <w:ind w:firstLine="540" w:firstLineChars="192"/>
        <w:contextualSpacing/>
        <w:rPr>
          <w:rFonts w:ascii="宋体" w:hAnsi="宋体" w:cs="宋体"/>
          <w:b/>
          <w:kern w:val="0"/>
          <w:sz w:val="28"/>
          <w:szCs w:val="28"/>
        </w:rPr>
      </w:pPr>
    </w:p>
    <w:p w14:paraId="166837E9">
      <w:pPr>
        <w:snapToGrid w:val="0"/>
        <w:spacing w:line="400" w:lineRule="exact"/>
        <w:ind w:firstLine="540" w:firstLineChars="192"/>
        <w:contextualSpacing/>
        <w:rPr>
          <w:rFonts w:ascii="宋体" w:hAnsi="宋体" w:cs="宋体"/>
          <w:b/>
          <w:kern w:val="0"/>
          <w:sz w:val="28"/>
          <w:szCs w:val="28"/>
          <w:lang w:val="zh-CN"/>
        </w:rPr>
      </w:pPr>
    </w:p>
    <w:p w14:paraId="5E7DC92A">
      <w:pPr>
        <w:snapToGrid w:val="0"/>
        <w:spacing w:line="400" w:lineRule="exact"/>
        <w:ind w:firstLine="540" w:firstLineChars="192"/>
        <w:contextualSpacing/>
        <w:rPr>
          <w:rFonts w:ascii="宋体" w:hAnsi="宋体" w:cs="宋体"/>
          <w:b/>
          <w:kern w:val="0"/>
          <w:sz w:val="28"/>
          <w:szCs w:val="28"/>
          <w:lang w:val="zh-CN"/>
        </w:rPr>
      </w:pPr>
    </w:p>
    <w:p w14:paraId="37FAD2B6">
      <w:pPr>
        <w:snapToGrid w:val="0"/>
        <w:spacing w:line="400" w:lineRule="exact"/>
        <w:contextualSpacing/>
        <w:rPr>
          <w:rFonts w:ascii="宋体" w:hAnsi="宋体" w:cs="宋体"/>
          <w:kern w:val="0"/>
          <w:sz w:val="28"/>
          <w:szCs w:val="28"/>
          <w:lang w:val="zh-CN"/>
        </w:rPr>
      </w:pPr>
    </w:p>
    <w:p w14:paraId="0F92D7F5">
      <w:pPr>
        <w:snapToGrid w:val="0"/>
        <w:spacing w:line="400" w:lineRule="exact"/>
        <w:contextualSpacing/>
        <w:rPr>
          <w:rFonts w:ascii="宋体" w:hAnsi="宋体" w:cs="宋体"/>
          <w:kern w:val="0"/>
          <w:sz w:val="28"/>
          <w:szCs w:val="28"/>
          <w:lang w:val="zh-CN"/>
        </w:rPr>
      </w:pPr>
      <w:r>
        <w:rPr>
          <w:rFonts w:hint="eastAsia" w:ascii="宋体" w:hAnsi="宋体" w:cs="宋体"/>
          <w:kern w:val="0"/>
          <w:sz w:val="28"/>
          <w:szCs w:val="28"/>
          <w:lang w:val="zh-CN"/>
        </w:rPr>
        <w:t>附件2</w:t>
      </w:r>
    </w:p>
    <w:p w14:paraId="0F689FE8">
      <w:pPr>
        <w:spacing w:line="560" w:lineRule="exact"/>
        <w:jc w:val="center"/>
        <w:rPr>
          <w:rFonts w:ascii="宋体" w:hAnsi="宋体" w:cs="宋体"/>
          <w:b/>
          <w:bCs/>
          <w:sz w:val="28"/>
          <w:szCs w:val="28"/>
        </w:rPr>
      </w:pPr>
    </w:p>
    <w:p w14:paraId="067EAA07">
      <w:pPr>
        <w:spacing w:line="560" w:lineRule="exact"/>
        <w:jc w:val="center"/>
        <w:rPr>
          <w:rFonts w:ascii="宋体" w:hAnsi="宋体" w:cs="宋体"/>
          <w:b/>
          <w:bCs/>
          <w:sz w:val="28"/>
          <w:szCs w:val="28"/>
        </w:rPr>
      </w:pPr>
      <w:r>
        <w:rPr>
          <w:rFonts w:hint="eastAsia" w:ascii="宋体" w:hAnsi="宋体" w:cs="宋体"/>
          <w:b/>
          <w:bCs/>
          <w:sz w:val="28"/>
          <w:szCs w:val="28"/>
        </w:rPr>
        <w:t>法定代表人身份证明</w:t>
      </w:r>
    </w:p>
    <w:p w14:paraId="244FAFA7">
      <w:pPr>
        <w:spacing w:line="480" w:lineRule="exact"/>
        <w:rPr>
          <w:rFonts w:ascii="宋体" w:hAnsi="宋体" w:cs="宋体"/>
          <w:sz w:val="28"/>
          <w:szCs w:val="28"/>
        </w:rPr>
      </w:pPr>
    </w:p>
    <w:p w14:paraId="7511201A">
      <w:pPr>
        <w:spacing w:line="480" w:lineRule="exact"/>
        <w:ind w:firstLine="560" w:firstLineChars="200"/>
        <w:rPr>
          <w:rFonts w:ascii="宋体" w:hAnsi="宋体" w:cs="宋体"/>
          <w:sz w:val="28"/>
          <w:szCs w:val="28"/>
        </w:rPr>
      </w:pPr>
      <w:r>
        <w:rPr>
          <w:rFonts w:hint="eastAsia" w:ascii="宋体" w:hAnsi="宋体" w:cs="宋体"/>
          <w:sz w:val="28"/>
          <w:szCs w:val="28"/>
        </w:rPr>
        <w:t>先生/女士： 现任我单位职务，为法定代表人，特此证明。</w:t>
      </w:r>
    </w:p>
    <w:p w14:paraId="1B158D5B">
      <w:pPr>
        <w:spacing w:line="480" w:lineRule="exact"/>
        <w:ind w:firstLine="480"/>
        <w:rPr>
          <w:rFonts w:ascii="宋体" w:hAnsi="宋体" w:cs="宋体"/>
          <w:sz w:val="28"/>
          <w:szCs w:val="28"/>
          <w:u w:val="single"/>
        </w:rPr>
      </w:pPr>
      <w:r>
        <w:rPr>
          <w:rFonts w:hint="eastAsia" w:ascii="宋体" w:hAnsi="宋体" w:cs="宋体"/>
          <w:sz w:val="28"/>
          <w:szCs w:val="28"/>
        </w:rPr>
        <w:t>身份证号码：</w:t>
      </w:r>
    </w:p>
    <w:p w14:paraId="14799255">
      <w:pPr>
        <w:spacing w:line="480" w:lineRule="exact"/>
        <w:ind w:firstLine="480"/>
        <w:rPr>
          <w:rFonts w:ascii="宋体" w:hAnsi="宋体" w:cs="宋体"/>
          <w:sz w:val="28"/>
          <w:szCs w:val="28"/>
        </w:rPr>
      </w:pPr>
    </w:p>
    <w:p w14:paraId="30065742">
      <w:pPr>
        <w:spacing w:line="600" w:lineRule="exact"/>
        <w:rPr>
          <w:rFonts w:ascii="宋体" w:hAnsi="宋体" w:cs="宋体"/>
          <w:b/>
          <w:sz w:val="28"/>
          <w:szCs w:val="28"/>
        </w:rPr>
      </w:pPr>
      <w:r>
        <w:rPr>
          <w:rFonts w:hint="eastAsia" w:ascii="宋体" w:hAnsi="宋体" w:cs="宋体"/>
          <w:b/>
          <w:sz w:val="28"/>
          <w:szCs w:val="28"/>
        </w:rPr>
        <w:t>注：提供法定代表人的身份证复印件盖公章</w:t>
      </w:r>
    </w:p>
    <w:p w14:paraId="688C1F5F">
      <w:pPr>
        <w:spacing w:line="480" w:lineRule="exact"/>
        <w:ind w:firstLine="560" w:firstLineChars="200"/>
        <w:rPr>
          <w:rFonts w:ascii="宋体" w:hAnsi="宋体" w:cs="宋体"/>
          <w:sz w:val="28"/>
          <w:szCs w:val="28"/>
        </w:rPr>
      </w:pPr>
    </w:p>
    <w:p w14:paraId="5CB2583F">
      <w:pPr>
        <w:rPr>
          <w:rFonts w:ascii="宋体" w:hAnsi="宋体" w:cs="宋体"/>
          <w:sz w:val="28"/>
          <w:szCs w:val="28"/>
        </w:rPr>
      </w:pPr>
    </w:p>
    <w:p w14:paraId="5E9E120C">
      <w:pPr>
        <w:snapToGrid w:val="0"/>
        <w:spacing w:line="400" w:lineRule="exact"/>
        <w:ind w:firstLine="540" w:firstLineChars="192"/>
        <w:contextualSpacing/>
        <w:rPr>
          <w:rFonts w:ascii="宋体" w:hAnsi="宋体" w:cs="宋体"/>
          <w:b/>
          <w:kern w:val="0"/>
          <w:sz w:val="28"/>
          <w:szCs w:val="28"/>
        </w:rPr>
      </w:pPr>
    </w:p>
    <w:p w14:paraId="046933FC">
      <w:pPr>
        <w:snapToGrid w:val="0"/>
        <w:spacing w:line="400" w:lineRule="exact"/>
        <w:ind w:firstLine="540" w:firstLineChars="192"/>
        <w:contextualSpacing/>
        <w:rPr>
          <w:rFonts w:ascii="宋体" w:hAnsi="宋体" w:cs="宋体"/>
          <w:b/>
          <w:kern w:val="0"/>
          <w:sz w:val="28"/>
          <w:szCs w:val="28"/>
          <w:lang w:val="zh-CN"/>
        </w:rPr>
      </w:pPr>
    </w:p>
    <w:p w14:paraId="6E311C09">
      <w:pPr>
        <w:snapToGrid w:val="0"/>
        <w:spacing w:line="400" w:lineRule="exact"/>
        <w:ind w:firstLine="540" w:firstLineChars="192"/>
        <w:contextualSpacing/>
        <w:rPr>
          <w:rFonts w:ascii="宋体" w:hAnsi="宋体" w:cs="宋体"/>
          <w:b/>
          <w:kern w:val="0"/>
          <w:sz w:val="28"/>
          <w:szCs w:val="28"/>
          <w:lang w:val="zh-CN"/>
        </w:rPr>
      </w:pPr>
    </w:p>
    <w:p w14:paraId="53CB67C6">
      <w:pPr>
        <w:snapToGrid w:val="0"/>
        <w:spacing w:line="400" w:lineRule="exact"/>
        <w:ind w:firstLine="540" w:firstLineChars="192"/>
        <w:contextualSpacing/>
        <w:rPr>
          <w:rFonts w:ascii="宋体" w:hAnsi="宋体" w:cs="宋体"/>
          <w:b/>
          <w:kern w:val="0"/>
          <w:sz w:val="28"/>
          <w:szCs w:val="28"/>
          <w:lang w:val="zh-CN"/>
        </w:rPr>
      </w:pPr>
    </w:p>
    <w:p w14:paraId="22AEBA8C">
      <w:pPr>
        <w:snapToGrid w:val="0"/>
        <w:spacing w:line="400" w:lineRule="exact"/>
        <w:ind w:firstLine="540" w:firstLineChars="192"/>
        <w:contextualSpacing/>
        <w:rPr>
          <w:rFonts w:ascii="宋体" w:hAnsi="宋体" w:cs="宋体"/>
          <w:b/>
          <w:kern w:val="0"/>
          <w:sz w:val="28"/>
          <w:szCs w:val="28"/>
          <w:lang w:val="zh-CN"/>
        </w:rPr>
      </w:pPr>
    </w:p>
    <w:p w14:paraId="00C3C245">
      <w:pPr>
        <w:snapToGrid w:val="0"/>
        <w:spacing w:line="400" w:lineRule="exact"/>
        <w:ind w:firstLine="540" w:firstLineChars="192"/>
        <w:contextualSpacing/>
        <w:rPr>
          <w:rFonts w:ascii="宋体" w:hAnsi="宋体" w:cs="宋体"/>
          <w:b/>
          <w:kern w:val="0"/>
          <w:sz w:val="28"/>
          <w:szCs w:val="28"/>
          <w:lang w:val="zh-CN"/>
        </w:rPr>
      </w:pPr>
    </w:p>
    <w:p w14:paraId="3BEEBD6F">
      <w:pPr>
        <w:snapToGrid w:val="0"/>
        <w:spacing w:line="400" w:lineRule="exact"/>
        <w:ind w:firstLine="540" w:firstLineChars="192"/>
        <w:contextualSpacing/>
        <w:rPr>
          <w:rFonts w:ascii="宋体" w:hAnsi="宋体" w:cs="宋体"/>
          <w:b/>
          <w:kern w:val="0"/>
          <w:sz w:val="28"/>
          <w:szCs w:val="28"/>
          <w:lang w:val="zh-CN"/>
        </w:rPr>
      </w:pPr>
    </w:p>
    <w:p w14:paraId="3691F536">
      <w:pPr>
        <w:snapToGrid w:val="0"/>
        <w:spacing w:line="400" w:lineRule="exact"/>
        <w:ind w:firstLine="540" w:firstLineChars="192"/>
        <w:contextualSpacing/>
        <w:rPr>
          <w:rFonts w:ascii="宋体" w:hAnsi="宋体" w:cs="宋体"/>
          <w:b/>
          <w:kern w:val="0"/>
          <w:sz w:val="28"/>
          <w:szCs w:val="28"/>
          <w:lang w:val="zh-CN"/>
        </w:rPr>
      </w:pPr>
    </w:p>
    <w:p w14:paraId="3A7CBEE5">
      <w:pPr>
        <w:snapToGrid w:val="0"/>
        <w:spacing w:line="400" w:lineRule="exact"/>
        <w:ind w:firstLine="540" w:firstLineChars="192"/>
        <w:contextualSpacing/>
        <w:rPr>
          <w:rFonts w:ascii="宋体" w:hAnsi="宋体" w:cs="宋体"/>
          <w:b/>
          <w:kern w:val="0"/>
          <w:sz w:val="28"/>
          <w:szCs w:val="28"/>
          <w:lang w:val="zh-CN"/>
        </w:rPr>
      </w:pPr>
    </w:p>
    <w:p w14:paraId="5DE11F65">
      <w:pPr>
        <w:snapToGrid w:val="0"/>
        <w:spacing w:line="400" w:lineRule="exact"/>
        <w:ind w:firstLine="540" w:firstLineChars="192"/>
        <w:contextualSpacing/>
        <w:rPr>
          <w:rFonts w:ascii="宋体" w:hAnsi="宋体" w:cs="宋体"/>
          <w:b/>
          <w:kern w:val="0"/>
          <w:sz w:val="28"/>
          <w:szCs w:val="28"/>
          <w:lang w:val="zh-CN"/>
        </w:rPr>
      </w:pPr>
    </w:p>
    <w:p w14:paraId="412065A7">
      <w:pPr>
        <w:snapToGrid w:val="0"/>
        <w:spacing w:line="400" w:lineRule="exact"/>
        <w:ind w:firstLine="540" w:firstLineChars="192"/>
        <w:contextualSpacing/>
        <w:rPr>
          <w:rFonts w:ascii="宋体" w:hAnsi="宋体" w:cs="宋体"/>
          <w:b/>
          <w:kern w:val="0"/>
          <w:sz w:val="28"/>
          <w:szCs w:val="28"/>
          <w:lang w:val="zh-CN"/>
        </w:rPr>
      </w:pPr>
    </w:p>
    <w:p w14:paraId="1439AFE2">
      <w:pPr>
        <w:snapToGrid w:val="0"/>
        <w:spacing w:line="400" w:lineRule="exact"/>
        <w:ind w:firstLine="540" w:firstLineChars="192"/>
        <w:contextualSpacing/>
        <w:rPr>
          <w:rFonts w:ascii="宋体" w:hAnsi="宋体" w:cs="宋体"/>
          <w:b/>
          <w:kern w:val="0"/>
          <w:sz w:val="28"/>
          <w:szCs w:val="28"/>
          <w:lang w:val="zh-CN"/>
        </w:rPr>
      </w:pPr>
    </w:p>
    <w:p w14:paraId="3F1E8267">
      <w:pPr>
        <w:snapToGrid w:val="0"/>
        <w:spacing w:line="400" w:lineRule="exact"/>
        <w:ind w:firstLine="540" w:firstLineChars="192"/>
        <w:contextualSpacing/>
        <w:rPr>
          <w:rFonts w:ascii="宋体" w:hAnsi="宋体" w:cs="宋体"/>
          <w:b/>
          <w:kern w:val="0"/>
          <w:sz w:val="28"/>
          <w:szCs w:val="28"/>
          <w:lang w:val="zh-CN"/>
        </w:rPr>
      </w:pPr>
    </w:p>
    <w:p w14:paraId="5D0D5676">
      <w:pPr>
        <w:snapToGrid w:val="0"/>
        <w:spacing w:line="400" w:lineRule="exact"/>
        <w:ind w:firstLine="540" w:firstLineChars="192"/>
        <w:contextualSpacing/>
        <w:rPr>
          <w:rFonts w:ascii="宋体" w:hAnsi="宋体" w:cs="宋体"/>
          <w:b/>
          <w:kern w:val="0"/>
          <w:sz w:val="28"/>
          <w:szCs w:val="28"/>
          <w:lang w:val="zh-CN"/>
        </w:rPr>
      </w:pPr>
    </w:p>
    <w:p w14:paraId="5757CE77">
      <w:pPr>
        <w:snapToGrid w:val="0"/>
        <w:spacing w:line="400" w:lineRule="exact"/>
        <w:ind w:firstLine="540" w:firstLineChars="192"/>
        <w:contextualSpacing/>
        <w:rPr>
          <w:rFonts w:ascii="宋体" w:hAnsi="宋体" w:cs="宋体"/>
          <w:b/>
          <w:kern w:val="0"/>
          <w:sz w:val="28"/>
          <w:szCs w:val="28"/>
          <w:lang w:val="zh-CN"/>
        </w:rPr>
      </w:pPr>
    </w:p>
    <w:p w14:paraId="3ACFBCC5">
      <w:pPr>
        <w:snapToGrid w:val="0"/>
        <w:spacing w:line="400" w:lineRule="exact"/>
        <w:ind w:firstLine="540" w:firstLineChars="192"/>
        <w:contextualSpacing/>
        <w:rPr>
          <w:rFonts w:ascii="宋体" w:hAnsi="宋体" w:cs="宋体"/>
          <w:b/>
          <w:kern w:val="0"/>
          <w:sz w:val="28"/>
          <w:szCs w:val="28"/>
          <w:lang w:val="zh-CN"/>
        </w:rPr>
      </w:pPr>
    </w:p>
    <w:p w14:paraId="0540451B">
      <w:pPr>
        <w:pStyle w:val="89"/>
        <w:ind w:firstLine="560"/>
        <w:rPr>
          <w:rFonts w:ascii="宋体" w:hAnsi="宋体" w:cs="宋体"/>
          <w:sz w:val="28"/>
          <w:szCs w:val="28"/>
          <w:lang w:val="zh-CN"/>
        </w:rPr>
      </w:pPr>
    </w:p>
    <w:p w14:paraId="43AF6806">
      <w:pPr>
        <w:snapToGrid w:val="0"/>
        <w:spacing w:line="400" w:lineRule="exact"/>
        <w:ind w:firstLine="540" w:firstLineChars="192"/>
        <w:contextualSpacing/>
        <w:rPr>
          <w:rFonts w:ascii="宋体" w:hAnsi="宋体" w:cs="宋体"/>
          <w:b/>
          <w:kern w:val="0"/>
          <w:sz w:val="28"/>
          <w:szCs w:val="28"/>
          <w:lang w:val="zh-CN"/>
        </w:rPr>
      </w:pPr>
    </w:p>
    <w:p w14:paraId="5FBD0E13">
      <w:pPr>
        <w:snapToGrid w:val="0"/>
        <w:spacing w:line="400" w:lineRule="exact"/>
        <w:ind w:firstLine="540" w:firstLineChars="192"/>
        <w:contextualSpacing/>
        <w:rPr>
          <w:rFonts w:ascii="宋体" w:hAnsi="宋体" w:cs="宋体"/>
          <w:b/>
          <w:kern w:val="0"/>
          <w:sz w:val="28"/>
          <w:szCs w:val="28"/>
          <w:lang w:val="zh-CN"/>
        </w:rPr>
      </w:pPr>
    </w:p>
    <w:p w14:paraId="557E9B4E">
      <w:pPr>
        <w:snapToGrid w:val="0"/>
        <w:spacing w:line="400" w:lineRule="exact"/>
        <w:ind w:firstLine="540" w:firstLineChars="192"/>
        <w:contextualSpacing/>
        <w:rPr>
          <w:rFonts w:ascii="宋体" w:hAnsi="宋体" w:cs="宋体"/>
          <w:b/>
          <w:kern w:val="0"/>
          <w:sz w:val="28"/>
          <w:szCs w:val="28"/>
          <w:lang w:val="zh-CN"/>
        </w:rPr>
      </w:pPr>
    </w:p>
    <w:p w14:paraId="2E329960">
      <w:pPr>
        <w:rPr>
          <w:rFonts w:ascii="宋体" w:hAnsi="宋体" w:cs="宋体"/>
          <w:kern w:val="0"/>
          <w:sz w:val="28"/>
          <w:szCs w:val="28"/>
          <w:lang w:val="zh-CN"/>
        </w:rPr>
      </w:pPr>
      <w:r>
        <w:rPr>
          <w:rFonts w:hint="eastAsia" w:ascii="宋体" w:hAnsi="宋体" w:cs="宋体"/>
          <w:kern w:val="0"/>
          <w:sz w:val="28"/>
          <w:szCs w:val="28"/>
          <w:lang w:val="zh-CN"/>
        </w:rPr>
        <w:br w:type="page"/>
      </w:r>
    </w:p>
    <w:p w14:paraId="01CF0322">
      <w:pPr>
        <w:snapToGrid w:val="0"/>
        <w:spacing w:line="400" w:lineRule="exact"/>
        <w:contextualSpacing/>
        <w:rPr>
          <w:rFonts w:ascii="宋体" w:hAnsi="宋体" w:cs="宋体"/>
          <w:kern w:val="0"/>
          <w:sz w:val="28"/>
          <w:szCs w:val="28"/>
          <w:lang w:val="zh-CN"/>
        </w:rPr>
      </w:pPr>
      <w:r>
        <w:rPr>
          <w:rFonts w:hint="eastAsia" w:ascii="宋体" w:hAnsi="宋体" w:cs="宋体"/>
          <w:kern w:val="0"/>
          <w:sz w:val="28"/>
          <w:szCs w:val="28"/>
          <w:lang w:val="zh-CN"/>
        </w:rPr>
        <w:t>附件3</w:t>
      </w:r>
    </w:p>
    <w:p w14:paraId="1627E965">
      <w:pPr>
        <w:jc w:val="center"/>
        <w:rPr>
          <w:rFonts w:ascii="宋体" w:hAnsi="宋体" w:cs="宋体"/>
          <w:sz w:val="28"/>
          <w:szCs w:val="28"/>
        </w:rPr>
      </w:pPr>
    </w:p>
    <w:p w14:paraId="48EF20B2">
      <w:pPr>
        <w:spacing w:line="460" w:lineRule="exact"/>
        <w:ind w:firstLine="560" w:firstLineChars="200"/>
        <w:jc w:val="center"/>
        <w:rPr>
          <w:rFonts w:ascii="宋体" w:hAnsi="宋体" w:cs="宋体"/>
          <w:sz w:val="28"/>
          <w:szCs w:val="28"/>
        </w:rPr>
      </w:pPr>
      <w:r>
        <w:rPr>
          <w:rFonts w:hint="eastAsia" w:ascii="宋体" w:hAnsi="宋体" w:cs="宋体"/>
          <w:sz w:val="28"/>
          <w:szCs w:val="28"/>
        </w:rPr>
        <w:t>法定代表人授权委托书</w:t>
      </w:r>
    </w:p>
    <w:p w14:paraId="49E59B9F">
      <w:pPr>
        <w:spacing w:line="460" w:lineRule="exact"/>
        <w:ind w:firstLine="560" w:firstLineChars="200"/>
        <w:rPr>
          <w:rFonts w:ascii="宋体" w:hAnsi="宋体" w:cs="宋体"/>
          <w:sz w:val="28"/>
          <w:szCs w:val="28"/>
        </w:rPr>
      </w:pPr>
    </w:p>
    <w:p w14:paraId="10A516D3">
      <w:pPr>
        <w:spacing w:line="460" w:lineRule="exact"/>
        <w:ind w:firstLine="560" w:firstLineChars="200"/>
        <w:rPr>
          <w:rFonts w:ascii="宋体" w:hAnsi="宋体" w:cs="宋体"/>
          <w:sz w:val="28"/>
          <w:szCs w:val="28"/>
        </w:rPr>
      </w:pPr>
      <w:r>
        <w:rPr>
          <w:rFonts w:hint="eastAsia" w:ascii="宋体" w:hAnsi="宋体" w:cs="宋体"/>
          <w:sz w:val="28"/>
          <w:szCs w:val="28"/>
        </w:rPr>
        <w:t>本人------（姓名）系————（授权单位名称）的法定代表人，现委托-------（姓名）（身份证号——————）为我方代理人，以我方名义全权处理与本次采购项目（编号：----------）有关的一切事务，其法律后果由我方承担。</w:t>
      </w:r>
    </w:p>
    <w:p w14:paraId="2F41E262">
      <w:pPr>
        <w:spacing w:line="460" w:lineRule="exact"/>
        <w:ind w:firstLine="560" w:firstLineChars="200"/>
        <w:rPr>
          <w:rFonts w:ascii="宋体" w:hAnsi="宋体" w:cs="宋体"/>
          <w:sz w:val="28"/>
          <w:szCs w:val="28"/>
        </w:rPr>
      </w:pPr>
      <w:r>
        <w:rPr>
          <w:rFonts w:hint="eastAsia" w:ascii="宋体" w:hAnsi="宋体" w:cs="宋体"/>
          <w:sz w:val="28"/>
          <w:szCs w:val="28"/>
        </w:rPr>
        <w:t>本授权书于---年---月---日起生效。代理人无转委托权。</w:t>
      </w:r>
    </w:p>
    <w:p w14:paraId="7A3DF333">
      <w:pPr>
        <w:spacing w:line="460" w:lineRule="exact"/>
        <w:ind w:firstLine="560" w:firstLineChars="200"/>
        <w:rPr>
          <w:rFonts w:ascii="宋体" w:hAnsi="宋体" w:cs="宋体"/>
          <w:sz w:val="28"/>
          <w:szCs w:val="28"/>
        </w:rPr>
      </w:pPr>
      <w:r>
        <w:rPr>
          <w:rFonts w:hint="eastAsia" w:ascii="宋体" w:hAnsi="宋体" w:cs="宋体"/>
          <w:sz w:val="28"/>
          <w:szCs w:val="28"/>
        </w:rPr>
        <w:t>代理人（被授权人）:------</w:t>
      </w:r>
    </w:p>
    <w:p w14:paraId="389A76E1">
      <w:pPr>
        <w:spacing w:line="460" w:lineRule="exact"/>
        <w:ind w:firstLine="560" w:firstLineChars="200"/>
        <w:rPr>
          <w:rFonts w:ascii="宋体" w:hAnsi="宋体" w:cs="宋体"/>
          <w:sz w:val="28"/>
          <w:szCs w:val="28"/>
        </w:rPr>
      </w:pPr>
      <w:r>
        <w:rPr>
          <w:rFonts w:hint="eastAsia" w:ascii="宋体" w:hAnsi="宋体" w:cs="宋体"/>
          <w:sz w:val="28"/>
          <w:szCs w:val="28"/>
        </w:rPr>
        <w:t>授权单位名称（盖章）：-----</w:t>
      </w:r>
    </w:p>
    <w:p w14:paraId="15A3027D">
      <w:pPr>
        <w:spacing w:line="460" w:lineRule="exact"/>
        <w:ind w:firstLine="560" w:firstLineChars="200"/>
        <w:rPr>
          <w:rFonts w:ascii="宋体" w:hAnsi="宋体" w:cs="宋体"/>
          <w:sz w:val="28"/>
          <w:szCs w:val="28"/>
        </w:rPr>
      </w:pPr>
      <w:r>
        <w:rPr>
          <w:rFonts w:hint="eastAsia" w:ascii="宋体" w:hAnsi="宋体" w:cs="宋体"/>
          <w:sz w:val="28"/>
          <w:szCs w:val="28"/>
        </w:rPr>
        <w:t>授权单位法定代表人（签字或盖章）：-----</w:t>
      </w:r>
    </w:p>
    <w:p w14:paraId="6EA7847C">
      <w:pPr>
        <w:spacing w:line="460" w:lineRule="exact"/>
        <w:ind w:firstLine="560" w:firstLineChars="200"/>
        <w:jc w:val="right"/>
        <w:rPr>
          <w:rFonts w:ascii="宋体" w:hAnsi="宋体" w:cs="宋体"/>
          <w:sz w:val="28"/>
          <w:szCs w:val="28"/>
        </w:rPr>
      </w:pPr>
    </w:p>
    <w:p w14:paraId="66A1A2AB">
      <w:pPr>
        <w:spacing w:line="460" w:lineRule="exact"/>
        <w:ind w:firstLine="560" w:firstLineChars="200"/>
        <w:jc w:val="right"/>
        <w:rPr>
          <w:rFonts w:ascii="宋体" w:hAnsi="宋体" w:cs="宋体"/>
          <w:sz w:val="28"/>
          <w:szCs w:val="28"/>
        </w:rPr>
      </w:pPr>
      <w:r>
        <w:rPr>
          <w:rFonts w:hint="eastAsia" w:ascii="宋体" w:hAnsi="宋体" w:cs="宋体"/>
          <w:sz w:val="28"/>
          <w:szCs w:val="28"/>
        </w:rPr>
        <w:t>XXXX年XX月XX日</w:t>
      </w:r>
    </w:p>
    <w:p w14:paraId="1CD12781">
      <w:pPr>
        <w:snapToGrid w:val="0"/>
        <w:spacing w:line="460" w:lineRule="exact"/>
        <w:ind w:firstLine="562" w:firstLineChars="200"/>
        <w:contextualSpacing/>
        <w:rPr>
          <w:rFonts w:ascii="宋体" w:hAnsi="宋体" w:cs="宋体"/>
          <w:b/>
          <w:kern w:val="0"/>
          <w:sz w:val="28"/>
          <w:szCs w:val="28"/>
        </w:rPr>
      </w:pPr>
    </w:p>
    <w:p w14:paraId="319F068B">
      <w:pPr>
        <w:snapToGrid w:val="0"/>
        <w:spacing w:line="460" w:lineRule="exact"/>
        <w:ind w:firstLine="562" w:firstLineChars="200"/>
        <w:contextualSpacing/>
        <w:rPr>
          <w:rFonts w:ascii="宋体" w:hAnsi="宋体" w:cs="宋体"/>
          <w:b/>
          <w:kern w:val="0"/>
          <w:sz w:val="28"/>
          <w:szCs w:val="28"/>
        </w:rPr>
      </w:pPr>
      <w:r>
        <w:rPr>
          <w:rFonts w:hint="eastAsia" w:ascii="宋体" w:hAnsi="宋体" w:cs="宋体"/>
          <w:b/>
          <w:kern w:val="0"/>
          <w:sz w:val="28"/>
          <w:szCs w:val="28"/>
        </w:rPr>
        <w:t>注：提供投标代表本人身份证复印件盖公章</w:t>
      </w:r>
    </w:p>
    <w:p w14:paraId="46148F1F">
      <w:pPr>
        <w:snapToGrid w:val="0"/>
        <w:spacing w:line="460" w:lineRule="exact"/>
        <w:ind w:firstLine="562" w:firstLineChars="200"/>
        <w:contextualSpacing/>
        <w:rPr>
          <w:rFonts w:ascii="宋体" w:hAnsi="宋体" w:cs="宋体"/>
          <w:b/>
          <w:kern w:val="0"/>
          <w:sz w:val="28"/>
          <w:szCs w:val="28"/>
        </w:rPr>
      </w:pPr>
    </w:p>
    <w:p w14:paraId="50F565EC">
      <w:pPr>
        <w:snapToGrid w:val="0"/>
        <w:spacing w:line="400" w:lineRule="exact"/>
        <w:ind w:firstLine="540" w:firstLineChars="192"/>
        <w:contextualSpacing/>
        <w:rPr>
          <w:rFonts w:ascii="宋体" w:hAnsi="宋体" w:cs="宋体"/>
          <w:b/>
          <w:kern w:val="0"/>
          <w:sz w:val="28"/>
          <w:szCs w:val="28"/>
        </w:rPr>
      </w:pPr>
    </w:p>
    <w:p w14:paraId="3B0F6015">
      <w:pPr>
        <w:snapToGrid w:val="0"/>
        <w:spacing w:line="400" w:lineRule="exact"/>
        <w:ind w:firstLine="540" w:firstLineChars="192"/>
        <w:contextualSpacing/>
        <w:rPr>
          <w:rFonts w:ascii="宋体" w:hAnsi="宋体" w:cs="宋体"/>
          <w:b/>
          <w:kern w:val="0"/>
          <w:sz w:val="28"/>
          <w:szCs w:val="28"/>
        </w:rPr>
      </w:pPr>
    </w:p>
    <w:p w14:paraId="46375EFE">
      <w:pPr>
        <w:snapToGrid w:val="0"/>
        <w:spacing w:line="400" w:lineRule="exact"/>
        <w:contextualSpacing/>
        <w:rPr>
          <w:rFonts w:ascii="宋体" w:hAnsi="宋体" w:cs="宋体"/>
          <w:kern w:val="0"/>
          <w:sz w:val="28"/>
          <w:szCs w:val="28"/>
        </w:rPr>
        <w:sectPr>
          <w:pgSz w:w="11907" w:h="16839"/>
          <w:pgMar w:top="1440" w:right="1800" w:bottom="1440" w:left="1800" w:header="720" w:footer="720" w:gutter="0"/>
          <w:cols w:space="720" w:num="1"/>
          <w:docGrid w:linePitch="286" w:charSpace="0"/>
        </w:sectPr>
      </w:pPr>
    </w:p>
    <w:p w14:paraId="4F62A26D">
      <w:pPr>
        <w:rPr>
          <w:rFonts w:ascii="宋体" w:hAnsi="宋体" w:cs="宋体"/>
          <w:kern w:val="0"/>
          <w:sz w:val="28"/>
          <w:szCs w:val="28"/>
        </w:rPr>
      </w:pPr>
      <w:r>
        <w:rPr>
          <w:rFonts w:hint="eastAsia" w:ascii="宋体" w:hAnsi="宋体" w:cs="宋体"/>
          <w:kern w:val="0"/>
          <w:sz w:val="28"/>
          <w:szCs w:val="28"/>
        </w:rPr>
        <w:t>附件4</w:t>
      </w:r>
    </w:p>
    <w:p w14:paraId="7E168048">
      <w:pPr>
        <w:jc w:val="center"/>
        <w:rPr>
          <w:rFonts w:ascii="宋体" w:hAnsi="宋体" w:cs="宋体"/>
          <w:color w:val="333333"/>
          <w:kern w:val="0"/>
          <w:sz w:val="28"/>
          <w:szCs w:val="28"/>
        </w:rPr>
      </w:pPr>
      <w:r>
        <w:rPr>
          <w:rFonts w:hint="eastAsia" w:ascii="宋体" w:hAnsi="宋体" w:cs="宋体"/>
          <w:color w:val="333333"/>
          <w:kern w:val="0"/>
          <w:sz w:val="28"/>
          <w:szCs w:val="28"/>
        </w:rPr>
        <w:t>技术条款响应一览表</w:t>
      </w:r>
    </w:p>
    <w:p w14:paraId="281C2F70">
      <w:pPr>
        <w:spacing w:line="520" w:lineRule="exact"/>
        <w:ind w:firstLine="565" w:firstLineChars="202"/>
        <w:rPr>
          <w:rFonts w:ascii="宋体" w:hAnsi="宋体" w:cs="宋体"/>
          <w:sz w:val="28"/>
          <w:szCs w:val="28"/>
        </w:rPr>
      </w:pPr>
      <w:r>
        <w:rPr>
          <w:rFonts w:hint="eastAsia" w:ascii="宋体" w:hAnsi="宋体" w:cs="宋体"/>
          <w:sz w:val="28"/>
          <w:szCs w:val="28"/>
        </w:rPr>
        <w:t>供应商应响应招标文件中针对招标货物提出的技术规格与要求；如其所投产品与其中某些条款不完全响应时，应在表格中逐条列出。</w:t>
      </w:r>
    </w:p>
    <w:tbl>
      <w:tblPr>
        <w:tblStyle w:val="25"/>
        <w:tblW w:w="11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100"/>
        <w:gridCol w:w="2568"/>
        <w:gridCol w:w="2244"/>
        <w:gridCol w:w="2337"/>
        <w:gridCol w:w="1491"/>
      </w:tblGrid>
      <w:tr w14:paraId="15970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exact"/>
          <w:jc w:val="center"/>
        </w:trPr>
        <w:tc>
          <w:tcPr>
            <w:tcW w:w="643" w:type="dxa"/>
            <w:tcBorders>
              <w:top w:val="single" w:color="auto" w:sz="12" w:space="0"/>
            </w:tcBorders>
            <w:vAlign w:val="center"/>
          </w:tcPr>
          <w:p w14:paraId="00688307">
            <w:pPr>
              <w:jc w:val="center"/>
              <w:rPr>
                <w:rFonts w:ascii="宋体" w:hAnsi="宋体" w:cs="宋体"/>
                <w:sz w:val="28"/>
                <w:szCs w:val="28"/>
              </w:rPr>
            </w:pPr>
            <w:r>
              <w:rPr>
                <w:rFonts w:hint="eastAsia" w:ascii="宋体" w:hAnsi="宋体" w:cs="宋体"/>
                <w:b/>
                <w:bCs/>
                <w:sz w:val="28"/>
                <w:szCs w:val="28"/>
              </w:rPr>
              <w:t>序号</w:t>
            </w:r>
          </w:p>
        </w:tc>
        <w:tc>
          <w:tcPr>
            <w:tcW w:w="2100" w:type="dxa"/>
            <w:tcBorders>
              <w:top w:val="single" w:color="auto" w:sz="12" w:space="0"/>
            </w:tcBorders>
            <w:vAlign w:val="center"/>
          </w:tcPr>
          <w:p w14:paraId="2FF660D0">
            <w:pPr>
              <w:jc w:val="center"/>
              <w:rPr>
                <w:rFonts w:ascii="宋体" w:hAnsi="宋体" w:cs="宋体"/>
                <w:sz w:val="28"/>
                <w:szCs w:val="28"/>
              </w:rPr>
            </w:pPr>
            <w:r>
              <w:rPr>
                <w:rFonts w:hint="eastAsia" w:ascii="宋体" w:hAnsi="宋体" w:cs="宋体"/>
                <w:b/>
                <w:bCs/>
                <w:sz w:val="28"/>
                <w:szCs w:val="28"/>
              </w:rPr>
              <w:t>货物名称</w:t>
            </w:r>
          </w:p>
        </w:tc>
        <w:tc>
          <w:tcPr>
            <w:tcW w:w="2568" w:type="dxa"/>
            <w:tcBorders>
              <w:top w:val="single" w:color="auto" w:sz="12" w:space="0"/>
            </w:tcBorders>
            <w:vAlign w:val="center"/>
          </w:tcPr>
          <w:p w14:paraId="115197F7">
            <w:pPr>
              <w:jc w:val="center"/>
              <w:rPr>
                <w:rFonts w:ascii="宋体" w:hAnsi="宋体" w:cs="宋体"/>
                <w:sz w:val="28"/>
                <w:szCs w:val="28"/>
              </w:rPr>
            </w:pPr>
            <w:r>
              <w:rPr>
                <w:rFonts w:hint="eastAsia" w:ascii="宋体" w:hAnsi="宋体" w:cs="宋体"/>
                <w:b/>
                <w:bCs/>
                <w:sz w:val="28"/>
                <w:szCs w:val="28"/>
              </w:rPr>
              <w:t>招标文件技术参数要求</w:t>
            </w:r>
          </w:p>
        </w:tc>
        <w:tc>
          <w:tcPr>
            <w:tcW w:w="2244" w:type="dxa"/>
            <w:tcBorders>
              <w:top w:val="single" w:color="auto" w:sz="12" w:space="0"/>
            </w:tcBorders>
            <w:vAlign w:val="center"/>
          </w:tcPr>
          <w:p w14:paraId="089637A3">
            <w:pPr>
              <w:jc w:val="center"/>
              <w:rPr>
                <w:rFonts w:ascii="宋体" w:hAnsi="宋体" w:cs="宋体"/>
                <w:sz w:val="28"/>
                <w:szCs w:val="28"/>
              </w:rPr>
            </w:pPr>
            <w:r>
              <w:rPr>
                <w:rFonts w:hint="eastAsia" w:ascii="宋体" w:hAnsi="宋体" w:cs="宋体"/>
                <w:b/>
                <w:bCs/>
                <w:sz w:val="28"/>
                <w:szCs w:val="28"/>
              </w:rPr>
              <w:t>所投产品技术参数响应</w:t>
            </w:r>
          </w:p>
        </w:tc>
        <w:tc>
          <w:tcPr>
            <w:tcW w:w="2337" w:type="dxa"/>
            <w:tcBorders>
              <w:top w:val="single" w:color="auto" w:sz="12" w:space="0"/>
            </w:tcBorders>
            <w:vAlign w:val="center"/>
          </w:tcPr>
          <w:p w14:paraId="4C09B7DC">
            <w:pPr>
              <w:jc w:val="center"/>
              <w:rPr>
                <w:rFonts w:ascii="宋体" w:hAnsi="宋体" w:cs="宋体"/>
                <w:sz w:val="28"/>
                <w:szCs w:val="28"/>
              </w:rPr>
            </w:pPr>
            <w:r>
              <w:rPr>
                <w:rFonts w:hint="eastAsia" w:ascii="宋体" w:hAnsi="宋体" w:cs="宋体"/>
                <w:b/>
                <w:bCs/>
                <w:sz w:val="28"/>
                <w:szCs w:val="28"/>
              </w:rPr>
              <w:t>偏离/响应</w:t>
            </w:r>
          </w:p>
        </w:tc>
        <w:tc>
          <w:tcPr>
            <w:tcW w:w="1491" w:type="dxa"/>
            <w:tcBorders>
              <w:top w:val="single" w:color="auto" w:sz="12" w:space="0"/>
            </w:tcBorders>
            <w:vAlign w:val="center"/>
          </w:tcPr>
          <w:p w14:paraId="0DDA99E1">
            <w:pPr>
              <w:jc w:val="center"/>
              <w:rPr>
                <w:rFonts w:ascii="宋体" w:hAnsi="宋体" w:cs="宋体"/>
                <w:sz w:val="28"/>
                <w:szCs w:val="28"/>
              </w:rPr>
            </w:pPr>
            <w:r>
              <w:rPr>
                <w:rFonts w:hint="eastAsia" w:ascii="宋体" w:hAnsi="宋体" w:cs="宋体"/>
                <w:b/>
                <w:bCs/>
                <w:sz w:val="28"/>
                <w:szCs w:val="28"/>
              </w:rPr>
              <w:t>说明</w:t>
            </w:r>
          </w:p>
        </w:tc>
      </w:tr>
      <w:tr w14:paraId="03D2A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643" w:type="dxa"/>
            <w:vAlign w:val="center"/>
          </w:tcPr>
          <w:p w14:paraId="3393204A">
            <w:pPr>
              <w:jc w:val="center"/>
              <w:rPr>
                <w:rFonts w:ascii="宋体" w:hAnsi="宋体" w:cs="宋体"/>
                <w:sz w:val="28"/>
                <w:szCs w:val="28"/>
              </w:rPr>
            </w:pPr>
          </w:p>
        </w:tc>
        <w:tc>
          <w:tcPr>
            <w:tcW w:w="2100" w:type="dxa"/>
          </w:tcPr>
          <w:p w14:paraId="4438EE86">
            <w:pPr>
              <w:spacing w:before="120" w:after="120" w:line="288" w:lineRule="auto"/>
              <w:jc w:val="left"/>
              <w:rPr>
                <w:rFonts w:ascii="宋体" w:hAnsi="宋体" w:cs="宋体"/>
                <w:sz w:val="28"/>
                <w:szCs w:val="28"/>
              </w:rPr>
            </w:pPr>
          </w:p>
        </w:tc>
        <w:tc>
          <w:tcPr>
            <w:tcW w:w="2568" w:type="dxa"/>
            <w:vAlign w:val="center"/>
          </w:tcPr>
          <w:p w14:paraId="1F4AEBDC">
            <w:pPr>
              <w:jc w:val="center"/>
              <w:rPr>
                <w:rFonts w:ascii="宋体" w:hAnsi="宋体" w:cs="宋体"/>
                <w:sz w:val="28"/>
                <w:szCs w:val="28"/>
              </w:rPr>
            </w:pPr>
          </w:p>
        </w:tc>
        <w:tc>
          <w:tcPr>
            <w:tcW w:w="2244" w:type="dxa"/>
            <w:vAlign w:val="center"/>
          </w:tcPr>
          <w:p w14:paraId="3ABAF0F0">
            <w:pPr>
              <w:jc w:val="center"/>
              <w:rPr>
                <w:rFonts w:ascii="宋体" w:hAnsi="宋体" w:cs="宋体"/>
                <w:sz w:val="28"/>
                <w:szCs w:val="28"/>
              </w:rPr>
            </w:pPr>
          </w:p>
        </w:tc>
        <w:tc>
          <w:tcPr>
            <w:tcW w:w="2337" w:type="dxa"/>
            <w:vAlign w:val="center"/>
          </w:tcPr>
          <w:p w14:paraId="3E7B918D">
            <w:pPr>
              <w:jc w:val="center"/>
              <w:rPr>
                <w:rFonts w:ascii="宋体" w:hAnsi="宋体" w:cs="宋体"/>
                <w:sz w:val="28"/>
                <w:szCs w:val="28"/>
              </w:rPr>
            </w:pPr>
          </w:p>
        </w:tc>
        <w:tc>
          <w:tcPr>
            <w:tcW w:w="1491" w:type="dxa"/>
            <w:vAlign w:val="center"/>
          </w:tcPr>
          <w:p w14:paraId="7D4DA441">
            <w:pPr>
              <w:jc w:val="center"/>
              <w:rPr>
                <w:rFonts w:ascii="宋体" w:hAnsi="宋体" w:cs="宋体"/>
                <w:sz w:val="28"/>
                <w:szCs w:val="28"/>
              </w:rPr>
            </w:pPr>
          </w:p>
        </w:tc>
      </w:tr>
      <w:tr w14:paraId="2644D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3" w:type="dxa"/>
          </w:tcPr>
          <w:p w14:paraId="6317B3C5">
            <w:pPr>
              <w:jc w:val="center"/>
              <w:rPr>
                <w:rFonts w:ascii="宋体" w:hAnsi="宋体" w:cs="宋体"/>
                <w:sz w:val="28"/>
                <w:szCs w:val="28"/>
              </w:rPr>
            </w:pPr>
          </w:p>
        </w:tc>
        <w:tc>
          <w:tcPr>
            <w:tcW w:w="2100" w:type="dxa"/>
          </w:tcPr>
          <w:p w14:paraId="3C416708">
            <w:pPr>
              <w:spacing w:before="120" w:after="120" w:line="288" w:lineRule="auto"/>
              <w:jc w:val="left"/>
              <w:rPr>
                <w:rFonts w:ascii="宋体" w:hAnsi="宋体" w:cs="宋体"/>
                <w:sz w:val="28"/>
                <w:szCs w:val="28"/>
              </w:rPr>
            </w:pPr>
          </w:p>
        </w:tc>
        <w:tc>
          <w:tcPr>
            <w:tcW w:w="2568" w:type="dxa"/>
            <w:vAlign w:val="center"/>
          </w:tcPr>
          <w:p w14:paraId="52382A0D">
            <w:pPr>
              <w:jc w:val="center"/>
              <w:rPr>
                <w:rFonts w:ascii="宋体" w:hAnsi="宋体" w:cs="宋体"/>
                <w:sz w:val="28"/>
                <w:szCs w:val="28"/>
              </w:rPr>
            </w:pPr>
          </w:p>
        </w:tc>
        <w:tc>
          <w:tcPr>
            <w:tcW w:w="2244" w:type="dxa"/>
            <w:vAlign w:val="center"/>
          </w:tcPr>
          <w:p w14:paraId="5B7523F4">
            <w:pPr>
              <w:jc w:val="center"/>
              <w:rPr>
                <w:rFonts w:ascii="宋体" w:hAnsi="宋体" w:cs="宋体"/>
                <w:sz w:val="28"/>
                <w:szCs w:val="28"/>
              </w:rPr>
            </w:pPr>
          </w:p>
        </w:tc>
        <w:tc>
          <w:tcPr>
            <w:tcW w:w="2337" w:type="dxa"/>
            <w:vAlign w:val="center"/>
          </w:tcPr>
          <w:p w14:paraId="307C8698">
            <w:pPr>
              <w:jc w:val="center"/>
              <w:rPr>
                <w:rFonts w:ascii="宋体" w:hAnsi="宋体" w:cs="宋体"/>
                <w:sz w:val="28"/>
                <w:szCs w:val="28"/>
              </w:rPr>
            </w:pPr>
          </w:p>
        </w:tc>
        <w:tc>
          <w:tcPr>
            <w:tcW w:w="1491" w:type="dxa"/>
            <w:vAlign w:val="center"/>
          </w:tcPr>
          <w:p w14:paraId="11DD94ED">
            <w:pPr>
              <w:jc w:val="center"/>
              <w:rPr>
                <w:rFonts w:ascii="宋体" w:hAnsi="宋体" w:cs="宋体"/>
                <w:sz w:val="28"/>
                <w:szCs w:val="28"/>
              </w:rPr>
            </w:pPr>
          </w:p>
        </w:tc>
      </w:tr>
      <w:tr w14:paraId="11B8E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3" w:type="dxa"/>
          </w:tcPr>
          <w:p w14:paraId="356C8C8E">
            <w:pPr>
              <w:jc w:val="center"/>
              <w:rPr>
                <w:rFonts w:ascii="宋体" w:hAnsi="宋体" w:cs="宋体"/>
                <w:sz w:val="28"/>
                <w:szCs w:val="28"/>
              </w:rPr>
            </w:pPr>
          </w:p>
        </w:tc>
        <w:tc>
          <w:tcPr>
            <w:tcW w:w="2100" w:type="dxa"/>
          </w:tcPr>
          <w:p w14:paraId="26DC0232">
            <w:pPr>
              <w:spacing w:before="120" w:after="120" w:line="288" w:lineRule="auto"/>
              <w:jc w:val="left"/>
              <w:rPr>
                <w:rFonts w:ascii="宋体" w:hAnsi="宋体" w:cs="宋体"/>
                <w:sz w:val="28"/>
                <w:szCs w:val="28"/>
              </w:rPr>
            </w:pPr>
          </w:p>
        </w:tc>
        <w:tc>
          <w:tcPr>
            <w:tcW w:w="2568" w:type="dxa"/>
            <w:vAlign w:val="center"/>
          </w:tcPr>
          <w:p w14:paraId="1DCDDC20">
            <w:pPr>
              <w:jc w:val="center"/>
              <w:rPr>
                <w:rFonts w:ascii="宋体" w:hAnsi="宋体" w:cs="宋体"/>
                <w:sz w:val="28"/>
                <w:szCs w:val="28"/>
              </w:rPr>
            </w:pPr>
          </w:p>
        </w:tc>
        <w:tc>
          <w:tcPr>
            <w:tcW w:w="2244" w:type="dxa"/>
            <w:vAlign w:val="center"/>
          </w:tcPr>
          <w:p w14:paraId="0B525305">
            <w:pPr>
              <w:jc w:val="center"/>
              <w:rPr>
                <w:rFonts w:ascii="宋体" w:hAnsi="宋体" w:cs="宋体"/>
                <w:sz w:val="28"/>
                <w:szCs w:val="28"/>
              </w:rPr>
            </w:pPr>
          </w:p>
        </w:tc>
        <w:tc>
          <w:tcPr>
            <w:tcW w:w="2337" w:type="dxa"/>
            <w:vAlign w:val="center"/>
          </w:tcPr>
          <w:p w14:paraId="50B82B15">
            <w:pPr>
              <w:jc w:val="center"/>
              <w:rPr>
                <w:rFonts w:ascii="宋体" w:hAnsi="宋体" w:cs="宋体"/>
                <w:sz w:val="28"/>
                <w:szCs w:val="28"/>
              </w:rPr>
            </w:pPr>
          </w:p>
        </w:tc>
        <w:tc>
          <w:tcPr>
            <w:tcW w:w="1491" w:type="dxa"/>
            <w:vAlign w:val="center"/>
          </w:tcPr>
          <w:p w14:paraId="2AB03896">
            <w:pPr>
              <w:jc w:val="center"/>
              <w:rPr>
                <w:rFonts w:ascii="宋体" w:hAnsi="宋体" w:cs="宋体"/>
                <w:sz w:val="28"/>
                <w:szCs w:val="28"/>
              </w:rPr>
            </w:pPr>
          </w:p>
        </w:tc>
      </w:tr>
      <w:tr w14:paraId="7CBB5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3" w:type="dxa"/>
          </w:tcPr>
          <w:p w14:paraId="4695024C">
            <w:pPr>
              <w:jc w:val="center"/>
              <w:rPr>
                <w:rFonts w:ascii="宋体" w:hAnsi="宋体" w:cs="宋体"/>
                <w:sz w:val="28"/>
                <w:szCs w:val="28"/>
              </w:rPr>
            </w:pPr>
          </w:p>
        </w:tc>
        <w:tc>
          <w:tcPr>
            <w:tcW w:w="2100" w:type="dxa"/>
            <w:vAlign w:val="center"/>
          </w:tcPr>
          <w:p w14:paraId="76F1B6EF">
            <w:pPr>
              <w:jc w:val="center"/>
              <w:rPr>
                <w:rFonts w:ascii="宋体" w:hAnsi="宋体" w:cs="宋体"/>
                <w:sz w:val="28"/>
                <w:szCs w:val="28"/>
              </w:rPr>
            </w:pPr>
          </w:p>
        </w:tc>
        <w:tc>
          <w:tcPr>
            <w:tcW w:w="2568" w:type="dxa"/>
            <w:vAlign w:val="center"/>
          </w:tcPr>
          <w:p w14:paraId="43260861">
            <w:pPr>
              <w:jc w:val="center"/>
              <w:rPr>
                <w:rFonts w:ascii="宋体" w:hAnsi="宋体" w:cs="宋体"/>
                <w:sz w:val="28"/>
                <w:szCs w:val="28"/>
              </w:rPr>
            </w:pPr>
          </w:p>
        </w:tc>
        <w:tc>
          <w:tcPr>
            <w:tcW w:w="2244" w:type="dxa"/>
            <w:vAlign w:val="center"/>
          </w:tcPr>
          <w:p w14:paraId="78F89DBD">
            <w:pPr>
              <w:jc w:val="center"/>
              <w:rPr>
                <w:rFonts w:ascii="宋体" w:hAnsi="宋体" w:cs="宋体"/>
                <w:sz w:val="28"/>
                <w:szCs w:val="28"/>
              </w:rPr>
            </w:pPr>
          </w:p>
        </w:tc>
        <w:tc>
          <w:tcPr>
            <w:tcW w:w="2337" w:type="dxa"/>
            <w:vAlign w:val="center"/>
          </w:tcPr>
          <w:p w14:paraId="62DADA25">
            <w:pPr>
              <w:jc w:val="center"/>
              <w:rPr>
                <w:rFonts w:ascii="宋体" w:hAnsi="宋体" w:cs="宋体"/>
                <w:sz w:val="28"/>
                <w:szCs w:val="28"/>
              </w:rPr>
            </w:pPr>
          </w:p>
        </w:tc>
        <w:tc>
          <w:tcPr>
            <w:tcW w:w="1491" w:type="dxa"/>
            <w:vAlign w:val="center"/>
          </w:tcPr>
          <w:p w14:paraId="248D91A1">
            <w:pPr>
              <w:jc w:val="center"/>
              <w:rPr>
                <w:rFonts w:ascii="宋体" w:hAnsi="宋体" w:cs="宋体"/>
                <w:sz w:val="28"/>
                <w:szCs w:val="28"/>
              </w:rPr>
            </w:pPr>
          </w:p>
        </w:tc>
      </w:tr>
      <w:tr w14:paraId="61143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3" w:type="dxa"/>
          </w:tcPr>
          <w:p w14:paraId="4CEF07B0">
            <w:pPr>
              <w:jc w:val="center"/>
              <w:rPr>
                <w:rFonts w:ascii="宋体" w:hAnsi="宋体" w:cs="宋体"/>
                <w:sz w:val="28"/>
                <w:szCs w:val="28"/>
              </w:rPr>
            </w:pPr>
          </w:p>
        </w:tc>
        <w:tc>
          <w:tcPr>
            <w:tcW w:w="2100" w:type="dxa"/>
            <w:vAlign w:val="center"/>
          </w:tcPr>
          <w:p w14:paraId="05328D2E">
            <w:pPr>
              <w:jc w:val="center"/>
              <w:rPr>
                <w:rFonts w:ascii="宋体" w:hAnsi="宋体" w:cs="宋体"/>
                <w:sz w:val="28"/>
                <w:szCs w:val="28"/>
              </w:rPr>
            </w:pPr>
          </w:p>
        </w:tc>
        <w:tc>
          <w:tcPr>
            <w:tcW w:w="2568" w:type="dxa"/>
            <w:vAlign w:val="center"/>
          </w:tcPr>
          <w:p w14:paraId="7C9C81A8">
            <w:pPr>
              <w:jc w:val="center"/>
              <w:rPr>
                <w:rFonts w:ascii="宋体" w:hAnsi="宋体" w:cs="宋体"/>
                <w:sz w:val="28"/>
                <w:szCs w:val="28"/>
              </w:rPr>
            </w:pPr>
          </w:p>
        </w:tc>
        <w:tc>
          <w:tcPr>
            <w:tcW w:w="2244" w:type="dxa"/>
            <w:vAlign w:val="center"/>
          </w:tcPr>
          <w:p w14:paraId="69EF7CD3">
            <w:pPr>
              <w:jc w:val="center"/>
              <w:rPr>
                <w:rFonts w:ascii="宋体" w:hAnsi="宋体" w:cs="宋体"/>
                <w:sz w:val="28"/>
                <w:szCs w:val="28"/>
              </w:rPr>
            </w:pPr>
          </w:p>
        </w:tc>
        <w:tc>
          <w:tcPr>
            <w:tcW w:w="2337" w:type="dxa"/>
            <w:vAlign w:val="center"/>
          </w:tcPr>
          <w:p w14:paraId="2FAA156C">
            <w:pPr>
              <w:jc w:val="center"/>
              <w:rPr>
                <w:rFonts w:ascii="宋体" w:hAnsi="宋体" w:cs="宋体"/>
                <w:sz w:val="28"/>
                <w:szCs w:val="28"/>
              </w:rPr>
            </w:pPr>
          </w:p>
        </w:tc>
        <w:tc>
          <w:tcPr>
            <w:tcW w:w="1491" w:type="dxa"/>
            <w:vAlign w:val="center"/>
          </w:tcPr>
          <w:p w14:paraId="2CE14947">
            <w:pPr>
              <w:jc w:val="center"/>
              <w:rPr>
                <w:rFonts w:ascii="宋体" w:hAnsi="宋体" w:cs="宋体"/>
                <w:sz w:val="28"/>
                <w:szCs w:val="28"/>
              </w:rPr>
            </w:pPr>
          </w:p>
        </w:tc>
      </w:tr>
      <w:tr w14:paraId="45211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3" w:type="dxa"/>
          </w:tcPr>
          <w:p w14:paraId="771AFDBE">
            <w:pPr>
              <w:jc w:val="center"/>
              <w:rPr>
                <w:rFonts w:ascii="宋体" w:hAnsi="宋体" w:cs="宋体"/>
                <w:sz w:val="28"/>
                <w:szCs w:val="28"/>
              </w:rPr>
            </w:pPr>
          </w:p>
        </w:tc>
        <w:tc>
          <w:tcPr>
            <w:tcW w:w="2100" w:type="dxa"/>
            <w:vAlign w:val="center"/>
          </w:tcPr>
          <w:p w14:paraId="449FE837">
            <w:pPr>
              <w:jc w:val="center"/>
              <w:rPr>
                <w:rFonts w:ascii="宋体" w:hAnsi="宋体" w:cs="宋体"/>
                <w:sz w:val="28"/>
                <w:szCs w:val="28"/>
              </w:rPr>
            </w:pPr>
          </w:p>
        </w:tc>
        <w:tc>
          <w:tcPr>
            <w:tcW w:w="2568" w:type="dxa"/>
            <w:vAlign w:val="center"/>
          </w:tcPr>
          <w:p w14:paraId="21794EAD">
            <w:pPr>
              <w:jc w:val="center"/>
              <w:rPr>
                <w:rFonts w:ascii="宋体" w:hAnsi="宋体" w:cs="宋体"/>
                <w:sz w:val="28"/>
                <w:szCs w:val="28"/>
              </w:rPr>
            </w:pPr>
          </w:p>
        </w:tc>
        <w:tc>
          <w:tcPr>
            <w:tcW w:w="2244" w:type="dxa"/>
            <w:vAlign w:val="center"/>
          </w:tcPr>
          <w:p w14:paraId="583AB134">
            <w:pPr>
              <w:jc w:val="center"/>
              <w:rPr>
                <w:rFonts w:ascii="宋体" w:hAnsi="宋体" w:cs="宋体"/>
                <w:sz w:val="28"/>
                <w:szCs w:val="28"/>
              </w:rPr>
            </w:pPr>
          </w:p>
        </w:tc>
        <w:tc>
          <w:tcPr>
            <w:tcW w:w="2337" w:type="dxa"/>
            <w:vAlign w:val="center"/>
          </w:tcPr>
          <w:p w14:paraId="1511CDB1">
            <w:pPr>
              <w:jc w:val="center"/>
              <w:rPr>
                <w:rFonts w:ascii="宋体" w:hAnsi="宋体" w:cs="宋体"/>
                <w:sz w:val="28"/>
                <w:szCs w:val="28"/>
              </w:rPr>
            </w:pPr>
          </w:p>
        </w:tc>
        <w:tc>
          <w:tcPr>
            <w:tcW w:w="1491" w:type="dxa"/>
            <w:vAlign w:val="center"/>
          </w:tcPr>
          <w:p w14:paraId="73C0121E">
            <w:pPr>
              <w:jc w:val="center"/>
              <w:rPr>
                <w:rFonts w:ascii="宋体" w:hAnsi="宋体" w:cs="宋体"/>
                <w:sz w:val="28"/>
                <w:szCs w:val="28"/>
              </w:rPr>
            </w:pPr>
          </w:p>
        </w:tc>
      </w:tr>
      <w:tr w14:paraId="15C5A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3" w:type="dxa"/>
          </w:tcPr>
          <w:p w14:paraId="657D8354">
            <w:pPr>
              <w:jc w:val="center"/>
              <w:rPr>
                <w:rFonts w:ascii="宋体" w:hAnsi="宋体" w:cs="宋体"/>
                <w:sz w:val="28"/>
                <w:szCs w:val="28"/>
              </w:rPr>
            </w:pPr>
          </w:p>
        </w:tc>
        <w:tc>
          <w:tcPr>
            <w:tcW w:w="2100" w:type="dxa"/>
            <w:vAlign w:val="center"/>
          </w:tcPr>
          <w:p w14:paraId="19CF5BDE">
            <w:pPr>
              <w:jc w:val="center"/>
              <w:rPr>
                <w:rFonts w:ascii="宋体" w:hAnsi="宋体" w:cs="宋体"/>
                <w:sz w:val="28"/>
                <w:szCs w:val="28"/>
              </w:rPr>
            </w:pPr>
          </w:p>
        </w:tc>
        <w:tc>
          <w:tcPr>
            <w:tcW w:w="2568" w:type="dxa"/>
            <w:vAlign w:val="center"/>
          </w:tcPr>
          <w:p w14:paraId="1DC62D72">
            <w:pPr>
              <w:jc w:val="center"/>
              <w:rPr>
                <w:rFonts w:ascii="宋体" w:hAnsi="宋体" w:cs="宋体"/>
                <w:sz w:val="28"/>
                <w:szCs w:val="28"/>
              </w:rPr>
            </w:pPr>
          </w:p>
        </w:tc>
        <w:tc>
          <w:tcPr>
            <w:tcW w:w="2244" w:type="dxa"/>
            <w:vAlign w:val="center"/>
          </w:tcPr>
          <w:p w14:paraId="3CAC5D6D">
            <w:pPr>
              <w:jc w:val="center"/>
              <w:rPr>
                <w:rFonts w:ascii="宋体" w:hAnsi="宋体" w:cs="宋体"/>
                <w:sz w:val="28"/>
                <w:szCs w:val="28"/>
              </w:rPr>
            </w:pPr>
          </w:p>
        </w:tc>
        <w:tc>
          <w:tcPr>
            <w:tcW w:w="2337" w:type="dxa"/>
            <w:vAlign w:val="center"/>
          </w:tcPr>
          <w:p w14:paraId="03A8BA56">
            <w:pPr>
              <w:jc w:val="center"/>
              <w:rPr>
                <w:rFonts w:ascii="宋体" w:hAnsi="宋体" w:cs="宋体"/>
                <w:sz w:val="28"/>
                <w:szCs w:val="28"/>
              </w:rPr>
            </w:pPr>
          </w:p>
        </w:tc>
        <w:tc>
          <w:tcPr>
            <w:tcW w:w="1491" w:type="dxa"/>
            <w:vAlign w:val="center"/>
          </w:tcPr>
          <w:p w14:paraId="2C194C1A">
            <w:pPr>
              <w:jc w:val="center"/>
              <w:rPr>
                <w:rFonts w:ascii="宋体" w:hAnsi="宋体" w:cs="宋体"/>
                <w:sz w:val="28"/>
                <w:szCs w:val="28"/>
              </w:rPr>
            </w:pPr>
          </w:p>
        </w:tc>
      </w:tr>
      <w:tr w14:paraId="67A2D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3" w:type="dxa"/>
            <w:tcBorders>
              <w:bottom w:val="single" w:color="auto" w:sz="12" w:space="0"/>
            </w:tcBorders>
          </w:tcPr>
          <w:p w14:paraId="48BAC3F5">
            <w:pPr>
              <w:jc w:val="center"/>
              <w:rPr>
                <w:rFonts w:ascii="宋体" w:hAnsi="宋体" w:cs="宋体"/>
                <w:sz w:val="28"/>
                <w:szCs w:val="28"/>
              </w:rPr>
            </w:pPr>
            <w:r>
              <w:rPr>
                <w:rFonts w:hint="eastAsia" w:ascii="宋体" w:hAnsi="宋体" w:cs="宋体"/>
                <w:sz w:val="28"/>
                <w:szCs w:val="28"/>
              </w:rPr>
              <w:t>……</w:t>
            </w:r>
          </w:p>
        </w:tc>
        <w:tc>
          <w:tcPr>
            <w:tcW w:w="2100" w:type="dxa"/>
            <w:tcBorders>
              <w:bottom w:val="single" w:color="auto" w:sz="12" w:space="0"/>
            </w:tcBorders>
            <w:vAlign w:val="center"/>
          </w:tcPr>
          <w:p w14:paraId="1002D43B">
            <w:pPr>
              <w:jc w:val="center"/>
              <w:rPr>
                <w:rFonts w:ascii="宋体" w:hAnsi="宋体" w:cs="宋体"/>
                <w:sz w:val="28"/>
                <w:szCs w:val="28"/>
              </w:rPr>
            </w:pPr>
          </w:p>
        </w:tc>
        <w:tc>
          <w:tcPr>
            <w:tcW w:w="2568" w:type="dxa"/>
            <w:tcBorders>
              <w:bottom w:val="single" w:color="auto" w:sz="12" w:space="0"/>
            </w:tcBorders>
            <w:vAlign w:val="center"/>
          </w:tcPr>
          <w:p w14:paraId="55A376BE">
            <w:pPr>
              <w:jc w:val="center"/>
              <w:rPr>
                <w:rFonts w:ascii="宋体" w:hAnsi="宋体" w:cs="宋体"/>
                <w:sz w:val="28"/>
                <w:szCs w:val="28"/>
              </w:rPr>
            </w:pPr>
          </w:p>
        </w:tc>
        <w:tc>
          <w:tcPr>
            <w:tcW w:w="2244" w:type="dxa"/>
            <w:tcBorders>
              <w:bottom w:val="single" w:color="auto" w:sz="12" w:space="0"/>
            </w:tcBorders>
            <w:vAlign w:val="center"/>
          </w:tcPr>
          <w:p w14:paraId="1017D2CF">
            <w:pPr>
              <w:jc w:val="center"/>
              <w:rPr>
                <w:rFonts w:ascii="宋体" w:hAnsi="宋体" w:cs="宋体"/>
                <w:sz w:val="28"/>
                <w:szCs w:val="28"/>
              </w:rPr>
            </w:pPr>
          </w:p>
        </w:tc>
        <w:tc>
          <w:tcPr>
            <w:tcW w:w="2337" w:type="dxa"/>
            <w:tcBorders>
              <w:bottom w:val="single" w:color="auto" w:sz="12" w:space="0"/>
            </w:tcBorders>
            <w:vAlign w:val="center"/>
          </w:tcPr>
          <w:p w14:paraId="1CFF636C">
            <w:pPr>
              <w:jc w:val="center"/>
              <w:rPr>
                <w:rFonts w:ascii="宋体" w:hAnsi="宋体" w:cs="宋体"/>
                <w:sz w:val="28"/>
                <w:szCs w:val="28"/>
              </w:rPr>
            </w:pPr>
          </w:p>
        </w:tc>
        <w:tc>
          <w:tcPr>
            <w:tcW w:w="1491" w:type="dxa"/>
            <w:tcBorders>
              <w:bottom w:val="single" w:color="auto" w:sz="12" w:space="0"/>
            </w:tcBorders>
            <w:vAlign w:val="center"/>
          </w:tcPr>
          <w:p w14:paraId="246ABB84">
            <w:pPr>
              <w:jc w:val="center"/>
              <w:rPr>
                <w:rFonts w:ascii="宋体" w:hAnsi="宋体" w:cs="宋体"/>
                <w:sz w:val="28"/>
                <w:szCs w:val="28"/>
              </w:rPr>
            </w:pPr>
          </w:p>
        </w:tc>
      </w:tr>
    </w:tbl>
    <w:p w14:paraId="2038458F">
      <w:pPr>
        <w:spacing w:line="520" w:lineRule="exact"/>
        <w:ind w:firstLine="565" w:firstLineChars="202"/>
        <w:rPr>
          <w:rFonts w:ascii="宋体" w:hAnsi="宋体" w:cs="宋体"/>
          <w:sz w:val="28"/>
          <w:szCs w:val="28"/>
        </w:rPr>
      </w:pPr>
      <w:r>
        <w:rPr>
          <w:rFonts w:hint="eastAsia" w:ascii="宋体" w:hAnsi="宋体" w:cs="宋体"/>
          <w:sz w:val="28"/>
          <w:szCs w:val="28"/>
        </w:rPr>
        <w:t>注：</w:t>
      </w:r>
    </w:p>
    <w:p w14:paraId="38462FFC">
      <w:pPr>
        <w:spacing w:line="520" w:lineRule="exact"/>
        <w:ind w:firstLine="565" w:firstLineChars="202"/>
        <w:rPr>
          <w:rFonts w:ascii="宋体" w:hAnsi="宋体" w:cs="宋体"/>
          <w:sz w:val="28"/>
          <w:szCs w:val="28"/>
        </w:rPr>
      </w:pPr>
      <w:r>
        <w:rPr>
          <w:rFonts w:hint="eastAsia" w:ascii="宋体" w:hAnsi="宋体" w:cs="宋体"/>
          <w:sz w:val="28"/>
          <w:szCs w:val="28"/>
        </w:rPr>
        <w:t>①供应商应对照招标文件第三章项目需求内的要求，货物与招标文件规定的项目要求有偏离的，应在此表中申明与技术要求条文的偏离情况，如有例外请说明。</w:t>
      </w:r>
    </w:p>
    <w:p w14:paraId="5556404C">
      <w:pPr>
        <w:spacing w:line="520" w:lineRule="exact"/>
        <w:ind w:firstLine="565" w:firstLineChars="202"/>
        <w:rPr>
          <w:rFonts w:ascii="宋体" w:hAnsi="宋体" w:cs="宋体"/>
          <w:sz w:val="28"/>
          <w:szCs w:val="28"/>
        </w:rPr>
      </w:pPr>
      <w:r>
        <w:rPr>
          <w:rFonts w:hint="eastAsia" w:ascii="宋体" w:hAnsi="宋体" w:cs="宋体"/>
          <w:sz w:val="28"/>
          <w:szCs w:val="28"/>
        </w:rPr>
        <w:t>②未详细列出的视为负偏离扣分。</w:t>
      </w:r>
    </w:p>
    <w:p w14:paraId="58D90718">
      <w:pPr>
        <w:spacing w:line="520" w:lineRule="exact"/>
        <w:ind w:firstLine="565" w:firstLineChars="202"/>
        <w:rPr>
          <w:rFonts w:ascii="宋体" w:hAnsi="宋体" w:cs="宋体"/>
          <w:sz w:val="28"/>
          <w:szCs w:val="28"/>
        </w:rPr>
      </w:pPr>
      <w:r>
        <w:rPr>
          <w:rFonts w:hint="default" w:ascii="宋体" w:hAnsi="宋体" w:cs="宋体"/>
          <w:sz w:val="28"/>
          <w:szCs w:val="28"/>
        </w:rPr>
        <w:t>③</w:t>
      </w:r>
      <w:r>
        <w:rPr>
          <w:rFonts w:hint="eastAsia" w:ascii="宋体" w:hAnsi="宋体" w:eastAsia="宋体" w:cs="宋体"/>
          <w:b/>
          <w:bCs w:val="0"/>
          <w:kern w:val="2"/>
          <w:sz w:val="28"/>
          <w:szCs w:val="28"/>
        </w:rPr>
        <w:t>△技术参数需提供具备CMA资质认定的第三方检测机构出具的检测报告，否则作无效投标处理。</w:t>
      </w:r>
    </w:p>
    <w:p w14:paraId="4195B565">
      <w:pPr>
        <w:spacing w:line="520" w:lineRule="exact"/>
        <w:ind w:firstLine="565" w:firstLineChars="202"/>
        <w:rPr>
          <w:rFonts w:ascii="宋体" w:hAnsi="宋体" w:cs="宋体"/>
          <w:sz w:val="28"/>
          <w:szCs w:val="28"/>
        </w:rPr>
      </w:pPr>
      <w:r>
        <w:rPr>
          <w:rFonts w:hint="eastAsia" w:ascii="宋体" w:hAnsi="宋体" w:cs="宋体"/>
          <w:sz w:val="28"/>
          <w:szCs w:val="28"/>
        </w:rPr>
        <w:t>供应商：（公章）</w:t>
      </w:r>
    </w:p>
    <w:p w14:paraId="72B9825E">
      <w:pPr>
        <w:spacing w:line="520" w:lineRule="exact"/>
        <w:ind w:firstLine="565" w:firstLineChars="202"/>
        <w:rPr>
          <w:rFonts w:ascii="宋体" w:hAnsi="宋体" w:cs="宋体"/>
          <w:sz w:val="28"/>
          <w:szCs w:val="28"/>
        </w:rPr>
      </w:pPr>
      <w:r>
        <w:rPr>
          <w:rFonts w:hint="eastAsia" w:ascii="宋体" w:hAnsi="宋体" w:cs="宋体"/>
          <w:sz w:val="28"/>
          <w:szCs w:val="28"/>
        </w:rPr>
        <w:t>法定代表人（或负责人）或被授权人：（签字或盖章）</w:t>
      </w:r>
    </w:p>
    <w:p w14:paraId="758B0A99">
      <w:pPr>
        <w:spacing w:line="520" w:lineRule="exact"/>
        <w:ind w:firstLine="565" w:firstLineChars="202"/>
        <w:rPr>
          <w:rFonts w:ascii="宋体" w:hAnsi="宋体" w:cs="宋体"/>
          <w:sz w:val="28"/>
          <w:szCs w:val="28"/>
        </w:rPr>
      </w:pPr>
      <w:r>
        <w:rPr>
          <w:rFonts w:hint="eastAsia" w:ascii="宋体" w:hAnsi="宋体" w:cs="宋体"/>
          <w:sz w:val="28"/>
          <w:szCs w:val="28"/>
        </w:rPr>
        <w:t>日期：年月日</w:t>
      </w:r>
    </w:p>
    <w:p w14:paraId="130D9A24">
      <w:pPr>
        <w:rPr>
          <w:rFonts w:ascii="宋体" w:hAnsi="宋体" w:cs="宋体"/>
          <w:color w:val="333333"/>
          <w:kern w:val="0"/>
          <w:sz w:val="28"/>
          <w:szCs w:val="28"/>
        </w:rPr>
      </w:pPr>
    </w:p>
    <w:p w14:paraId="7A190BF2">
      <w:pPr>
        <w:rPr>
          <w:rFonts w:ascii="宋体" w:hAnsi="宋体" w:cs="宋体"/>
          <w:kern w:val="0"/>
          <w:sz w:val="28"/>
          <w:szCs w:val="28"/>
        </w:rPr>
      </w:pPr>
    </w:p>
    <w:p w14:paraId="6C376CAC">
      <w:pPr>
        <w:rPr>
          <w:rFonts w:ascii="宋体" w:hAnsi="宋体" w:cs="宋体"/>
          <w:kern w:val="0"/>
          <w:sz w:val="28"/>
          <w:szCs w:val="28"/>
        </w:rPr>
      </w:pPr>
      <w:r>
        <w:rPr>
          <w:rFonts w:hint="eastAsia" w:ascii="宋体" w:hAnsi="宋体" w:cs="宋体"/>
          <w:kern w:val="0"/>
          <w:sz w:val="28"/>
          <w:szCs w:val="28"/>
        </w:rPr>
        <w:br w:type="page"/>
      </w:r>
    </w:p>
    <w:p w14:paraId="57DB9951">
      <w:pPr>
        <w:rPr>
          <w:rFonts w:ascii="宋体" w:hAnsi="宋体" w:cs="宋体"/>
          <w:kern w:val="0"/>
          <w:sz w:val="28"/>
          <w:szCs w:val="28"/>
        </w:rPr>
      </w:pPr>
      <w:r>
        <w:rPr>
          <w:rFonts w:hint="eastAsia" w:ascii="宋体" w:hAnsi="宋体" w:cs="宋体"/>
          <w:kern w:val="0"/>
          <w:sz w:val="28"/>
          <w:szCs w:val="28"/>
        </w:rPr>
        <w:t>附件5</w:t>
      </w:r>
    </w:p>
    <w:p w14:paraId="24C4AC99">
      <w:pPr>
        <w:spacing w:line="460" w:lineRule="exact"/>
        <w:rPr>
          <w:rFonts w:ascii="宋体" w:hAnsi="宋体" w:cs="宋体"/>
          <w:kern w:val="0"/>
          <w:sz w:val="28"/>
          <w:szCs w:val="28"/>
        </w:rPr>
      </w:pPr>
    </w:p>
    <w:p w14:paraId="2DE7002A">
      <w:pPr>
        <w:widowControl/>
        <w:spacing w:before="100" w:beforeAutospacing="1" w:after="100" w:afterAutospacing="1" w:line="460" w:lineRule="exact"/>
        <w:jc w:val="center"/>
        <w:rPr>
          <w:rFonts w:ascii="宋体" w:hAnsi="宋体" w:cs="宋体"/>
          <w:kern w:val="0"/>
          <w:sz w:val="28"/>
          <w:szCs w:val="28"/>
        </w:rPr>
      </w:pPr>
      <w:r>
        <w:rPr>
          <w:rFonts w:hint="eastAsia" w:ascii="宋体" w:hAnsi="宋体" w:cs="宋体"/>
          <w:b/>
          <w:bCs/>
          <w:kern w:val="0"/>
          <w:sz w:val="28"/>
          <w:szCs w:val="28"/>
        </w:rPr>
        <w:t>报价总表</w:t>
      </w:r>
    </w:p>
    <w:p w14:paraId="63A8568E">
      <w:pPr>
        <w:spacing w:line="460" w:lineRule="exact"/>
        <w:rPr>
          <w:rFonts w:ascii="宋体" w:hAnsi="宋体" w:cs="宋体"/>
          <w:kern w:val="0"/>
          <w:sz w:val="28"/>
          <w:szCs w:val="28"/>
        </w:rPr>
      </w:pPr>
    </w:p>
    <w:p w14:paraId="1364B437">
      <w:pPr>
        <w:spacing w:line="460" w:lineRule="exact"/>
        <w:rPr>
          <w:rFonts w:ascii="宋体" w:hAnsi="宋体" w:cs="宋体"/>
          <w:kern w:val="0"/>
          <w:sz w:val="28"/>
          <w:szCs w:val="28"/>
          <w:u w:val="single"/>
        </w:rPr>
      </w:pPr>
      <w:r>
        <w:rPr>
          <w:rFonts w:hint="eastAsia" w:ascii="宋体" w:hAnsi="宋体" w:cs="宋体"/>
          <w:kern w:val="0"/>
          <w:sz w:val="28"/>
          <w:szCs w:val="28"/>
        </w:rPr>
        <w:t>供应商全称（加盖公章）：</w:t>
      </w:r>
    </w:p>
    <w:p w14:paraId="2F111482">
      <w:pPr>
        <w:spacing w:line="460" w:lineRule="exact"/>
        <w:rPr>
          <w:rFonts w:ascii="宋体" w:hAnsi="宋体" w:cs="宋体"/>
          <w:kern w:val="0"/>
          <w:sz w:val="28"/>
          <w:szCs w:val="28"/>
        </w:rPr>
      </w:pPr>
      <w:r>
        <w:rPr>
          <w:rFonts w:hint="eastAsia" w:ascii="宋体" w:hAnsi="宋体" w:cs="宋体"/>
          <w:kern w:val="0"/>
          <w:sz w:val="28"/>
          <w:szCs w:val="28"/>
        </w:rPr>
        <w:t>项目编号：</w:t>
      </w:r>
    </w:p>
    <w:p w14:paraId="152D9282">
      <w:pPr>
        <w:snapToGrid w:val="0"/>
        <w:spacing w:line="420" w:lineRule="exact"/>
        <w:jc w:val="left"/>
        <w:rPr>
          <w:rFonts w:ascii="宋体" w:hAnsi="宋体" w:cs="宋体"/>
          <w:b/>
          <w:sz w:val="28"/>
          <w:szCs w:val="28"/>
        </w:rPr>
      </w:pPr>
    </w:p>
    <w:tbl>
      <w:tblPr>
        <w:tblStyle w:val="25"/>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88"/>
        <w:gridCol w:w="1637"/>
        <w:gridCol w:w="1637"/>
        <w:gridCol w:w="1785"/>
      </w:tblGrid>
      <w:tr w14:paraId="3BD7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7" w:type="dxa"/>
            <w:vAlign w:val="center"/>
          </w:tcPr>
          <w:p w14:paraId="16C1747B">
            <w:pPr>
              <w:snapToGrid w:val="0"/>
              <w:spacing w:line="420" w:lineRule="exact"/>
              <w:ind w:left="1322" w:hanging="1321" w:hangingChars="472"/>
              <w:jc w:val="center"/>
              <w:rPr>
                <w:rFonts w:ascii="宋体" w:hAnsi="宋体" w:cs="宋体"/>
                <w:sz w:val="28"/>
                <w:szCs w:val="28"/>
              </w:rPr>
            </w:pPr>
            <w:r>
              <w:rPr>
                <w:rFonts w:hint="eastAsia" w:ascii="宋体" w:hAnsi="宋体" w:cs="宋体"/>
                <w:sz w:val="28"/>
                <w:szCs w:val="28"/>
              </w:rPr>
              <w:t>序号</w:t>
            </w:r>
          </w:p>
        </w:tc>
        <w:tc>
          <w:tcPr>
            <w:tcW w:w="2588" w:type="dxa"/>
            <w:vAlign w:val="center"/>
          </w:tcPr>
          <w:p w14:paraId="3F127688">
            <w:pPr>
              <w:snapToGrid w:val="0"/>
              <w:spacing w:line="420" w:lineRule="exact"/>
              <w:ind w:left="1322" w:hanging="1321" w:hangingChars="472"/>
              <w:jc w:val="center"/>
              <w:rPr>
                <w:rFonts w:ascii="宋体" w:hAnsi="宋体" w:cs="宋体"/>
                <w:sz w:val="28"/>
                <w:szCs w:val="28"/>
              </w:rPr>
            </w:pPr>
            <w:r>
              <w:rPr>
                <w:rFonts w:hint="eastAsia" w:ascii="宋体" w:hAnsi="宋体" w:cs="宋体"/>
                <w:sz w:val="28"/>
                <w:szCs w:val="28"/>
              </w:rPr>
              <w:t>名称</w:t>
            </w:r>
          </w:p>
        </w:tc>
        <w:tc>
          <w:tcPr>
            <w:tcW w:w="1637" w:type="dxa"/>
            <w:vAlign w:val="center"/>
          </w:tcPr>
          <w:p w14:paraId="6D82FDCF">
            <w:pPr>
              <w:snapToGrid w:val="0"/>
              <w:spacing w:line="420" w:lineRule="exact"/>
              <w:ind w:left="1322" w:hanging="1321" w:hangingChars="472"/>
              <w:jc w:val="center"/>
              <w:rPr>
                <w:rFonts w:ascii="宋体" w:hAnsi="宋体" w:cs="宋体"/>
                <w:sz w:val="28"/>
                <w:szCs w:val="28"/>
              </w:rPr>
            </w:pPr>
            <w:r>
              <w:rPr>
                <w:rFonts w:hint="eastAsia" w:ascii="宋体" w:hAnsi="宋体" w:cs="宋体"/>
                <w:sz w:val="28"/>
                <w:szCs w:val="28"/>
              </w:rPr>
              <w:t>数量</w:t>
            </w:r>
          </w:p>
        </w:tc>
        <w:tc>
          <w:tcPr>
            <w:tcW w:w="1637" w:type="dxa"/>
            <w:vAlign w:val="center"/>
          </w:tcPr>
          <w:p w14:paraId="7880AF1A">
            <w:pPr>
              <w:snapToGrid w:val="0"/>
              <w:spacing w:line="420" w:lineRule="exact"/>
              <w:ind w:left="1322" w:hanging="1321" w:hangingChars="472"/>
              <w:jc w:val="center"/>
              <w:rPr>
                <w:rFonts w:ascii="宋体" w:hAnsi="宋体" w:cs="宋体"/>
                <w:sz w:val="28"/>
                <w:szCs w:val="28"/>
              </w:rPr>
            </w:pPr>
            <w:r>
              <w:rPr>
                <w:rFonts w:hint="eastAsia" w:ascii="宋体" w:hAnsi="宋体" w:cs="宋体"/>
                <w:sz w:val="28"/>
                <w:szCs w:val="28"/>
              </w:rPr>
              <w:t>单价（元）</w:t>
            </w:r>
          </w:p>
        </w:tc>
        <w:tc>
          <w:tcPr>
            <w:tcW w:w="1785" w:type="dxa"/>
            <w:vAlign w:val="center"/>
          </w:tcPr>
          <w:p w14:paraId="75D33AE9">
            <w:pPr>
              <w:snapToGrid w:val="0"/>
              <w:spacing w:line="420" w:lineRule="exact"/>
              <w:ind w:left="1322" w:hanging="1321" w:hangingChars="472"/>
              <w:jc w:val="center"/>
              <w:rPr>
                <w:rFonts w:ascii="宋体" w:hAnsi="宋体" w:cs="宋体"/>
                <w:sz w:val="28"/>
                <w:szCs w:val="28"/>
              </w:rPr>
            </w:pPr>
            <w:r>
              <w:rPr>
                <w:rFonts w:hint="eastAsia" w:ascii="宋体" w:hAnsi="宋体" w:cs="宋体"/>
                <w:sz w:val="28"/>
                <w:szCs w:val="28"/>
              </w:rPr>
              <w:t>合计（元）</w:t>
            </w:r>
          </w:p>
        </w:tc>
      </w:tr>
      <w:tr w14:paraId="12F7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7" w:type="dxa"/>
            <w:vAlign w:val="center"/>
          </w:tcPr>
          <w:p w14:paraId="56530643">
            <w:pPr>
              <w:snapToGrid w:val="0"/>
              <w:spacing w:line="420" w:lineRule="exact"/>
              <w:ind w:left="2"/>
              <w:jc w:val="center"/>
              <w:rPr>
                <w:rFonts w:ascii="宋体" w:hAnsi="宋体" w:cs="宋体"/>
                <w:sz w:val="28"/>
                <w:szCs w:val="28"/>
              </w:rPr>
            </w:pPr>
            <w:r>
              <w:rPr>
                <w:rFonts w:hint="eastAsia" w:ascii="宋体" w:hAnsi="宋体" w:cs="宋体"/>
                <w:sz w:val="28"/>
                <w:szCs w:val="28"/>
              </w:rPr>
              <w:t>1</w:t>
            </w:r>
          </w:p>
        </w:tc>
        <w:tc>
          <w:tcPr>
            <w:tcW w:w="2588" w:type="dxa"/>
            <w:vAlign w:val="center"/>
          </w:tcPr>
          <w:p w14:paraId="6A8EC2A7">
            <w:pPr>
              <w:spacing w:before="120" w:after="120" w:line="288" w:lineRule="auto"/>
              <w:jc w:val="center"/>
              <w:rPr>
                <w:rFonts w:ascii="宋体" w:hAnsi="宋体" w:cs="宋体"/>
                <w:sz w:val="28"/>
                <w:szCs w:val="28"/>
              </w:rPr>
            </w:pPr>
            <w:r>
              <w:rPr>
                <w:rFonts w:hint="eastAsia" w:ascii="宋体" w:hAnsi="宋体" w:cs="宋体"/>
                <w:sz w:val="28"/>
                <w:szCs w:val="28"/>
              </w:rPr>
              <w:t>注水式防洪箱</w:t>
            </w:r>
          </w:p>
        </w:tc>
        <w:tc>
          <w:tcPr>
            <w:tcW w:w="1637" w:type="dxa"/>
            <w:vAlign w:val="center"/>
          </w:tcPr>
          <w:p w14:paraId="504570CC">
            <w:pPr>
              <w:spacing w:before="120" w:after="120" w:line="288" w:lineRule="auto"/>
              <w:jc w:val="center"/>
              <w:rPr>
                <w:rFonts w:ascii="宋体" w:hAnsi="宋体" w:cs="宋体"/>
                <w:sz w:val="28"/>
                <w:szCs w:val="28"/>
              </w:rPr>
            </w:pPr>
            <w:r>
              <w:rPr>
                <w:rFonts w:hint="eastAsia" w:ascii="宋体" w:hAnsi="宋体" w:cs="宋体"/>
                <w:sz w:val="28"/>
                <w:szCs w:val="28"/>
              </w:rPr>
              <w:t>100</w:t>
            </w:r>
          </w:p>
        </w:tc>
        <w:tc>
          <w:tcPr>
            <w:tcW w:w="1637" w:type="dxa"/>
            <w:vAlign w:val="center"/>
          </w:tcPr>
          <w:p w14:paraId="50E0C652">
            <w:pPr>
              <w:snapToGrid w:val="0"/>
              <w:spacing w:line="420" w:lineRule="exact"/>
              <w:ind w:left="1322" w:hanging="1321" w:hangingChars="472"/>
              <w:jc w:val="center"/>
              <w:rPr>
                <w:rFonts w:ascii="宋体" w:hAnsi="宋体" w:cs="宋体"/>
                <w:sz w:val="28"/>
                <w:szCs w:val="28"/>
              </w:rPr>
            </w:pPr>
          </w:p>
        </w:tc>
        <w:tc>
          <w:tcPr>
            <w:tcW w:w="1785" w:type="dxa"/>
            <w:vAlign w:val="center"/>
          </w:tcPr>
          <w:p w14:paraId="63099687">
            <w:pPr>
              <w:snapToGrid w:val="0"/>
              <w:spacing w:line="420" w:lineRule="exact"/>
              <w:ind w:left="1322" w:hanging="1321" w:hangingChars="472"/>
              <w:jc w:val="center"/>
              <w:rPr>
                <w:rFonts w:ascii="宋体" w:hAnsi="宋体" w:cs="宋体"/>
                <w:sz w:val="28"/>
                <w:szCs w:val="28"/>
              </w:rPr>
            </w:pPr>
          </w:p>
        </w:tc>
      </w:tr>
      <w:tr w14:paraId="74C7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7" w:type="dxa"/>
            <w:vAlign w:val="center"/>
          </w:tcPr>
          <w:p w14:paraId="01ECFAAF">
            <w:pPr>
              <w:snapToGrid w:val="0"/>
              <w:spacing w:line="420" w:lineRule="exact"/>
              <w:ind w:left="2"/>
              <w:jc w:val="center"/>
              <w:rPr>
                <w:rFonts w:ascii="宋体" w:hAnsi="宋体" w:cs="宋体"/>
                <w:sz w:val="28"/>
                <w:szCs w:val="28"/>
              </w:rPr>
            </w:pPr>
            <w:r>
              <w:rPr>
                <w:rFonts w:hint="eastAsia" w:ascii="宋体" w:hAnsi="宋体" w:cs="宋体"/>
                <w:sz w:val="28"/>
                <w:szCs w:val="28"/>
              </w:rPr>
              <w:t>2</w:t>
            </w:r>
          </w:p>
        </w:tc>
        <w:tc>
          <w:tcPr>
            <w:tcW w:w="2588" w:type="dxa"/>
            <w:vAlign w:val="center"/>
          </w:tcPr>
          <w:p w14:paraId="3859B55B">
            <w:pPr>
              <w:spacing w:before="120" w:after="120" w:line="288" w:lineRule="auto"/>
              <w:jc w:val="center"/>
              <w:rPr>
                <w:rFonts w:ascii="宋体" w:hAnsi="宋体" w:cs="宋体"/>
                <w:sz w:val="28"/>
                <w:szCs w:val="28"/>
              </w:rPr>
            </w:pPr>
            <w:r>
              <w:rPr>
                <w:rFonts w:hint="eastAsia" w:ascii="宋体" w:hAnsi="宋体" w:cs="宋体"/>
                <w:sz w:val="28"/>
                <w:szCs w:val="28"/>
              </w:rPr>
              <w:t>L型挡水板</w:t>
            </w:r>
          </w:p>
        </w:tc>
        <w:tc>
          <w:tcPr>
            <w:tcW w:w="1637" w:type="dxa"/>
            <w:vAlign w:val="center"/>
          </w:tcPr>
          <w:p w14:paraId="7D6EA998">
            <w:pPr>
              <w:spacing w:before="120" w:after="120" w:line="288" w:lineRule="auto"/>
              <w:jc w:val="center"/>
              <w:rPr>
                <w:rFonts w:ascii="宋体" w:hAnsi="宋体" w:cs="宋体"/>
                <w:sz w:val="28"/>
                <w:szCs w:val="28"/>
              </w:rPr>
            </w:pPr>
            <w:r>
              <w:rPr>
                <w:rFonts w:hint="eastAsia" w:ascii="宋体" w:hAnsi="宋体" w:cs="宋体"/>
                <w:sz w:val="28"/>
                <w:szCs w:val="28"/>
              </w:rPr>
              <w:t>400</w:t>
            </w:r>
          </w:p>
        </w:tc>
        <w:tc>
          <w:tcPr>
            <w:tcW w:w="1637" w:type="dxa"/>
            <w:vAlign w:val="center"/>
          </w:tcPr>
          <w:p w14:paraId="4601A595">
            <w:pPr>
              <w:snapToGrid w:val="0"/>
              <w:spacing w:line="420" w:lineRule="exact"/>
              <w:ind w:left="1322" w:hanging="1321" w:hangingChars="472"/>
              <w:jc w:val="center"/>
              <w:rPr>
                <w:rFonts w:ascii="宋体" w:hAnsi="宋体" w:cs="宋体"/>
                <w:sz w:val="28"/>
                <w:szCs w:val="28"/>
              </w:rPr>
            </w:pPr>
          </w:p>
        </w:tc>
        <w:tc>
          <w:tcPr>
            <w:tcW w:w="1785" w:type="dxa"/>
            <w:vAlign w:val="center"/>
          </w:tcPr>
          <w:p w14:paraId="44DB817B">
            <w:pPr>
              <w:snapToGrid w:val="0"/>
              <w:spacing w:line="420" w:lineRule="exact"/>
              <w:ind w:left="1322" w:hanging="1321" w:hangingChars="472"/>
              <w:jc w:val="center"/>
              <w:rPr>
                <w:rFonts w:ascii="宋体" w:hAnsi="宋体" w:cs="宋体"/>
                <w:sz w:val="28"/>
                <w:szCs w:val="28"/>
              </w:rPr>
            </w:pPr>
          </w:p>
        </w:tc>
      </w:tr>
      <w:tr w14:paraId="1293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7" w:type="dxa"/>
            <w:vAlign w:val="center"/>
          </w:tcPr>
          <w:p w14:paraId="7DAD2420">
            <w:pPr>
              <w:snapToGrid w:val="0"/>
              <w:spacing w:line="420" w:lineRule="exact"/>
              <w:ind w:left="2"/>
              <w:jc w:val="center"/>
              <w:rPr>
                <w:rFonts w:ascii="宋体" w:hAnsi="宋体" w:cs="宋体"/>
                <w:sz w:val="28"/>
                <w:szCs w:val="28"/>
              </w:rPr>
            </w:pPr>
            <w:r>
              <w:rPr>
                <w:rFonts w:hint="eastAsia" w:ascii="宋体" w:hAnsi="宋体" w:cs="宋体"/>
                <w:sz w:val="28"/>
                <w:szCs w:val="28"/>
              </w:rPr>
              <w:t>3</w:t>
            </w:r>
          </w:p>
        </w:tc>
        <w:tc>
          <w:tcPr>
            <w:tcW w:w="2588" w:type="dxa"/>
            <w:vAlign w:val="center"/>
          </w:tcPr>
          <w:p w14:paraId="077B1A40">
            <w:pPr>
              <w:spacing w:before="120" w:after="120" w:line="288" w:lineRule="auto"/>
              <w:jc w:val="center"/>
              <w:rPr>
                <w:rFonts w:ascii="宋体" w:hAnsi="宋体" w:cs="宋体"/>
                <w:sz w:val="28"/>
                <w:szCs w:val="28"/>
              </w:rPr>
            </w:pPr>
            <w:r>
              <w:rPr>
                <w:rFonts w:hint="eastAsia" w:ascii="宋体" w:hAnsi="宋体" w:cs="宋体"/>
                <w:sz w:val="28"/>
                <w:szCs w:val="28"/>
              </w:rPr>
              <w:t>防汛沙袋</w:t>
            </w:r>
          </w:p>
        </w:tc>
        <w:tc>
          <w:tcPr>
            <w:tcW w:w="1637" w:type="dxa"/>
            <w:vAlign w:val="center"/>
          </w:tcPr>
          <w:p w14:paraId="0ECF7244">
            <w:pPr>
              <w:spacing w:before="120" w:after="120" w:line="288" w:lineRule="auto"/>
              <w:jc w:val="center"/>
              <w:rPr>
                <w:rFonts w:ascii="宋体" w:hAnsi="宋体" w:cs="宋体"/>
                <w:sz w:val="28"/>
                <w:szCs w:val="28"/>
              </w:rPr>
            </w:pPr>
            <w:r>
              <w:rPr>
                <w:rFonts w:hint="eastAsia" w:ascii="宋体" w:hAnsi="宋体" w:cs="宋体"/>
                <w:sz w:val="28"/>
                <w:szCs w:val="28"/>
              </w:rPr>
              <w:t>5000</w:t>
            </w:r>
          </w:p>
        </w:tc>
        <w:tc>
          <w:tcPr>
            <w:tcW w:w="1637" w:type="dxa"/>
            <w:vAlign w:val="center"/>
          </w:tcPr>
          <w:p w14:paraId="4A067CC6">
            <w:pPr>
              <w:snapToGrid w:val="0"/>
              <w:spacing w:line="420" w:lineRule="exact"/>
              <w:ind w:left="1322" w:hanging="1321" w:hangingChars="472"/>
              <w:jc w:val="center"/>
              <w:rPr>
                <w:rFonts w:ascii="宋体" w:hAnsi="宋体" w:cs="宋体"/>
                <w:sz w:val="28"/>
                <w:szCs w:val="28"/>
              </w:rPr>
            </w:pPr>
          </w:p>
        </w:tc>
        <w:tc>
          <w:tcPr>
            <w:tcW w:w="1785" w:type="dxa"/>
            <w:vAlign w:val="center"/>
          </w:tcPr>
          <w:p w14:paraId="37AC2097">
            <w:pPr>
              <w:snapToGrid w:val="0"/>
              <w:spacing w:line="420" w:lineRule="exact"/>
              <w:ind w:left="1322" w:hanging="1321" w:hangingChars="472"/>
              <w:jc w:val="center"/>
              <w:rPr>
                <w:rFonts w:ascii="宋体" w:hAnsi="宋体" w:cs="宋体"/>
                <w:sz w:val="28"/>
                <w:szCs w:val="28"/>
              </w:rPr>
            </w:pPr>
          </w:p>
        </w:tc>
      </w:tr>
      <w:tr w14:paraId="2683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7" w:type="dxa"/>
            <w:vAlign w:val="center"/>
          </w:tcPr>
          <w:p w14:paraId="516C0E1D">
            <w:pPr>
              <w:snapToGrid w:val="0"/>
              <w:spacing w:line="420" w:lineRule="exact"/>
              <w:ind w:left="2"/>
              <w:jc w:val="center"/>
              <w:rPr>
                <w:rFonts w:ascii="宋体" w:hAnsi="宋体" w:cs="宋体"/>
                <w:sz w:val="28"/>
                <w:szCs w:val="28"/>
              </w:rPr>
            </w:pPr>
            <w:r>
              <w:rPr>
                <w:rFonts w:hint="eastAsia" w:ascii="宋体" w:hAnsi="宋体" w:cs="宋体"/>
                <w:sz w:val="28"/>
                <w:szCs w:val="28"/>
              </w:rPr>
              <w:t>4</w:t>
            </w:r>
          </w:p>
        </w:tc>
        <w:tc>
          <w:tcPr>
            <w:tcW w:w="2588" w:type="dxa"/>
            <w:vAlign w:val="center"/>
          </w:tcPr>
          <w:p w14:paraId="74338411">
            <w:pPr>
              <w:snapToGrid w:val="0"/>
              <w:spacing w:line="420" w:lineRule="exact"/>
              <w:ind w:left="1322" w:hanging="1321" w:hangingChars="472"/>
              <w:jc w:val="center"/>
              <w:rPr>
                <w:rFonts w:ascii="宋体" w:hAnsi="宋体" w:cs="宋体"/>
                <w:sz w:val="28"/>
                <w:szCs w:val="28"/>
              </w:rPr>
            </w:pPr>
            <w:r>
              <w:rPr>
                <w:rFonts w:hint="eastAsia" w:ascii="宋体" w:hAnsi="宋体" w:cs="宋体"/>
                <w:sz w:val="28"/>
                <w:szCs w:val="28"/>
              </w:rPr>
              <w:t>总计</w:t>
            </w:r>
          </w:p>
        </w:tc>
        <w:tc>
          <w:tcPr>
            <w:tcW w:w="5059" w:type="dxa"/>
            <w:gridSpan w:val="3"/>
            <w:vAlign w:val="center"/>
          </w:tcPr>
          <w:p w14:paraId="730571F8">
            <w:pPr>
              <w:snapToGrid w:val="0"/>
              <w:spacing w:line="420" w:lineRule="exact"/>
              <w:ind w:left="1322" w:hanging="1321" w:hangingChars="472"/>
              <w:jc w:val="center"/>
              <w:rPr>
                <w:rFonts w:ascii="宋体" w:hAnsi="宋体" w:cs="宋体"/>
                <w:sz w:val="28"/>
                <w:szCs w:val="28"/>
              </w:rPr>
            </w:pPr>
          </w:p>
        </w:tc>
      </w:tr>
      <w:tr w14:paraId="54A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7" w:type="dxa"/>
            <w:vAlign w:val="center"/>
          </w:tcPr>
          <w:p w14:paraId="1ADA1076">
            <w:pPr>
              <w:snapToGrid w:val="0"/>
              <w:spacing w:line="420" w:lineRule="exact"/>
              <w:ind w:left="2"/>
              <w:jc w:val="center"/>
              <w:rPr>
                <w:rFonts w:ascii="宋体" w:hAnsi="宋体" w:cs="宋体"/>
                <w:sz w:val="28"/>
                <w:szCs w:val="28"/>
              </w:rPr>
            </w:pPr>
          </w:p>
        </w:tc>
        <w:tc>
          <w:tcPr>
            <w:tcW w:w="7647" w:type="dxa"/>
            <w:gridSpan w:val="4"/>
            <w:vAlign w:val="center"/>
          </w:tcPr>
          <w:p w14:paraId="3EC7FA5A">
            <w:pPr>
              <w:snapToGrid w:val="0"/>
              <w:spacing w:line="420" w:lineRule="exact"/>
              <w:ind w:left="2"/>
              <w:rPr>
                <w:rFonts w:ascii="宋体" w:hAnsi="宋体" w:cs="宋体"/>
                <w:sz w:val="28"/>
                <w:szCs w:val="28"/>
              </w:rPr>
            </w:pPr>
            <w:r>
              <w:rPr>
                <w:rFonts w:hint="eastAsia" w:ascii="宋体" w:hAnsi="宋体" w:cs="宋体"/>
                <w:sz w:val="28"/>
                <w:szCs w:val="28"/>
              </w:rPr>
              <w:t>付款等要求：完全接受并响应本项目采购文件的要求。</w:t>
            </w:r>
          </w:p>
        </w:tc>
      </w:tr>
    </w:tbl>
    <w:p w14:paraId="1220DFAA">
      <w:pPr>
        <w:spacing w:line="460" w:lineRule="exact"/>
        <w:rPr>
          <w:rFonts w:ascii="宋体" w:hAnsi="宋体" w:cs="宋体"/>
          <w:kern w:val="0"/>
          <w:sz w:val="28"/>
          <w:szCs w:val="28"/>
        </w:rPr>
      </w:pPr>
    </w:p>
    <w:p w14:paraId="2D441B9F">
      <w:pPr>
        <w:spacing w:line="460" w:lineRule="exact"/>
        <w:rPr>
          <w:rFonts w:ascii="宋体" w:hAnsi="宋体" w:cs="宋体"/>
          <w:kern w:val="0"/>
          <w:sz w:val="28"/>
          <w:szCs w:val="28"/>
        </w:rPr>
      </w:pPr>
      <w:r>
        <w:rPr>
          <w:rFonts w:hint="eastAsia" w:ascii="宋体" w:hAnsi="宋体" w:cs="宋体"/>
          <w:kern w:val="0"/>
          <w:sz w:val="28"/>
          <w:szCs w:val="28"/>
        </w:rPr>
        <w:t>日期：</w:t>
      </w:r>
    </w:p>
    <w:p w14:paraId="0443DBBD">
      <w:pPr>
        <w:spacing w:line="460" w:lineRule="exact"/>
        <w:rPr>
          <w:rFonts w:ascii="宋体" w:hAnsi="宋体" w:cs="宋体"/>
          <w:kern w:val="0"/>
          <w:sz w:val="28"/>
          <w:szCs w:val="28"/>
        </w:rPr>
      </w:pPr>
      <w:r>
        <w:rPr>
          <w:rFonts w:hint="eastAsia" w:ascii="宋体" w:hAnsi="宋体" w:cs="宋体"/>
          <w:kern w:val="0"/>
          <w:sz w:val="28"/>
          <w:szCs w:val="28"/>
        </w:rPr>
        <w:t>填写说明：</w:t>
      </w:r>
    </w:p>
    <w:p w14:paraId="3F296654">
      <w:pPr>
        <w:spacing w:line="460" w:lineRule="exact"/>
        <w:rPr>
          <w:rFonts w:ascii="宋体" w:hAnsi="宋体" w:cs="宋体"/>
          <w:kern w:val="0"/>
          <w:sz w:val="28"/>
          <w:szCs w:val="28"/>
        </w:rPr>
      </w:pPr>
      <w:r>
        <w:rPr>
          <w:rFonts w:hint="eastAsia" w:ascii="宋体" w:hAnsi="宋体" w:cs="宋体"/>
          <w:kern w:val="0"/>
          <w:sz w:val="28"/>
          <w:szCs w:val="28"/>
        </w:rPr>
        <w:t>1.报价总表必须加盖供应商公章（复印件无效）。</w:t>
      </w:r>
    </w:p>
    <w:p w14:paraId="158D5050">
      <w:pPr>
        <w:kinsoku w:val="0"/>
        <w:topLinePunct/>
        <w:snapToGrid w:val="0"/>
        <w:spacing w:line="420" w:lineRule="exact"/>
        <w:rPr>
          <w:rFonts w:ascii="宋体" w:hAnsi="宋体" w:cs="宋体"/>
          <w:b w:val="0"/>
          <w:bCs/>
          <w:sz w:val="28"/>
          <w:szCs w:val="28"/>
        </w:rPr>
      </w:pPr>
      <w:r>
        <w:rPr>
          <w:rFonts w:hint="eastAsia" w:ascii="宋体" w:hAnsi="宋体" w:cs="宋体"/>
          <w:b w:val="0"/>
          <w:bCs/>
          <w:sz w:val="28"/>
          <w:szCs w:val="28"/>
        </w:rPr>
        <w:t>注：</w:t>
      </w:r>
    </w:p>
    <w:p w14:paraId="505CA647">
      <w:pPr>
        <w:spacing w:line="460" w:lineRule="exact"/>
        <w:rPr>
          <w:rFonts w:ascii="宋体" w:hAnsi="宋体" w:cs="宋体"/>
          <w:kern w:val="0"/>
          <w:sz w:val="28"/>
          <w:szCs w:val="28"/>
        </w:rPr>
      </w:pPr>
      <w:r>
        <w:rPr>
          <w:rFonts w:hint="eastAsia" w:ascii="宋体" w:hAnsi="宋体" w:cs="宋体"/>
          <w:kern w:val="0"/>
          <w:sz w:val="28"/>
          <w:szCs w:val="28"/>
        </w:rPr>
        <w:t>（1）本表为格式表，不得自行改动，必须提供。</w:t>
      </w:r>
    </w:p>
    <w:p w14:paraId="122EE947">
      <w:pPr>
        <w:spacing w:line="460" w:lineRule="exact"/>
        <w:rPr>
          <w:rFonts w:ascii="宋体" w:hAnsi="宋体" w:cs="宋体"/>
          <w:kern w:val="0"/>
          <w:sz w:val="28"/>
          <w:szCs w:val="28"/>
        </w:rPr>
      </w:pPr>
      <w:r>
        <w:rPr>
          <w:rFonts w:hint="eastAsia" w:ascii="宋体" w:hAnsi="宋体" w:cs="宋体"/>
          <w:kern w:val="0"/>
          <w:sz w:val="28"/>
          <w:szCs w:val="28"/>
        </w:rPr>
        <w:t>（2）报价应包括供应商完成本项目的所有工作内容一切费用。</w:t>
      </w:r>
      <w:r>
        <w:rPr>
          <w:rFonts w:hint="eastAsia" w:ascii="宋体" w:hAnsi="宋体" w:cs="宋体"/>
          <w:b w:val="0"/>
          <w:bCs/>
          <w:sz w:val="28"/>
          <w:szCs w:val="28"/>
          <w:lang w:val="en-US" w:eastAsia="zh-CN"/>
        </w:rPr>
        <w:t>包括但不限于产品费、包装费、运输费、装卸费、利润、税金及其他为完成本项目而发生的各种费用。供应商应充分考虑到市场价格变动，以及项目实施过程中的不可预见因素，一旦成交，价格不变。</w:t>
      </w:r>
    </w:p>
    <w:p w14:paraId="6024A7C4">
      <w:pPr>
        <w:rPr>
          <w:rFonts w:ascii="宋体" w:hAnsi="宋体" w:cs="宋体"/>
          <w:kern w:val="0"/>
          <w:sz w:val="28"/>
          <w:szCs w:val="28"/>
        </w:rPr>
      </w:pPr>
      <w:r>
        <w:rPr>
          <w:rFonts w:hint="eastAsia" w:ascii="宋体" w:hAnsi="宋体" w:cs="宋体"/>
          <w:kern w:val="0"/>
          <w:sz w:val="28"/>
          <w:szCs w:val="28"/>
        </w:rPr>
        <w:br w:type="page"/>
      </w:r>
    </w:p>
    <w:p w14:paraId="2278C8D3">
      <w:pPr>
        <w:snapToGrid w:val="0"/>
        <w:spacing w:line="400" w:lineRule="exact"/>
        <w:contextualSpacing/>
        <w:rPr>
          <w:rFonts w:ascii="宋体" w:hAnsi="宋体" w:cs="宋体"/>
          <w:kern w:val="0"/>
          <w:sz w:val="28"/>
          <w:szCs w:val="28"/>
        </w:rPr>
      </w:pPr>
      <w:r>
        <w:rPr>
          <w:rFonts w:hint="eastAsia" w:ascii="宋体" w:hAnsi="宋体" w:cs="宋体"/>
          <w:kern w:val="0"/>
          <w:sz w:val="28"/>
          <w:szCs w:val="28"/>
        </w:rPr>
        <w:t>附件6</w:t>
      </w:r>
    </w:p>
    <w:p w14:paraId="0B3B5F10">
      <w:pPr>
        <w:snapToGrid w:val="0"/>
        <w:spacing w:line="300" w:lineRule="auto"/>
        <w:jc w:val="center"/>
        <w:rPr>
          <w:rFonts w:ascii="宋体" w:hAnsi="宋体" w:cs="宋体"/>
          <w:b/>
          <w:bCs/>
          <w:sz w:val="28"/>
          <w:szCs w:val="28"/>
          <w:lang w:bidi="zh-CN"/>
        </w:rPr>
      </w:pPr>
      <w:r>
        <w:rPr>
          <w:rFonts w:hint="eastAsia" w:ascii="宋体" w:hAnsi="宋体" w:cs="宋体"/>
          <w:b/>
          <w:bCs/>
          <w:sz w:val="28"/>
          <w:szCs w:val="28"/>
          <w:lang w:bidi="zh-CN"/>
        </w:rPr>
        <w:t>中小企业声明函（货物）</w:t>
      </w:r>
    </w:p>
    <w:p w14:paraId="6B43733A">
      <w:pPr>
        <w:pStyle w:val="2"/>
        <w:spacing w:before="55" w:line="440" w:lineRule="exact"/>
        <w:ind w:right="415" w:firstLine="480"/>
        <w:rPr>
          <w:rFonts w:ascii="宋体" w:hAnsi="宋体" w:eastAsia="宋体" w:cs="宋体"/>
          <w:szCs w:val="24"/>
        </w:rPr>
      </w:pPr>
      <w:r>
        <w:rPr>
          <w:rFonts w:hint="eastAsia" w:ascii="宋体" w:hAnsi="宋体" w:eastAsia="宋体" w:cs="宋体"/>
          <w:szCs w:val="24"/>
        </w:rPr>
        <w:t>本公司郑重声明，根据《政府采购促进中小企业发展管理办法》（财库﹝2020﹞46 号）的规定，本公司参加</w:t>
      </w:r>
      <w:r>
        <w:rPr>
          <w:rFonts w:hint="eastAsia" w:ascii="宋体" w:hAnsi="宋体" w:eastAsia="宋体" w:cs="宋体"/>
          <w:szCs w:val="24"/>
          <w:u w:val="single"/>
        </w:rPr>
        <w:t xml:space="preserve">     </w:t>
      </w:r>
      <w:r>
        <w:rPr>
          <w:rFonts w:hint="eastAsia" w:ascii="宋体" w:hAnsi="宋体" w:eastAsia="宋体" w:cs="宋体"/>
          <w:szCs w:val="24"/>
        </w:rPr>
        <w:t>的</w:t>
      </w:r>
      <w:r>
        <w:rPr>
          <w:rFonts w:hint="eastAsia" w:ascii="宋体" w:hAnsi="宋体" w:eastAsia="宋体" w:cs="宋体"/>
          <w:szCs w:val="24"/>
          <w:u w:val="single"/>
        </w:rPr>
        <w:t xml:space="preserve">       </w:t>
      </w:r>
      <w:r>
        <w:rPr>
          <w:rFonts w:hint="eastAsia" w:ascii="宋体" w:hAnsi="宋体" w:eastAsia="宋体" w:cs="宋体"/>
          <w:szCs w:val="24"/>
        </w:rPr>
        <w:t>的采购活动，提供的货物全部由符合政策要求的中小企业制造。相关企业的具体情况如下：</w:t>
      </w:r>
    </w:p>
    <w:p w14:paraId="70FC3C33">
      <w:pPr>
        <w:pStyle w:val="98"/>
        <w:tabs>
          <w:tab w:val="left" w:pos="1183"/>
          <w:tab w:val="left" w:pos="1484"/>
          <w:tab w:val="left" w:pos="4662"/>
          <w:tab w:val="left" w:pos="6903"/>
        </w:tabs>
        <w:spacing w:line="440" w:lineRule="exact"/>
        <w:ind w:right="169" w:firstLine="480"/>
        <w:rPr>
          <w:rFonts w:ascii="宋体" w:hAnsi="宋体" w:cs="宋体"/>
          <w:sz w:val="24"/>
        </w:rPr>
      </w:pPr>
      <w:r>
        <w:rPr>
          <w:rFonts w:hint="eastAsia" w:ascii="宋体" w:hAnsi="宋体" w:cs="宋体"/>
          <w:sz w:val="24"/>
        </w:rPr>
        <w:t xml:space="preserve">1.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w:t>
      </w:r>
      <w:r>
        <w:rPr>
          <w:rFonts w:hint="eastAsia" w:ascii="宋体" w:hAnsi="宋体" w:cs="宋体"/>
          <w:b/>
          <w:bCs/>
          <w:sz w:val="24"/>
        </w:rPr>
        <w:t>制造商</w:t>
      </w:r>
      <w:r>
        <w:rPr>
          <w:rFonts w:hint="eastAsia" w:ascii="宋体" w:hAnsi="宋体" w:cs="宋体"/>
          <w:sz w:val="24"/>
        </w:rPr>
        <w:t>为</w:t>
      </w:r>
      <w:r>
        <w:rPr>
          <w:rFonts w:hint="eastAsia" w:ascii="宋体" w:hAnsi="宋体" w:cs="宋体"/>
          <w:sz w:val="24"/>
          <w:u w:val="single"/>
        </w:rPr>
        <w:t xml:space="preserve">    （企业名称）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w:t>
      </w:r>
    </w:p>
    <w:p w14:paraId="05E97F73">
      <w:pPr>
        <w:pStyle w:val="98"/>
        <w:tabs>
          <w:tab w:val="left" w:pos="1165"/>
          <w:tab w:val="left" w:pos="1183"/>
          <w:tab w:val="left" w:pos="4362"/>
          <w:tab w:val="left" w:pos="6577"/>
        </w:tabs>
        <w:spacing w:line="440" w:lineRule="exact"/>
        <w:ind w:right="169" w:firstLine="48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w:t>
      </w:r>
      <w:r>
        <w:rPr>
          <w:rFonts w:hint="eastAsia" w:ascii="宋体" w:hAnsi="宋体" w:cs="宋体"/>
          <w:b/>
          <w:bCs/>
          <w:sz w:val="24"/>
        </w:rPr>
        <w:t>制造商</w:t>
      </w:r>
      <w:r>
        <w:rPr>
          <w:rFonts w:hint="eastAsia" w:ascii="宋体" w:hAnsi="宋体" w:cs="宋体"/>
          <w:sz w:val="24"/>
        </w:rPr>
        <w:t>为</w:t>
      </w:r>
      <w:r>
        <w:rPr>
          <w:rFonts w:hint="eastAsia" w:ascii="宋体" w:hAnsi="宋体" w:cs="宋体"/>
          <w:sz w:val="24"/>
          <w:u w:val="single"/>
        </w:rPr>
        <w:t xml:space="preserve">    （企业名称）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w:t>
      </w:r>
    </w:p>
    <w:p w14:paraId="3AA44B93">
      <w:pPr>
        <w:pStyle w:val="98"/>
        <w:tabs>
          <w:tab w:val="left" w:pos="1165"/>
          <w:tab w:val="left" w:pos="1183"/>
          <w:tab w:val="left" w:pos="4362"/>
          <w:tab w:val="left" w:pos="6577"/>
        </w:tabs>
        <w:spacing w:line="440" w:lineRule="exact"/>
        <w:ind w:right="169" w:firstLine="480"/>
        <w:rPr>
          <w:rFonts w:ascii="宋体" w:hAnsi="宋体" w:cs="宋体"/>
          <w:sz w:val="24"/>
        </w:rPr>
      </w:pPr>
      <w:r>
        <w:rPr>
          <w:rFonts w:hint="eastAsia" w:ascii="宋体" w:hAnsi="宋体" w:cs="宋体"/>
          <w:sz w:val="24"/>
        </w:rPr>
        <w:t>3.</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w:t>
      </w:r>
      <w:r>
        <w:rPr>
          <w:rFonts w:hint="eastAsia" w:ascii="宋体" w:hAnsi="宋体" w:cs="宋体"/>
          <w:b/>
          <w:bCs/>
          <w:sz w:val="24"/>
        </w:rPr>
        <w:t>制造商</w:t>
      </w:r>
      <w:r>
        <w:rPr>
          <w:rFonts w:hint="eastAsia" w:ascii="宋体" w:hAnsi="宋体" w:cs="宋体"/>
          <w:sz w:val="24"/>
        </w:rPr>
        <w:t>为</w:t>
      </w:r>
      <w:r>
        <w:rPr>
          <w:rFonts w:hint="eastAsia" w:ascii="宋体" w:hAnsi="宋体" w:cs="宋体"/>
          <w:sz w:val="24"/>
          <w:u w:val="single"/>
        </w:rPr>
        <w:t xml:space="preserve">    （企业名称）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w:t>
      </w:r>
    </w:p>
    <w:p w14:paraId="6A54D5E2">
      <w:pPr>
        <w:pStyle w:val="98"/>
        <w:tabs>
          <w:tab w:val="left" w:pos="1165"/>
          <w:tab w:val="left" w:pos="1183"/>
          <w:tab w:val="left" w:pos="4362"/>
          <w:tab w:val="left" w:pos="6577"/>
        </w:tabs>
        <w:spacing w:line="440" w:lineRule="exact"/>
        <w:ind w:right="169" w:firstLine="480"/>
        <w:rPr>
          <w:rFonts w:ascii="宋体" w:hAnsi="宋体" w:cs="宋体"/>
          <w:sz w:val="24"/>
        </w:rPr>
      </w:pPr>
      <w:r>
        <w:rPr>
          <w:rFonts w:hint="eastAsia" w:ascii="宋体" w:hAnsi="宋体" w:cs="宋体"/>
          <w:sz w:val="24"/>
        </w:rPr>
        <w:t>…………</w:t>
      </w:r>
    </w:p>
    <w:p w14:paraId="409E95D5">
      <w:pPr>
        <w:pStyle w:val="2"/>
        <w:spacing w:before="105" w:line="440" w:lineRule="exact"/>
        <w:ind w:right="417" w:firstLine="482"/>
        <w:rPr>
          <w:rFonts w:ascii="宋体" w:hAnsi="宋体" w:eastAsia="宋体" w:cs="宋体"/>
          <w:szCs w:val="24"/>
        </w:rPr>
      </w:pPr>
      <w:r>
        <w:rPr>
          <w:rFonts w:hint="eastAsia" w:ascii="宋体" w:hAnsi="宋体" w:eastAsia="宋体" w:cs="宋体"/>
          <w:b/>
          <w:bCs/>
          <w:szCs w:val="24"/>
        </w:rPr>
        <w:t>以上企业，不属于大企业的分支机构，不存在控股股东为大企业的情形，也不存在与大企业的负责人为同一人的情形</w:t>
      </w:r>
      <w:r>
        <w:rPr>
          <w:rFonts w:hint="eastAsia" w:ascii="宋体" w:hAnsi="宋体" w:eastAsia="宋体" w:cs="宋体"/>
          <w:szCs w:val="24"/>
        </w:rPr>
        <w:t>。</w:t>
      </w:r>
    </w:p>
    <w:p w14:paraId="528D64FA">
      <w:pPr>
        <w:pStyle w:val="2"/>
        <w:spacing w:line="440" w:lineRule="exact"/>
        <w:ind w:right="420" w:firstLine="456"/>
        <w:rPr>
          <w:rFonts w:ascii="宋体" w:hAnsi="宋体" w:eastAsia="宋体" w:cs="宋体"/>
          <w:szCs w:val="24"/>
        </w:rPr>
      </w:pPr>
      <w:r>
        <w:rPr>
          <w:rFonts w:hint="eastAsia" w:ascii="宋体" w:hAnsi="宋体" w:eastAsia="宋体" w:cs="宋体"/>
          <w:szCs w:val="24"/>
        </w:rPr>
        <w:t>本公司对上述声明内容的真实性负责。如有虚假，将依法承担相应责任。</w:t>
      </w:r>
    </w:p>
    <w:p w14:paraId="09BDD7E7">
      <w:pPr>
        <w:pStyle w:val="2"/>
        <w:spacing w:line="440" w:lineRule="exact"/>
        <w:ind w:right="420" w:firstLine="456"/>
        <w:jc w:val="right"/>
        <w:rPr>
          <w:rFonts w:ascii="宋体" w:hAnsi="宋体" w:eastAsia="宋体" w:cs="宋体"/>
          <w:szCs w:val="24"/>
        </w:rPr>
      </w:pPr>
      <w:r>
        <w:rPr>
          <w:rFonts w:hint="eastAsia" w:ascii="宋体" w:hAnsi="宋体" w:eastAsia="宋体" w:cs="宋体"/>
          <w:szCs w:val="24"/>
        </w:rPr>
        <w:t>投标人（加盖公章）：</w:t>
      </w:r>
    </w:p>
    <w:p w14:paraId="09196AF7">
      <w:pPr>
        <w:pStyle w:val="2"/>
        <w:spacing w:line="440" w:lineRule="exact"/>
        <w:ind w:right="420" w:firstLine="456"/>
        <w:jc w:val="right"/>
        <w:rPr>
          <w:rFonts w:ascii="宋体" w:hAnsi="宋体" w:eastAsia="宋体" w:cs="宋体"/>
          <w:szCs w:val="24"/>
        </w:rPr>
      </w:pPr>
      <w:r>
        <w:rPr>
          <w:rFonts w:hint="eastAsia" w:ascii="宋体" w:hAnsi="宋体" w:eastAsia="宋体" w:cs="宋体"/>
          <w:szCs w:val="24"/>
        </w:rPr>
        <w:t>日 期：</w:t>
      </w:r>
    </w:p>
    <w:p w14:paraId="2CDABD3C">
      <w:pPr>
        <w:spacing w:line="440" w:lineRule="exact"/>
        <w:ind w:firstLine="494"/>
        <w:rPr>
          <w:rFonts w:ascii="宋体" w:hAnsi="宋体" w:cs="宋体"/>
          <w:sz w:val="24"/>
        </w:rPr>
      </w:pPr>
      <w:r>
        <w:rPr>
          <w:rFonts w:hint="eastAsia" w:ascii="宋体" w:hAnsi="宋体" w:cs="宋体"/>
          <w:sz w:val="24"/>
        </w:rPr>
        <w:t>注：</w:t>
      </w:r>
    </w:p>
    <w:p w14:paraId="28BA12F0">
      <w:pPr>
        <w:snapToGrid w:val="0"/>
        <w:spacing w:line="300" w:lineRule="auto"/>
        <w:rPr>
          <w:rFonts w:ascii="宋体" w:hAnsi="宋体" w:cs="宋体"/>
          <w:sz w:val="28"/>
          <w:szCs w:val="28"/>
          <w:highlight w:val="yellow"/>
          <w:lang w:bidi="zh-CN"/>
        </w:rPr>
      </w:pPr>
      <w:r>
        <w:rPr>
          <w:rStyle w:val="108"/>
          <w:rFonts w:hint="eastAsia" w:ascii="宋体" w:hAnsi="宋体" w:cs="宋体"/>
          <w:bCs/>
          <w:sz w:val="24"/>
        </w:rPr>
        <w:t>（1）从业人员、营业收入、资产总额填报上一年度数据，无上一年度数据的新成立企业可不填报。</w:t>
      </w:r>
    </w:p>
    <w:p w14:paraId="49B97DE5">
      <w:pPr>
        <w:snapToGrid w:val="0"/>
        <w:spacing w:line="300" w:lineRule="auto"/>
        <w:rPr>
          <w:rFonts w:ascii="宋体" w:hAnsi="宋体" w:cs="宋体"/>
          <w:sz w:val="28"/>
          <w:szCs w:val="28"/>
          <w:highlight w:val="yellow"/>
          <w:lang w:bidi="zh-CN"/>
        </w:rPr>
      </w:pPr>
    </w:p>
    <w:p w14:paraId="0BF21B63">
      <w:pPr>
        <w:snapToGrid w:val="0"/>
        <w:spacing w:line="300" w:lineRule="auto"/>
        <w:rPr>
          <w:rFonts w:ascii="宋体" w:hAnsi="宋体" w:cs="宋体"/>
          <w:sz w:val="28"/>
          <w:szCs w:val="28"/>
          <w:highlight w:val="yellow"/>
          <w:lang w:bidi="zh-CN"/>
        </w:rPr>
      </w:pPr>
    </w:p>
    <w:p w14:paraId="6CC9E736">
      <w:pPr>
        <w:snapToGrid w:val="0"/>
        <w:spacing w:line="300" w:lineRule="auto"/>
        <w:rPr>
          <w:rFonts w:ascii="宋体" w:hAnsi="宋体" w:cs="宋体"/>
          <w:sz w:val="28"/>
          <w:szCs w:val="28"/>
          <w:highlight w:val="yellow"/>
          <w:lang w:bidi="zh-CN"/>
        </w:rPr>
      </w:pPr>
    </w:p>
    <w:p w14:paraId="024C0DCD">
      <w:pPr>
        <w:snapToGrid w:val="0"/>
        <w:spacing w:line="300" w:lineRule="auto"/>
        <w:ind w:firstLine="4900" w:firstLineChars="1750"/>
        <w:rPr>
          <w:rFonts w:ascii="宋体" w:hAnsi="宋体" w:cs="宋体"/>
          <w:sz w:val="28"/>
          <w:szCs w:val="28"/>
          <w:lang w:bidi="zh-CN"/>
        </w:rPr>
      </w:pPr>
    </w:p>
    <w:p w14:paraId="5AD03B21">
      <w:pPr>
        <w:rPr>
          <w:rFonts w:ascii="宋体" w:hAnsi="宋体" w:cs="宋体"/>
          <w:sz w:val="28"/>
          <w:szCs w:val="28"/>
        </w:rPr>
      </w:pPr>
    </w:p>
    <w:p w14:paraId="538A8E2C">
      <w:pPr>
        <w:rPr>
          <w:rFonts w:ascii="宋体" w:hAnsi="宋体" w:cs="宋体"/>
          <w:sz w:val="28"/>
          <w:szCs w:val="28"/>
        </w:rPr>
      </w:pPr>
      <w:r>
        <w:rPr>
          <w:rFonts w:hint="eastAsia" w:ascii="宋体" w:hAnsi="宋体" w:cs="宋体"/>
          <w:sz w:val="28"/>
          <w:szCs w:val="28"/>
        </w:rPr>
        <w:br w:type="page"/>
      </w:r>
    </w:p>
    <w:p w14:paraId="0370B7EE">
      <w:pPr>
        <w:snapToGrid w:val="0"/>
        <w:spacing w:line="300" w:lineRule="auto"/>
        <w:rPr>
          <w:rFonts w:ascii="宋体" w:hAnsi="宋体" w:cs="宋体"/>
          <w:sz w:val="28"/>
          <w:szCs w:val="28"/>
        </w:rPr>
      </w:pPr>
      <w:r>
        <w:rPr>
          <w:rFonts w:hint="eastAsia" w:ascii="宋体" w:hAnsi="宋体" w:cs="宋体"/>
          <w:sz w:val="28"/>
          <w:szCs w:val="28"/>
        </w:rPr>
        <w:t>附件7</w:t>
      </w:r>
    </w:p>
    <w:p w14:paraId="4B9EAAC7">
      <w:pPr>
        <w:spacing w:line="460" w:lineRule="exact"/>
        <w:jc w:val="center"/>
        <w:rPr>
          <w:rFonts w:ascii="宋体" w:hAnsi="宋体" w:cs="宋体"/>
          <w:b/>
          <w:sz w:val="28"/>
          <w:szCs w:val="28"/>
        </w:rPr>
      </w:pPr>
      <w:r>
        <w:rPr>
          <w:rFonts w:hint="eastAsia" w:ascii="宋体" w:hAnsi="宋体" w:cs="宋体"/>
          <w:b/>
          <w:sz w:val="28"/>
          <w:szCs w:val="28"/>
        </w:rPr>
        <w:t>残疾人福利性单位声明函</w:t>
      </w:r>
    </w:p>
    <w:p w14:paraId="1211E5EA">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077DD272">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1ED375D3">
      <w:pPr>
        <w:spacing w:line="588" w:lineRule="exact"/>
        <w:ind w:firstLine="560" w:firstLineChars="200"/>
        <w:rPr>
          <w:rFonts w:ascii="宋体" w:hAnsi="宋体" w:cs="宋体"/>
          <w:sz w:val="28"/>
          <w:szCs w:val="28"/>
        </w:rPr>
      </w:pPr>
      <w:r>
        <w:rPr>
          <w:rFonts w:hint="eastAsia" w:ascii="宋体" w:hAnsi="宋体" w:cs="宋体"/>
          <w:sz w:val="28"/>
          <w:szCs w:val="28"/>
        </w:rPr>
        <w:t>（备注：1、供应商如不提供此声明函，价格将不做相应扣除。2、中标供应商为残疾人福利单位的，此声明函将随中标结果同时公告，接受社会监督）</w:t>
      </w:r>
    </w:p>
    <w:p w14:paraId="63E1A467">
      <w:pPr>
        <w:spacing w:line="588" w:lineRule="exact"/>
        <w:ind w:firstLine="584" w:firstLineChars="200"/>
        <w:rPr>
          <w:rFonts w:ascii="宋体" w:hAnsi="宋体" w:cs="宋体"/>
          <w:spacing w:val="6"/>
          <w:sz w:val="28"/>
          <w:szCs w:val="28"/>
        </w:rPr>
      </w:pPr>
    </w:p>
    <w:p w14:paraId="0E8DD86B">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14:paraId="72BA7823">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4F1D7526">
      <w:pPr>
        <w:ind w:firstLine="420"/>
        <w:rPr>
          <w:rFonts w:ascii="宋体" w:hAnsi="宋体" w:cs="宋体"/>
          <w:sz w:val="28"/>
          <w:szCs w:val="28"/>
        </w:rPr>
      </w:pPr>
    </w:p>
    <w:p w14:paraId="44BDD745">
      <w:pPr>
        <w:rPr>
          <w:rFonts w:ascii="宋体" w:hAnsi="宋体" w:cs="宋体"/>
          <w:sz w:val="28"/>
          <w:szCs w:val="28"/>
        </w:rPr>
      </w:pPr>
    </w:p>
    <w:p w14:paraId="1B9271AD">
      <w:pPr>
        <w:snapToGrid w:val="0"/>
        <w:spacing w:line="300" w:lineRule="auto"/>
        <w:rPr>
          <w:rFonts w:ascii="宋体" w:hAnsi="宋体" w:cs="宋体"/>
          <w:sz w:val="28"/>
          <w:szCs w:val="28"/>
        </w:rPr>
        <w:sectPr>
          <w:pgSz w:w="11907" w:h="16839"/>
          <w:pgMar w:top="1440" w:right="1800" w:bottom="1440" w:left="1800" w:header="720" w:footer="720" w:gutter="0"/>
          <w:cols w:space="720" w:num="1"/>
          <w:docGrid w:linePitch="286" w:charSpace="0"/>
        </w:sectPr>
      </w:pPr>
    </w:p>
    <w:p w14:paraId="43429752">
      <w:pPr>
        <w:snapToGrid w:val="0"/>
        <w:spacing w:line="300" w:lineRule="auto"/>
        <w:rPr>
          <w:rFonts w:ascii="宋体" w:hAnsi="宋体" w:cs="宋体"/>
          <w:sz w:val="28"/>
          <w:szCs w:val="28"/>
        </w:rPr>
      </w:pPr>
      <w:r>
        <w:rPr>
          <w:rFonts w:hint="eastAsia" w:ascii="宋体" w:hAnsi="宋体" w:cs="宋体"/>
          <w:sz w:val="28"/>
          <w:szCs w:val="28"/>
        </w:rPr>
        <w:t>附件8</w:t>
      </w:r>
    </w:p>
    <w:p w14:paraId="7644114D">
      <w:pPr>
        <w:snapToGrid w:val="0"/>
        <w:spacing w:line="420" w:lineRule="exact"/>
        <w:jc w:val="center"/>
        <w:rPr>
          <w:rFonts w:ascii="宋体" w:hAnsi="宋体" w:cs="宋体"/>
          <w:b/>
          <w:bCs/>
          <w:sz w:val="28"/>
          <w:szCs w:val="28"/>
        </w:rPr>
      </w:pPr>
      <w:r>
        <w:rPr>
          <w:rFonts w:hint="eastAsia" w:ascii="宋体" w:hAnsi="宋体" w:cs="宋体"/>
          <w:b/>
          <w:bCs/>
          <w:sz w:val="28"/>
          <w:szCs w:val="28"/>
        </w:rPr>
        <w:t>监狱和戒毒企业证明材料</w:t>
      </w:r>
    </w:p>
    <w:p w14:paraId="16F85C96">
      <w:pPr>
        <w:snapToGrid w:val="0"/>
        <w:spacing w:line="420" w:lineRule="exact"/>
        <w:ind w:firstLine="495" w:firstLineChars="177"/>
        <w:rPr>
          <w:rFonts w:ascii="宋体" w:hAnsi="宋体" w:cs="宋体"/>
          <w:sz w:val="28"/>
          <w:szCs w:val="28"/>
        </w:rPr>
      </w:pPr>
    </w:p>
    <w:p w14:paraId="38046E3F">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24A6BF2E">
      <w:pPr>
        <w:snapToGrid w:val="0"/>
        <w:spacing w:line="420" w:lineRule="exact"/>
        <w:ind w:firstLine="495" w:firstLineChars="177"/>
        <w:rPr>
          <w:rFonts w:ascii="宋体" w:hAnsi="宋体" w:cs="宋体"/>
          <w:sz w:val="28"/>
          <w:szCs w:val="28"/>
        </w:rPr>
      </w:pPr>
    </w:p>
    <w:p w14:paraId="64B0A9B9">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9CD0304">
      <w:pPr>
        <w:adjustRightInd w:val="0"/>
        <w:snapToGrid w:val="0"/>
        <w:spacing w:line="500" w:lineRule="exact"/>
        <w:jc w:val="center"/>
        <w:rPr>
          <w:rFonts w:ascii="宋体" w:hAnsi="宋体" w:cs="宋体"/>
          <w:bCs/>
          <w:sz w:val="28"/>
          <w:szCs w:val="28"/>
        </w:rPr>
      </w:pPr>
    </w:p>
    <w:p w14:paraId="1E455C9F">
      <w:pPr>
        <w:rPr>
          <w:rFonts w:ascii="宋体" w:hAnsi="宋体" w:cs="宋体"/>
          <w:bCs/>
          <w:sz w:val="28"/>
          <w:szCs w:val="28"/>
        </w:rPr>
      </w:pPr>
    </w:p>
    <w:sectPr>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4AC0">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147955"/>
              <wp:effectExtent l="0" t="0" r="0" b="0"/>
              <wp:wrapNone/>
              <wp:docPr id="176901709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2135" cy="147955"/>
                      </a:xfrm>
                      <a:prstGeom prst="rect">
                        <a:avLst/>
                      </a:prstGeom>
                      <a:noFill/>
                      <a:ln>
                        <a:noFill/>
                      </a:ln>
                    </wps:spPr>
                    <wps:txbx>
                      <w:txbxContent>
                        <w:p w14:paraId="70013AD8">
                          <w:pPr>
                            <w:pStyle w:val="18"/>
                          </w:pPr>
                          <w:r>
                            <w:t>第</w:t>
                          </w:r>
                          <w:r>
                            <w:fldChar w:fldCharType="begin"/>
                          </w:r>
                          <w:r>
                            <w:instrText xml:space="preserve"> PAGE  \* MERGEFORMAT </w:instrText>
                          </w:r>
                          <w:r>
                            <w:fldChar w:fldCharType="separate"/>
                          </w:r>
                          <w:r>
                            <w:t>6</w:t>
                          </w:r>
                          <w:r>
                            <w:fldChar w:fldCharType="end"/>
                          </w:r>
                          <w:r>
                            <w:t>页共</w:t>
                          </w:r>
                          <w:r>
                            <w:fldChar w:fldCharType="begin"/>
                          </w:r>
                          <w:r>
                            <w:instrText xml:space="preserve"> NUMPAGES  \* MERGEFORMAT </w:instrText>
                          </w:r>
                          <w:r>
                            <w:fldChar w:fldCharType="separate"/>
                          </w:r>
                          <w:r>
                            <w:t>36</w:t>
                          </w:r>
                          <w:r>
                            <w:fldChar w:fldCharType="end"/>
                          </w:r>
                          <w:r>
                            <w:t>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45.05pt;mso-position-horizontal:center;mso-position-horizontal-relative:margin;mso-wrap-style:none;z-index:251659264;mso-width-relative:page;mso-height-relative:page;" filled="f" stroked="f" coordsize="21600,21600" o:gfxdata="UEsDBAoAAAAAAIdO4kAAAAAAAAAAAAAAAAAEAAAAZHJzL1BLAwQUAAAACACHTuJAIYjMrNEAAAAD&#10;AQAADwAAAGRycy9kb3ducmV2LnhtbE2PwU7DMBBE70j8g7VI3KidVoISsumhEhduFITEzY23cYS9&#10;jmw3Tf4ewwUuK41mNPO22c3eiYliGgIjVCsFgrgLZuAe4f3t+W4LImXNRrvAhLBQgl17fdXo2oQL&#10;v9J0yL0oJZxqjWBzHmspU2fJ67QKI3HxTiF6nYuMvTRRX0q5d3Kt1L30euCyYPVIe0vd1+HsER7m&#10;j0Bjoj19nqYu2mHZupcF8famUk8gMs35Lww/+AUd2sJ0DGc2STiE8kj+vcV7VBWII8J6swHZNvI/&#10;e/sNUEsDBBQAAAAIAIdO4kBz8EhyEQIAAAsEAAAOAAAAZHJzL2Uyb0RvYy54bWytU8uO0zAU3SPx&#10;D5b3NEmZTmnUdDRMVYQ0PKSBD3Adp7GIfS3bbVI+AP5gVmzY8139Dq6dpAzDZhZsrOvHPT7n+Hh5&#10;1amGHIR1EnRBs0lKidAcSql3Bf38afPiFSXOM12yBrQo6FE4erV6/mzZmlxMoYamFJYgiHZ5awpa&#10;e2/yJHG8Foq5CRihcbMCq5jHqd0lpWUtoqsmmabpZdKCLY0FLpzD1XW/SQdE+xRAqCrJxRr4Xgnt&#10;e1QrGuZRkqulcXQV2VaV4P5DVTnhSVNQVOrjiJdgvQ1jslqyfGeZqSUfKLCnUHikSTGp8dIz1Jp5&#10;RvZW/gOlJLfgoPITDirphURHUEWWPvLmrmZGRC1otTNn093/g+XvDx8tkSUmYX65SLN5urigRDOF&#10;L3+6/3768ev08xvJgk+tcTkevzPY4LvX0GFP1OzMLfAvjmi4qZneiWtroa0FK5Fn7EwetPY4LoBs&#10;23dQ4j1s7yECdZVVwUS0hSA6vtHx/Eai84Tj4mw+zV7OKOG4lV3MF7NZ4JawfGw21vk3AhQJRUEt&#10;RiCCs8Ot8/3R8Ui4S8NGNk2MQaP/WkDMsBLJB749c99tu8GMLZRHlGGhTxX+KSxqsF8paTFRBdX4&#10;gShp3mo0IoRvLOxYbMeCaY6NBfWU9OWN70O6N1buasQdrb5GszYyCgmu9hwGlpiRaMWQ5xDCh/N4&#10;6s8f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YjMrNEAAAADAQAADwAAAAAAAAABACAAAAAi&#10;AAAAZHJzL2Rvd25yZXYueG1sUEsBAhQAFAAAAAgAh07iQHPwSHIRAgAACwQAAA4AAAAAAAAAAQAg&#10;AAAAIAEAAGRycy9lMm9Eb2MueG1sUEsFBgAAAAAGAAYAWQEAAKMFAAAAAA==&#10;">
              <v:fill on="f" focussize="0,0"/>
              <v:stroke on="f"/>
              <v:imagedata o:title=""/>
              <o:lock v:ext="edit" aspectratio="f"/>
              <v:textbox inset="0mm,0mm,0mm,0mm" style="mso-fit-shape-to-text:t;">
                <w:txbxContent>
                  <w:p w14:paraId="70013AD8">
                    <w:pPr>
                      <w:pStyle w:val="18"/>
                    </w:pPr>
                    <w:r>
                      <w:t>第</w:t>
                    </w:r>
                    <w:r>
                      <w:fldChar w:fldCharType="begin"/>
                    </w:r>
                    <w:r>
                      <w:instrText xml:space="preserve"> PAGE  \* MERGEFORMAT </w:instrText>
                    </w:r>
                    <w:r>
                      <w:fldChar w:fldCharType="separate"/>
                    </w:r>
                    <w:r>
                      <w:t>6</w:t>
                    </w:r>
                    <w:r>
                      <w:fldChar w:fldCharType="end"/>
                    </w:r>
                    <w:r>
                      <w:t>页共</w:t>
                    </w:r>
                    <w:r>
                      <w:fldChar w:fldCharType="begin"/>
                    </w:r>
                    <w:r>
                      <w:instrText xml:space="preserve"> NUMPAGES  \* MERGEFORMAT </w:instrText>
                    </w:r>
                    <w:r>
                      <w:fldChar w:fldCharType="separate"/>
                    </w:r>
                    <w:r>
                      <w:t>36</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2855A">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1F8FF"/>
    <w:multiLevelType w:val="singleLevel"/>
    <w:tmpl w:val="A541F8FF"/>
    <w:lvl w:ilvl="0" w:tentative="0">
      <w:start w:val="2"/>
      <w:numFmt w:val="chineseCounting"/>
      <w:suff w:val="nothing"/>
      <w:lvlText w:val="（%1）"/>
      <w:lvlJc w:val="left"/>
      <w:rPr>
        <w:rFonts w:hint="eastAsia"/>
      </w:rPr>
    </w:lvl>
  </w:abstractNum>
  <w:abstractNum w:abstractNumId="1">
    <w:nsid w:val="2FF86FF6"/>
    <w:multiLevelType w:val="multilevel"/>
    <w:tmpl w:val="2FF86FF6"/>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142"/>
        </w:tabs>
        <w:ind w:left="851" w:hanging="851"/>
      </w:pPr>
      <w:rPr>
        <w:rFonts w:hint="eastAsia"/>
      </w:rPr>
    </w:lvl>
    <w:lvl w:ilvl="3" w:tentative="0">
      <w:start w:val="1"/>
      <w:numFmt w:val="decimal"/>
      <w:pStyle w:val="103"/>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NWZjMmZkYmQ3ZDQ3NmQ1YWIwMjk3ZDk2ZTYzYWYifQ=="/>
    <w:docVar w:name="KSO_WPS_MARK_KEY" w:val="3fc76580-be1c-491a-8782-6f1490852d52"/>
  </w:docVars>
  <w:rsids>
    <w:rsidRoot w:val="00E1428C"/>
    <w:rsid w:val="00001A09"/>
    <w:rsid w:val="000027DF"/>
    <w:rsid w:val="00004FB3"/>
    <w:rsid w:val="00006069"/>
    <w:rsid w:val="00006222"/>
    <w:rsid w:val="00006B64"/>
    <w:rsid w:val="00006E64"/>
    <w:rsid w:val="00007342"/>
    <w:rsid w:val="00010C3F"/>
    <w:rsid w:val="00011F29"/>
    <w:rsid w:val="00012F0F"/>
    <w:rsid w:val="00013DC0"/>
    <w:rsid w:val="000214C9"/>
    <w:rsid w:val="00021EE5"/>
    <w:rsid w:val="000247CE"/>
    <w:rsid w:val="000249D8"/>
    <w:rsid w:val="00027214"/>
    <w:rsid w:val="00031E5F"/>
    <w:rsid w:val="00031E8B"/>
    <w:rsid w:val="00033A03"/>
    <w:rsid w:val="00034FFC"/>
    <w:rsid w:val="00035F29"/>
    <w:rsid w:val="000363E7"/>
    <w:rsid w:val="00040BC7"/>
    <w:rsid w:val="00043C4F"/>
    <w:rsid w:val="00043CCD"/>
    <w:rsid w:val="0004687B"/>
    <w:rsid w:val="00046AE8"/>
    <w:rsid w:val="00051BE5"/>
    <w:rsid w:val="00051C4B"/>
    <w:rsid w:val="000531E3"/>
    <w:rsid w:val="00055731"/>
    <w:rsid w:val="00057C9F"/>
    <w:rsid w:val="000612C5"/>
    <w:rsid w:val="0006312A"/>
    <w:rsid w:val="00064E5C"/>
    <w:rsid w:val="0006533C"/>
    <w:rsid w:val="000674BE"/>
    <w:rsid w:val="00067D3A"/>
    <w:rsid w:val="000707B4"/>
    <w:rsid w:val="000733BC"/>
    <w:rsid w:val="000733D5"/>
    <w:rsid w:val="000743C3"/>
    <w:rsid w:val="000766CE"/>
    <w:rsid w:val="00076A1C"/>
    <w:rsid w:val="00077641"/>
    <w:rsid w:val="000811BB"/>
    <w:rsid w:val="000811FB"/>
    <w:rsid w:val="00081A99"/>
    <w:rsid w:val="0008288C"/>
    <w:rsid w:val="000860E4"/>
    <w:rsid w:val="00090110"/>
    <w:rsid w:val="000930EC"/>
    <w:rsid w:val="000931E9"/>
    <w:rsid w:val="0009351A"/>
    <w:rsid w:val="00093B09"/>
    <w:rsid w:val="00093F93"/>
    <w:rsid w:val="000949F1"/>
    <w:rsid w:val="00096D7E"/>
    <w:rsid w:val="000A3BFD"/>
    <w:rsid w:val="000A5B2F"/>
    <w:rsid w:val="000B0744"/>
    <w:rsid w:val="000B09B6"/>
    <w:rsid w:val="000B78D1"/>
    <w:rsid w:val="000B7DF5"/>
    <w:rsid w:val="000C09DC"/>
    <w:rsid w:val="000C433D"/>
    <w:rsid w:val="000C6148"/>
    <w:rsid w:val="000C6432"/>
    <w:rsid w:val="000C660A"/>
    <w:rsid w:val="000C70B7"/>
    <w:rsid w:val="000D0543"/>
    <w:rsid w:val="000D0B35"/>
    <w:rsid w:val="000D3C5A"/>
    <w:rsid w:val="000D4824"/>
    <w:rsid w:val="000D68E3"/>
    <w:rsid w:val="000D6B97"/>
    <w:rsid w:val="000E0E54"/>
    <w:rsid w:val="000E2F2C"/>
    <w:rsid w:val="000E474C"/>
    <w:rsid w:val="000E6565"/>
    <w:rsid w:val="000F22F8"/>
    <w:rsid w:val="000F23EA"/>
    <w:rsid w:val="000F28DF"/>
    <w:rsid w:val="000F2955"/>
    <w:rsid w:val="000F5ACE"/>
    <w:rsid w:val="000F7D4F"/>
    <w:rsid w:val="0010283C"/>
    <w:rsid w:val="00102CB7"/>
    <w:rsid w:val="00104AF2"/>
    <w:rsid w:val="0010514D"/>
    <w:rsid w:val="001104D2"/>
    <w:rsid w:val="00114B88"/>
    <w:rsid w:val="00115E82"/>
    <w:rsid w:val="00116E44"/>
    <w:rsid w:val="00120681"/>
    <w:rsid w:val="001244CE"/>
    <w:rsid w:val="00124EF5"/>
    <w:rsid w:val="0012592D"/>
    <w:rsid w:val="0012699C"/>
    <w:rsid w:val="00127475"/>
    <w:rsid w:val="00132D06"/>
    <w:rsid w:val="001359DC"/>
    <w:rsid w:val="00137F66"/>
    <w:rsid w:val="0014039A"/>
    <w:rsid w:val="00141B11"/>
    <w:rsid w:val="001443A6"/>
    <w:rsid w:val="0014603C"/>
    <w:rsid w:val="001463C7"/>
    <w:rsid w:val="001467F4"/>
    <w:rsid w:val="00150D31"/>
    <w:rsid w:val="0015178A"/>
    <w:rsid w:val="00151847"/>
    <w:rsid w:val="00154178"/>
    <w:rsid w:val="00155581"/>
    <w:rsid w:val="00156591"/>
    <w:rsid w:val="001570D4"/>
    <w:rsid w:val="0015743C"/>
    <w:rsid w:val="00160309"/>
    <w:rsid w:val="0016109E"/>
    <w:rsid w:val="001620CF"/>
    <w:rsid w:val="00162A03"/>
    <w:rsid w:val="001639C2"/>
    <w:rsid w:val="00163D0B"/>
    <w:rsid w:val="0016462E"/>
    <w:rsid w:val="001646CB"/>
    <w:rsid w:val="0016487C"/>
    <w:rsid w:val="0017113F"/>
    <w:rsid w:val="001731C5"/>
    <w:rsid w:val="00173B5F"/>
    <w:rsid w:val="00173C44"/>
    <w:rsid w:val="00174B79"/>
    <w:rsid w:val="0017626E"/>
    <w:rsid w:val="00181ED3"/>
    <w:rsid w:val="00182CCA"/>
    <w:rsid w:val="001869A8"/>
    <w:rsid w:val="00187BE1"/>
    <w:rsid w:val="001903D4"/>
    <w:rsid w:val="0019251D"/>
    <w:rsid w:val="00192DB5"/>
    <w:rsid w:val="001A0364"/>
    <w:rsid w:val="001A0C8B"/>
    <w:rsid w:val="001A1AC6"/>
    <w:rsid w:val="001A3EDD"/>
    <w:rsid w:val="001A47E3"/>
    <w:rsid w:val="001A4D9F"/>
    <w:rsid w:val="001A67C9"/>
    <w:rsid w:val="001B2572"/>
    <w:rsid w:val="001B344D"/>
    <w:rsid w:val="001B663D"/>
    <w:rsid w:val="001B6EC8"/>
    <w:rsid w:val="001C1D5F"/>
    <w:rsid w:val="001C45F5"/>
    <w:rsid w:val="001C4662"/>
    <w:rsid w:val="001C6AFF"/>
    <w:rsid w:val="001D279A"/>
    <w:rsid w:val="001D2D8E"/>
    <w:rsid w:val="001D3500"/>
    <w:rsid w:val="001D4EC2"/>
    <w:rsid w:val="001D66F0"/>
    <w:rsid w:val="001D6723"/>
    <w:rsid w:val="001D6A81"/>
    <w:rsid w:val="001E1433"/>
    <w:rsid w:val="001E53BC"/>
    <w:rsid w:val="001F120D"/>
    <w:rsid w:val="001F3AEC"/>
    <w:rsid w:val="001F4F3E"/>
    <w:rsid w:val="001F7EC5"/>
    <w:rsid w:val="002007BF"/>
    <w:rsid w:val="00201576"/>
    <w:rsid w:val="00204B7C"/>
    <w:rsid w:val="002106EA"/>
    <w:rsid w:val="002131C8"/>
    <w:rsid w:val="00214649"/>
    <w:rsid w:val="00214B6D"/>
    <w:rsid w:val="00215DD8"/>
    <w:rsid w:val="0021679D"/>
    <w:rsid w:val="00221798"/>
    <w:rsid w:val="00223407"/>
    <w:rsid w:val="002244DA"/>
    <w:rsid w:val="00227E29"/>
    <w:rsid w:val="00230636"/>
    <w:rsid w:val="00232EB6"/>
    <w:rsid w:val="00232EE0"/>
    <w:rsid w:val="002330E2"/>
    <w:rsid w:val="0023425B"/>
    <w:rsid w:val="00234DAB"/>
    <w:rsid w:val="00235DF7"/>
    <w:rsid w:val="00237E0C"/>
    <w:rsid w:val="00241BB8"/>
    <w:rsid w:val="00243068"/>
    <w:rsid w:val="00244939"/>
    <w:rsid w:val="002468F0"/>
    <w:rsid w:val="00247C93"/>
    <w:rsid w:val="00250900"/>
    <w:rsid w:val="002546EC"/>
    <w:rsid w:val="00254A15"/>
    <w:rsid w:val="00254B39"/>
    <w:rsid w:val="00255AAF"/>
    <w:rsid w:val="002602DD"/>
    <w:rsid w:val="0026242C"/>
    <w:rsid w:val="002647BE"/>
    <w:rsid w:val="00270410"/>
    <w:rsid w:val="00274032"/>
    <w:rsid w:val="002748BD"/>
    <w:rsid w:val="0027499D"/>
    <w:rsid w:val="00275C65"/>
    <w:rsid w:val="002840DC"/>
    <w:rsid w:val="002871A5"/>
    <w:rsid w:val="00290923"/>
    <w:rsid w:val="00291471"/>
    <w:rsid w:val="00292164"/>
    <w:rsid w:val="00294605"/>
    <w:rsid w:val="002975D9"/>
    <w:rsid w:val="002A1054"/>
    <w:rsid w:val="002A287A"/>
    <w:rsid w:val="002A3E8C"/>
    <w:rsid w:val="002A4991"/>
    <w:rsid w:val="002A6988"/>
    <w:rsid w:val="002A7755"/>
    <w:rsid w:val="002A79A7"/>
    <w:rsid w:val="002A7F5E"/>
    <w:rsid w:val="002B1C13"/>
    <w:rsid w:val="002B1C92"/>
    <w:rsid w:val="002B6371"/>
    <w:rsid w:val="002B64B0"/>
    <w:rsid w:val="002C02A7"/>
    <w:rsid w:val="002C04E9"/>
    <w:rsid w:val="002C221F"/>
    <w:rsid w:val="002C29D9"/>
    <w:rsid w:val="002C41EE"/>
    <w:rsid w:val="002C4C6D"/>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EC6"/>
    <w:rsid w:val="002F70DF"/>
    <w:rsid w:val="003009D5"/>
    <w:rsid w:val="00300A5F"/>
    <w:rsid w:val="00302E16"/>
    <w:rsid w:val="00310100"/>
    <w:rsid w:val="00310EFD"/>
    <w:rsid w:val="003121B1"/>
    <w:rsid w:val="00314C38"/>
    <w:rsid w:val="00315D45"/>
    <w:rsid w:val="003164A3"/>
    <w:rsid w:val="00320476"/>
    <w:rsid w:val="00320B07"/>
    <w:rsid w:val="00320C34"/>
    <w:rsid w:val="00321CBF"/>
    <w:rsid w:val="00322B57"/>
    <w:rsid w:val="00330686"/>
    <w:rsid w:val="0033200D"/>
    <w:rsid w:val="003346BE"/>
    <w:rsid w:val="00334C59"/>
    <w:rsid w:val="003406AD"/>
    <w:rsid w:val="00340A04"/>
    <w:rsid w:val="003436D0"/>
    <w:rsid w:val="00343D2E"/>
    <w:rsid w:val="00343FE0"/>
    <w:rsid w:val="00344B7B"/>
    <w:rsid w:val="003451BB"/>
    <w:rsid w:val="0035199B"/>
    <w:rsid w:val="0035271F"/>
    <w:rsid w:val="00355DE5"/>
    <w:rsid w:val="003602C3"/>
    <w:rsid w:val="003604DF"/>
    <w:rsid w:val="0036053C"/>
    <w:rsid w:val="00361079"/>
    <w:rsid w:val="00364309"/>
    <w:rsid w:val="00367A68"/>
    <w:rsid w:val="0037007E"/>
    <w:rsid w:val="0037119F"/>
    <w:rsid w:val="0037319F"/>
    <w:rsid w:val="00375458"/>
    <w:rsid w:val="00381D8F"/>
    <w:rsid w:val="00383292"/>
    <w:rsid w:val="00383417"/>
    <w:rsid w:val="003836DC"/>
    <w:rsid w:val="003843F3"/>
    <w:rsid w:val="00385B36"/>
    <w:rsid w:val="0039137F"/>
    <w:rsid w:val="00395FAE"/>
    <w:rsid w:val="003A3808"/>
    <w:rsid w:val="003A42A7"/>
    <w:rsid w:val="003A4DE4"/>
    <w:rsid w:val="003B1C66"/>
    <w:rsid w:val="003B38ED"/>
    <w:rsid w:val="003B5148"/>
    <w:rsid w:val="003C6991"/>
    <w:rsid w:val="003C71ED"/>
    <w:rsid w:val="003D041B"/>
    <w:rsid w:val="003D06E5"/>
    <w:rsid w:val="003D199E"/>
    <w:rsid w:val="003D4401"/>
    <w:rsid w:val="003D5343"/>
    <w:rsid w:val="003D64B6"/>
    <w:rsid w:val="003E2B34"/>
    <w:rsid w:val="003E3257"/>
    <w:rsid w:val="003E5426"/>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7B67"/>
    <w:rsid w:val="00422590"/>
    <w:rsid w:val="00422A6E"/>
    <w:rsid w:val="00422FCC"/>
    <w:rsid w:val="00423142"/>
    <w:rsid w:val="00423A4E"/>
    <w:rsid w:val="004247C4"/>
    <w:rsid w:val="00426626"/>
    <w:rsid w:val="00431BA5"/>
    <w:rsid w:val="00432FD1"/>
    <w:rsid w:val="0043442A"/>
    <w:rsid w:val="00434A49"/>
    <w:rsid w:val="004358AD"/>
    <w:rsid w:val="00435AA8"/>
    <w:rsid w:val="004418DE"/>
    <w:rsid w:val="00443C88"/>
    <w:rsid w:val="0044543D"/>
    <w:rsid w:val="00446291"/>
    <w:rsid w:val="004464E9"/>
    <w:rsid w:val="00452A22"/>
    <w:rsid w:val="00454E44"/>
    <w:rsid w:val="00456B89"/>
    <w:rsid w:val="004614FA"/>
    <w:rsid w:val="00461B41"/>
    <w:rsid w:val="00462EA0"/>
    <w:rsid w:val="00464D34"/>
    <w:rsid w:val="00472FA9"/>
    <w:rsid w:val="0047528B"/>
    <w:rsid w:val="0047534E"/>
    <w:rsid w:val="00476030"/>
    <w:rsid w:val="004767BD"/>
    <w:rsid w:val="0048021C"/>
    <w:rsid w:val="00480AC6"/>
    <w:rsid w:val="00481750"/>
    <w:rsid w:val="0048181A"/>
    <w:rsid w:val="00482671"/>
    <w:rsid w:val="00483895"/>
    <w:rsid w:val="0049002D"/>
    <w:rsid w:val="00490A35"/>
    <w:rsid w:val="00495061"/>
    <w:rsid w:val="004956F7"/>
    <w:rsid w:val="00495EB8"/>
    <w:rsid w:val="004962A6"/>
    <w:rsid w:val="00496FC3"/>
    <w:rsid w:val="00497322"/>
    <w:rsid w:val="004A1844"/>
    <w:rsid w:val="004A2727"/>
    <w:rsid w:val="004A3046"/>
    <w:rsid w:val="004A4B9D"/>
    <w:rsid w:val="004A704F"/>
    <w:rsid w:val="004A72A4"/>
    <w:rsid w:val="004A7C96"/>
    <w:rsid w:val="004B05CA"/>
    <w:rsid w:val="004B4817"/>
    <w:rsid w:val="004B4B6D"/>
    <w:rsid w:val="004B5A88"/>
    <w:rsid w:val="004C1B27"/>
    <w:rsid w:val="004C201C"/>
    <w:rsid w:val="004C385B"/>
    <w:rsid w:val="004D01E3"/>
    <w:rsid w:val="004D144D"/>
    <w:rsid w:val="004D1CDD"/>
    <w:rsid w:val="004D21FC"/>
    <w:rsid w:val="004D2202"/>
    <w:rsid w:val="004D2E8C"/>
    <w:rsid w:val="004D3773"/>
    <w:rsid w:val="004D44E4"/>
    <w:rsid w:val="004D45FF"/>
    <w:rsid w:val="004D5292"/>
    <w:rsid w:val="004D79A7"/>
    <w:rsid w:val="004E152F"/>
    <w:rsid w:val="004E2A00"/>
    <w:rsid w:val="004E2F63"/>
    <w:rsid w:val="004E3BF5"/>
    <w:rsid w:val="004F099F"/>
    <w:rsid w:val="004F1D6B"/>
    <w:rsid w:val="004F3CB4"/>
    <w:rsid w:val="004F551D"/>
    <w:rsid w:val="004F723F"/>
    <w:rsid w:val="00503474"/>
    <w:rsid w:val="00503BA7"/>
    <w:rsid w:val="0050700C"/>
    <w:rsid w:val="005078D4"/>
    <w:rsid w:val="00511197"/>
    <w:rsid w:val="00511A5E"/>
    <w:rsid w:val="005135AC"/>
    <w:rsid w:val="00513B39"/>
    <w:rsid w:val="00514E8A"/>
    <w:rsid w:val="00515B97"/>
    <w:rsid w:val="00515D24"/>
    <w:rsid w:val="00516020"/>
    <w:rsid w:val="0052071E"/>
    <w:rsid w:val="00521230"/>
    <w:rsid w:val="00526739"/>
    <w:rsid w:val="00526FC4"/>
    <w:rsid w:val="0052709F"/>
    <w:rsid w:val="00527470"/>
    <w:rsid w:val="00530A3C"/>
    <w:rsid w:val="00531C5D"/>
    <w:rsid w:val="00532491"/>
    <w:rsid w:val="00533458"/>
    <w:rsid w:val="0053376D"/>
    <w:rsid w:val="00533A7A"/>
    <w:rsid w:val="00534F0F"/>
    <w:rsid w:val="00537FB8"/>
    <w:rsid w:val="00540B38"/>
    <w:rsid w:val="00541A40"/>
    <w:rsid w:val="00542B48"/>
    <w:rsid w:val="00542C35"/>
    <w:rsid w:val="0054329E"/>
    <w:rsid w:val="00545012"/>
    <w:rsid w:val="005468AD"/>
    <w:rsid w:val="00551258"/>
    <w:rsid w:val="00554692"/>
    <w:rsid w:val="00554B19"/>
    <w:rsid w:val="00556006"/>
    <w:rsid w:val="005569D2"/>
    <w:rsid w:val="005576F5"/>
    <w:rsid w:val="00561A91"/>
    <w:rsid w:val="005627F2"/>
    <w:rsid w:val="00562FB5"/>
    <w:rsid w:val="005632D0"/>
    <w:rsid w:val="00570AF4"/>
    <w:rsid w:val="005710D2"/>
    <w:rsid w:val="00573B17"/>
    <w:rsid w:val="00574BC3"/>
    <w:rsid w:val="00574E68"/>
    <w:rsid w:val="00581010"/>
    <w:rsid w:val="00581AA7"/>
    <w:rsid w:val="00585AEF"/>
    <w:rsid w:val="00585EF4"/>
    <w:rsid w:val="00585FAF"/>
    <w:rsid w:val="005861CF"/>
    <w:rsid w:val="00586D80"/>
    <w:rsid w:val="00586E7E"/>
    <w:rsid w:val="00587878"/>
    <w:rsid w:val="005909CE"/>
    <w:rsid w:val="0059608C"/>
    <w:rsid w:val="0059678A"/>
    <w:rsid w:val="005A1415"/>
    <w:rsid w:val="005A506D"/>
    <w:rsid w:val="005A5539"/>
    <w:rsid w:val="005A7731"/>
    <w:rsid w:val="005B02F9"/>
    <w:rsid w:val="005B0E49"/>
    <w:rsid w:val="005B1F16"/>
    <w:rsid w:val="005B1F8C"/>
    <w:rsid w:val="005B21BD"/>
    <w:rsid w:val="005B2C71"/>
    <w:rsid w:val="005B5D7D"/>
    <w:rsid w:val="005B688B"/>
    <w:rsid w:val="005B71B9"/>
    <w:rsid w:val="005C06AF"/>
    <w:rsid w:val="005C0BF8"/>
    <w:rsid w:val="005C20F7"/>
    <w:rsid w:val="005C2ABD"/>
    <w:rsid w:val="005C38A7"/>
    <w:rsid w:val="005C7301"/>
    <w:rsid w:val="005C7A1F"/>
    <w:rsid w:val="005D015B"/>
    <w:rsid w:val="005D0AD7"/>
    <w:rsid w:val="005D0C2B"/>
    <w:rsid w:val="005D2DCB"/>
    <w:rsid w:val="005D7364"/>
    <w:rsid w:val="005D7993"/>
    <w:rsid w:val="005E1A14"/>
    <w:rsid w:val="005E44C9"/>
    <w:rsid w:val="005E4685"/>
    <w:rsid w:val="005E5BB9"/>
    <w:rsid w:val="005F1266"/>
    <w:rsid w:val="005F16EC"/>
    <w:rsid w:val="005F3B36"/>
    <w:rsid w:val="005F4B25"/>
    <w:rsid w:val="005F4F51"/>
    <w:rsid w:val="005F57EA"/>
    <w:rsid w:val="005F6069"/>
    <w:rsid w:val="005F60A5"/>
    <w:rsid w:val="005F70F9"/>
    <w:rsid w:val="005F7ACA"/>
    <w:rsid w:val="006001DA"/>
    <w:rsid w:val="00603D1A"/>
    <w:rsid w:val="0060542F"/>
    <w:rsid w:val="00605FEF"/>
    <w:rsid w:val="0060685A"/>
    <w:rsid w:val="00606BE4"/>
    <w:rsid w:val="006078EC"/>
    <w:rsid w:val="0061376F"/>
    <w:rsid w:val="00614C21"/>
    <w:rsid w:val="00615482"/>
    <w:rsid w:val="00615983"/>
    <w:rsid w:val="00615F7F"/>
    <w:rsid w:val="00616192"/>
    <w:rsid w:val="00621D6D"/>
    <w:rsid w:val="00624F5F"/>
    <w:rsid w:val="0062611B"/>
    <w:rsid w:val="006277EC"/>
    <w:rsid w:val="00632BD0"/>
    <w:rsid w:val="00634A4B"/>
    <w:rsid w:val="00635ECA"/>
    <w:rsid w:val="00637DDA"/>
    <w:rsid w:val="00642E22"/>
    <w:rsid w:val="00651389"/>
    <w:rsid w:val="0065148D"/>
    <w:rsid w:val="00655F61"/>
    <w:rsid w:val="00663E65"/>
    <w:rsid w:val="00665DDD"/>
    <w:rsid w:val="00667586"/>
    <w:rsid w:val="006679E2"/>
    <w:rsid w:val="0067083A"/>
    <w:rsid w:val="00670CCF"/>
    <w:rsid w:val="00670E4B"/>
    <w:rsid w:val="0067155A"/>
    <w:rsid w:val="006724BC"/>
    <w:rsid w:val="006746C4"/>
    <w:rsid w:val="006771C9"/>
    <w:rsid w:val="00677ABA"/>
    <w:rsid w:val="00684B51"/>
    <w:rsid w:val="00687A51"/>
    <w:rsid w:val="00690502"/>
    <w:rsid w:val="00691715"/>
    <w:rsid w:val="0069299B"/>
    <w:rsid w:val="006A4C2F"/>
    <w:rsid w:val="006A5C54"/>
    <w:rsid w:val="006A5D76"/>
    <w:rsid w:val="006B2BD2"/>
    <w:rsid w:val="006B5071"/>
    <w:rsid w:val="006B6DA9"/>
    <w:rsid w:val="006B71E7"/>
    <w:rsid w:val="006C5470"/>
    <w:rsid w:val="006C5AA4"/>
    <w:rsid w:val="006C6D70"/>
    <w:rsid w:val="006C7523"/>
    <w:rsid w:val="006D02A2"/>
    <w:rsid w:val="006D12EF"/>
    <w:rsid w:val="006D6598"/>
    <w:rsid w:val="006D6A87"/>
    <w:rsid w:val="006D6D47"/>
    <w:rsid w:val="006E3200"/>
    <w:rsid w:val="006E3E45"/>
    <w:rsid w:val="006E4A3F"/>
    <w:rsid w:val="006E5AD6"/>
    <w:rsid w:val="006F0802"/>
    <w:rsid w:val="006F2B16"/>
    <w:rsid w:val="006F2FDC"/>
    <w:rsid w:val="0070050A"/>
    <w:rsid w:val="00701FC9"/>
    <w:rsid w:val="00702715"/>
    <w:rsid w:val="00703177"/>
    <w:rsid w:val="00706A7D"/>
    <w:rsid w:val="007070D1"/>
    <w:rsid w:val="007110EF"/>
    <w:rsid w:val="00714C6D"/>
    <w:rsid w:val="00714EE0"/>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4F34"/>
    <w:rsid w:val="00736373"/>
    <w:rsid w:val="00737C17"/>
    <w:rsid w:val="00747E37"/>
    <w:rsid w:val="00750267"/>
    <w:rsid w:val="00750BA6"/>
    <w:rsid w:val="007513A7"/>
    <w:rsid w:val="0075146E"/>
    <w:rsid w:val="00751504"/>
    <w:rsid w:val="007517B2"/>
    <w:rsid w:val="007526C6"/>
    <w:rsid w:val="0075320C"/>
    <w:rsid w:val="007536EF"/>
    <w:rsid w:val="00753BF0"/>
    <w:rsid w:val="0075467C"/>
    <w:rsid w:val="00755FC7"/>
    <w:rsid w:val="00757411"/>
    <w:rsid w:val="007577FE"/>
    <w:rsid w:val="00760802"/>
    <w:rsid w:val="00760CB0"/>
    <w:rsid w:val="00760DDB"/>
    <w:rsid w:val="0076390F"/>
    <w:rsid w:val="00765BEA"/>
    <w:rsid w:val="007666DE"/>
    <w:rsid w:val="0077291C"/>
    <w:rsid w:val="007738FD"/>
    <w:rsid w:val="00773A5D"/>
    <w:rsid w:val="00776598"/>
    <w:rsid w:val="00776D95"/>
    <w:rsid w:val="00781919"/>
    <w:rsid w:val="007826F0"/>
    <w:rsid w:val="00784EFC"/>
    <w:rsid w:val="007850A8"/>
    <w:rsid w:val="00787BE5"/>
    <w:rsid w:val="00791CD7"/>
    <w:rsid w:val="00792E96"/>
    <w:rsid w:val="00793250"/>
    <w:rsid w:val="00794B53"/>
    <w:rsid w:val="007975A1"/>
    <w:rsid w:val="007A116D"/>
    <w:rsid w:val="007A29EE"/>
    <w:rsid w:val="007A2A54"/>
    <w:rsid w:val="007B0654"/>
    <w:rsid w:val="007B10D0"/>
    <w:rsid w:val="007B39F7"/>
    <w:rsid w:val="007B4D8F"/>
    <w:rsid w:val="007B5B52"/>
    <w:rsid w:val="007B6989"/>
    <w:rsid w:val="007B77F4"/>
    <w:rsid w:val="007C1564"/>
    <w:rsid w:val="007C1C13"/>
    <w:rsid w:val="007C2E08"/>
    <w:rsid w:val="007C456E"/>
    <w:rsid w:val="007C4F92"/>
    <w:rsid w:val="007C63C9"/>
    <w:rsid w:val="007D1241"/>
    <w:rsid w:val="007D1696"/>
    <w:rsid w:val="007D4874"/>
    <w:rsid w:val="007D5914"/>
    <w:rsid w:val="007D76AC"/>
    <w:rsid w:val="007E04C2"/>
    <w:rsid w:val="007E3A62"/>
    <w:rsid w:val="007E4448"/>
    <w:rsid w:val="007E4C1C"/>
    <w:rsid w:val="007F098A"/>
    <w:rsid w:val="007F15A1"/>
    <w:rsid w:val="007F1A35"/>
    <w:rsid w:val="007F1DB3"/>
    <w:rsid w:val="007F6A4A"/>
    <w:rsid w:val="007F7F83"/>
    <w:rsid w:val="00800DC9"/>
    <w:rsid w:val="00802238"/>
    <w:rsid w:val="0080270D"/>
    <w:rsid w:val="00803663"/>
    <w:rsid w:val="0080455C"/>
    <w:rsid w:val="00805346"/>
    <w:rsid w:val="00806901"/>
    <w:rsid w:val="00807C9C"/>
    <w:rsid w:val="00810974"/>
    <w:rsid w:val="00811C64"/>
    <w:rsid w:val="0081445E"/>
    <w:rsid w:val="0081539D"/>
    <w:rsid w:val="00820BBA"/>
    <w:rsid w:val="00821610"/>
    <w:rsid w:val="00821B1F"/>
    <w:rsid w:val="00825CEA"/>
    <w:rsid w:val="00826495"/>
    <w:rsid w:val="00826A8E"/>
    <w:rsid w:val="008276AF"/>
    <w:rsid w:val="00827AB4"/>
    <w:rsid w:val="008346D9"/>
    <w:rsid w:val="00834E31"/>
    <w:rsid w:val="00835269"/>
    <w:rsid w:val="008364CF"/>
    <w:rsid w:val="00836F06"/>
    <w:rsid w:val="00837D82"/>
    <w:rsid w:val="0084148A"/>
    <w:rsid w:val="00841969"/>
    <w:rsid w:val="0084230F"/>
    <w:rsid w:val="00843E6D"/>
    <w:rsid w:val="0084449A"/>
    <w:rsid w:val="0084496E"/>
    <w:rsid w:val="00846157"/>
    <w:rsid w:val="00851F7D"/>
    <w:rsid w:val="008535D2"/>
    <w:rsid w:val="00854624"/>
    <w:rsid w:val="0086135E"/>
    <w:rsid w:val="008619A1"/>
    <w:rsid w:val="00861D87"/>
    <w:rsid w:val="00861F35"/>
    <w:rsid w:val="0086246D"/>
    <w:rsid w:val="00862904"/>
    <w:rsid w:val="008646B1"/>
    <w:rsid w:val="008660CD"/>
    <w:rsid w:val="00870789"/>
    <w:rsid w:val="0087299F"/>
    <w:rsid w:val="0087426A"/>
    <w:rsid w:val="008752BA"/>
    <w:rsid w:val="0087707F"/>
    <w:rsid w:val="00880AE4"/>
    <w:rsid w:val="00881756"/>
    <w:rsid w:val="0088337A"/>
    <w:rsid w:val="00884FBF"/>
    <w:rsid w:val="008858B1"/>
    <w:rsid w:val="00886511"/>
    <w:rsid w:val="00887480"/>
    <w:rsid w:val="00887FD2"/>
    <w:rsid w:val="00894D65"/>
    <w:rsid w:val="00895657"/>
    <w:rsid w:val="008966C9"/>
    <w:rsid w:val="00897A59"/>
    <w:rsid w:val="008A2A50"/>
    <w:rsid w:val="008A4BAB"/>
    <w:rsid w:val="008A662B"/>
    <w:rsid w:val="008A778E"/>
    <w:rsid w:val="008A7EED"/>
    <w:rsid w:val="008B399C"/>
    <w:rsid w:val="008B54A4"/>
    <w:rsid w:val="008B5D02"/>
    <w:rsid w:val="008B6038"/>
    <w:rsid w:val="008B7D19"/>
    <w:rsid w:val="008C617D"/>
    <w:rsid w:val="008C67B4"/>
    <w:rsid w:val="008C6E04"/>
    <w:rsid w:val="008D0955"/>
    <w:rsid w:val="008D099A"/>
    <w:rsid w:val="008D13F8"/>
    <w:rsid w:val="008D19E0"/>
    <w:rsid w:val="008D5D69"/>
    <w:rsid w:val="008E05A2"/>
    <w:rsid w:val="008E0F02"/>
    <w:rsid w:val="008E31FE"/>
    <w:rsid w:val="008E4EE4"/>
    <w:rsid w:val="008E61F1"/>
    <w:rsid w:val="008E6ABA"/>
    <w:rsid w:val="008E6C8B"/>
    <w:rsid w:val="008E7641"/>
    <w:rsid w:val="008F141B"/>
    <w:rsid w:val="008F5E85"/>
    <w:rsid w:val="008F70FC"/>
    <w:rsid w:val="008F7DAD"/>
    <w:rsid w:val="00900FB2"/>
    <w:rsid w:val="009015EF"/>
    <w:rsid w:val="00901DB7"/>
    <w:rsid w:val="00904499"/>
    <w:rsid w:val="00904AA6"/>
    <w:rsid w:val="00906B25"/>
    <w:rsid w:val="00906EE0"/>
    <w:rsid w:val="00912E3B"/>
    <w:rsid w:val="00916E16"/>
    <w:rsid w:val="009209D2"/>
    <w:rsid w:val="009235DA"/>
    <w:rsid w:val="00930118"/>
    <w:rsid w:val="009313F0"/>
    <w:rsid w:val="009325CD"/>
    <w:rsid w:val="00935232"/>
    <w:rsid w:val="009357B9"/>
    <w:rsid w:val="00935B34"/>
    <w:rsid w:val="00937D34"/>
    <w:rsid w:val="00941FC0"/>
    <w:rsid w:val="009462E4"/>
    <w:rsid w:val="009462EB"/>
    <w:rsid w:val="00946DBA"/>
    <w:rsid w:val="009501A5"/>
    <w:rsid w:val="0095029E"/>
    <w:rsid w:val="00950720"/>
    <w:rsid w:val="00950772"/>
    <w:rsid w:val="00951CB7"/>
    <w:rsid w:val="009606F2"/>
    <w:rsid w:val="00961274"/>
    <w:rsid w:val="00961CEF"/>
    <w:rsid w:val="00962975"/>
    <w:rsid w:val="00963A5D"/>
    <w:rsid w:val="009666EA"/>
    <w:rsid w:val="00970A22"/>
    <w:rsid w:val="00971AA2"/>
    <w:rsid w:val="00973D4B"/>
    <w:rsid w:val="009762B8"/>
    <w:rsid w:val="00981AB2"/>
    <w:rsid w:val="00981C49"/>
    <w:rsid w:val="009835B6"/>
    <w:rsid w:val="0098598E"/>
    <w:rsid w:val="0099104D"/>
    <w:rsid w:val="009960BD"/>
    <w:rsid w:val="009A2102"/>
    <w:rsid w:val="009A2379"/>
    <w:rsid w:val="009A270A"/>
    <w:rsid w:val="009A376E"/>
    <w:rsid w:val="009A6905"/>
    <w:rsid w:val="009B0D30"/>
    <w:rsid w:val="009B2C76"/>
    <w:rsid w:val="009B47BE"/>
    <w:rsid w:val="009B4AAA"/>
    <w:rsid w:val="009C00B4"/>
    <w:rsid w:val="009C186C"/>
    <w:rsid w:val="009C1D58"/>
    <w:rsid w:val="009C1E60"/>
    <w:rsid w:val="009C260F"/>
    <w:rsid w:val="009C2B05"/>
    <w:rsid w:val="009C3809"/>
    <w:rsid w:val="009C44F2"/>
    <w:rsid w:val="009C5FA5"/>
    <w:rsid w:val="009C62C2"/>
    <w:rsid w:val="009C6DB3"/>
    <w:rsid w:val="009D085C"/>
    <w:rsid w:val="009D3960"/>
    <w:rsid w:val="009D5073"/>
    <w:rsid w:val="009D5DD0"/>
    <w:rsid w:val="009D6C42"/>
    <w:rsid w:val="009D76F6"/>
    <w:rsid w:val="009D7D3B"/>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6E4A"/>
    <w:rsid w:val="00A20293"/>
    <w:rsid w:val="00A21B17"/>
    <w:rsid w:val="00A21E0B"/>
    <w:rsid w:val="00A22E72"/>
    <w:rsid w:val="00A26193"/>
    <w:rsid w:val="00A3120C"/>
    <w:rsid w:val="00A31C8C"/>
    <w:rsid w:val="00A337AF"/>
    <w:rsid w:val="00A34F35"/>
    <w:rsid w:val="00A41C16"/>
    <w:rsid w:val="00A4252F"/>
    <w:rsid w:val="00A43E5B"/>
    <w:rsid w:val="00A4492E"/>
    <w:rsid w:val="00A4524C"/>
    <w:rsid w:val="00A45CD1"/>
    <w:rsid w:val="00A51B03"/>
    <w:rsid w:val="00A51BDE"/>
    <w:rsid w:val="00A52025"/>
    <w:rsid w:val="00A551FD"/>
    <w:rsid w:val="00A5669E"/>
    <w:rsid w:val="00A57106"/>
    <w:rsid w:val="00A60435"/>
    <w:rsid w:val="00A61617"/>
    <w:rsid w:val="00A63925"/>
    <w:rsid w:val="00A63EC2"/>
    <w:rsid w:val="00A70DDB"/>
    <w:rsid w:val="00A7144E"/>
    <w:rsid w:val="00A73C9D"/>
    <w:rsid w:val="00A767FF"/>
    <w:rsid w:val="00A769D3"/>
    <w:rsid w:val="00A803FB"/>
    <w:rsid w:val="00A82845"/>
    <w:rsid w:val="00A839D1"/>
    <w:rsid w:val="00A85F9C"/>
    <w:rsid w:val="00A86330"/>
    <w:rsid w:val="00A86999"/>
    <w:rsid w:val="00A9167C"/>
    <w:rsid w:val="00A959CC"/>
    <w:rsid w:val="00AA246F"/>
    <w:rsid w:val="00AA2866"/>
    <w:rsid w:val="00AA2A90"/>
    <w:rsid w:val="00AA4BD2"/>
    <w:rsid w:val="00AA664D"/>
    <w:rsid w:val="00AB0BBE"/>
    <w:rsid w:val="00AB1E43"/>
    <w:rsid w:val="00AB43A7"/>
    <w:rsid w:val="00AB44AD"/>
    <w:rsid w:val="00AB5F14"/>
    <w:rsid w:val="00AB70E0"/>
    <w:rsid w:val="00AB751F"/>
    <w:rsid w:val="00AC05F9"/>
    <w:rsid w:val="00AC0D38"/>
    <w:rsid w:val="00AC2232"/>
    <w:rsid w:val="00AC28FC"/>
    <w:rsid w:val="00AC3BE8"/>
    <w:rsid w:val="00AC3F30"/>
    <w:rsid w:val="00AC5DF2"/>
    <w:rsid w:val="00AD03F1"/>
    <w:rsid w:val="00AD13A1"/>
    <w:rsid w:val="00AD16CF"/>
    <w:rsid w:val="00AD2CDE"/>
    <w:rsid w:val="00AD49B2"/>
    <w:rsid w:val="00AD5688"/>
    <w:rsid w:val="00AD5E0C"/>
    <w:rsid w:val="00AD65A2"/>
    <w:rsid w:val="00AD775E"/>
    <w:rsid w:val="00AE040F"/>
    <w:rsid w:val="00AE0617"/>
    <w:rsid w:val="00AE6E0C"/>
    <w:rsid w:val="00AE7343"/>
    <w:rsid w:val="00AE7E5F"/>
    <w:rsid w:val="00AF0BB1"/>
    <w:rsid w:val="00AF201C"/>
    <w:rsid w:val="00AF3DFF"/>
    <w:rsid w:val="00AF400D"/>
    <w:rsid w:val="00B012B5"/>
    <w:rsid w:val="00B03B6E"/>
    <w:rsid w:val="00B041B3"/>
    <w:rsid w:val="00B04FC9"/>
    <w:rsid w:val="00B07CFC"/>
    <w:rsid w:val="00B12763"/>
    <w:rsid w:val="00B12DBC"/>
    <w:rsid w:val="00B13F4C"/>
    <w:rsid w:val="00B16451"/>
    <w:rsid w:val="00B208BA"/>
    <w:rsid w:val="00B22B58"/>
    <w:rsid w:val="00B24B44"/>
    <w:rsid w:val="00B2548E"/>
    <w:rsid w:val="00B30803"/>
    <w:rsid w:val="00B31C19"/>
    <w:rsid w:val="00B335E4"/>
    <w:rsid w:val="00B34F46"/>
    <w:rsid w:val="00B36C5C"/>
    <w:rsid w:val="00B37478"/>
    <w:rsid w:val="00B428F2"/>
    <w:rsid w:val="00B435FB"/>
    <w:rsid w:val="00B45E8F"/>
    <w:rsid w:val="00B46CB3"/>
    <w:rsid w:val="00B47D24"/>
    <w:rsid w:val="00B51453"/>
    <w:rsid w:val="00B51554"/>
    <w:rsid w:val="00B51739"/>
    <w:rsid w:val="00B53061"/>
    <w:rsid w:val="00B53E8C"/>
    <w:rsid w:val="00B55C18"/>
    <w:rsid w:val="00B56258"/>
    <w:rsid w:val="00B56B96"/>
    <w:rsid w:val="00B63AC6"/>
    <w:rsid w:val="00B64054"/>
    <w:rsid w:val="00B65A74"/>
    <w:rsid w:val="00B65DBF"/>
    <w:rsid w:val="00B70F8B"/>
    <w:rsid w:val="00B71578"/>
    <w:rsid w:val="00B720DF"/>
    <w:rsid w:val="00B726AE"/>
    <w:rsid w:val="00B735AD"/>
    <w:rsid w:val="00B7386A"/>
    <w:rsid w:val="00B74502"/>
    <w:rsid w:val="00B755FB"/>
    <w:rsid w:val="00B757CE"/>
    <w:rsid w:val="00B76EB7"/>
    <w:rsid w:val="00B771F9"/>
    <w:rsid w:val="00B80736"/>
    <w:rsid w:val="00B8153A"/>
    <w:rsid w:val="00B81902"/>
    <w:rsid w:val="00B92EB2"/>
    <w:rsid w:val="00B97308"/>
    <w:rsid w:val="00BA268C"/>
    <w:rsid w:val="00BA3508"/>
    <w:rsid w:val="00BA4274"/>
    <w:rsid w:val="00BA4B7B"/>
    <w:rsid w:val="00BA56C2"/>
    <w:rsid w:val="00BB1214"/>
    <w:rsid w:val="00BB1CA6"/>
    <w:rsid w:val="00BB6342"/>
    <w:rsid w:val="00BB7FAA"/>
    <w:rsid w:val="00BC3874"/>
    <w:rsid w:val="00BC6B44"/>
    <w:rsid w:val="00BC6CD4"/>
    <w:rsid w:val="00BC7BC3"/>
    <w:rsid w:val="00BD0960"/>
    <w:rsid w:val="00BD3F6A"/>
    <w:rsid w:val="00BD4BED"/>
    <w:rsid w:val="00BD5610"/>
    <w:rsid w:val="00BD56DB"/>
    <w:rsid w:val="00BE40B8"/>
    <w:rsid w:val="00BE462E"/>
    <w:rsid w:val="00BE6BD7"/>
    <w:rsid w:val="00BF130A"/>
    <w:rsid w:val="00BF185F"/>
    <w:rsid w:val="00BF2C83"/>
    <w:rsid w:val="00BF40F9"/>
    <w:rsid w:val="00BF5FB2"/>
    <w:rsid w:val="00BF6B8A"/>
    <w:rsid w:val="00BF7E9A"/>
    <w:rsid w:val="00C00D7C"/>
    <w:rsid w:val="00C0231B"/>
    <w:rsid w:val="00C103D4"/>
    <w:rsid w:val="00C10771"/>
    <w:rsid w:val="00C1162E"/>
    <w:rsid w:val="00C13466"/>
    <w:rsid w:val="00C134F4"/>
    <w:rsid w:val="00C14370"/>
    <w:rsid w:val="00C148C0"/>
    <w:rsid w:val="00C14E6E"/>
    <w:rsid w:val="00C23B0F"/>
    <w:rsid w:val="00C2526E"/>
    <w:rsid w:val="00C261EA"/>
    <w:rsid w:val="00C3204F"/>
    <w:rsid w:val="00C3671A"/>
    <w:rsid w:val="00C36875"/>
    <w:rsid w:val="00C425B0"/>
    <w:rsid w:val="00C42F30"/>
    <w:rsid w:val="00C46925"/>
    <w:rsid w:val="00C46CD6"/>
    <w:rsid w:val="00C47829"/>
    <w:rsid w:val="00C54773"/>
    <w:rsid w:val="00C558CC"/>
    <w:rsid w:val="00C55FAC"/>
    <w:rsid w:val="00C56AA5"/>
    <w:rsid w:val="00C56C38"/>
    <w:rsid w:val="00C6161E"/>
    <w:rsid w:val="00C63986"/>
    <w:rsid w:val="00C675E4"/>
    <w:rsid w:val="00C67D60"/>
    <w:rsid w:val="00C70515"/>
    <w:rsid w:val="00C804F7"/>
    <w:rsid w:val="00C82B0E"/>
    <w:rsid w:val="00C84D6D"/>
    <w:rsid w:val="00C85B97"/>
    <w:rsid w:val="00C85E5E"/>
    <w:rsid w:val="00C86F1B"/>
    <w:rsid w:val="00C9096D"/>
    <w:rsid w:val="00C91BC1"/>
    <w:rsid w:val="00C923C7"/>
    <w:rsid w:val="00C93767"/>
    <w:rsid w:val="00C9537C"/>
    <w:rsid w:val="00C95930"/>
    <w:rsid w:val="00C96E7C"/>
    <w:rsid w:val="00C97D17"/>
    <w:rsid w:val="00CA00E8"/>
    <w:rsid w:val="00CA069C"/>
    <w:rsid w:val="00CA1917"/>
    <w:rsid w:val="00CA1A4C"/>
    <w:rsid w:val="00CA2A8C"/>
    <w:rsid w:val="00CA35CF"/>
    <w:rsid w:val="00CA3A76"/>
    <w:rsid w:val="00CA56DB"/>
    <w:rsid w:val="00CA6997"/>
    <w:rsid w:val="00CA7E9C"/>
    <w:rsid w:val="00CB38D7"/>
    <w:rsid w:val="00CB6600"/>
    <w:rsid w:val="00CB7762"/>
    <w:rsid w:val="00CC01E7"/>
    <w:rsid w:val="00CC30E1"/>
    <w:rsid w:val="00CC423B"/>
    <w:rsid w:val="00CC56AF"/>
    <w:rsid w:val="00CC7A1F"/>
    <w:rsid w:val="00CD225E"/>
    <w:rsid w:val="00CD3768"/>
    <w:rsid w:val="00CD5D9B"/>
    <w:rsid w:val="00CD756F"/>
    <w:rsid w:val="00CE08D4"/>
    <w:rsid w:val="00CE299E"/>
    <w:rsid w:val="00CE3B6F"/>
    <w:rsid w:val="00CE59D4"/>
    <w:rsid w:val="00CF0FA2"/>
    <w:rsid w:val="00CF494E"/>
    <w:rsid w:val="00D016D5"/>
    <w:rsid w:val="00D01C64"/>
    <w:rsid w:val="00D02743"/>
    <w:rsid w:val="00D0448D"/>
    <w:rsid w:val="00D10242"/>
    <w:rsid w:val="00D11C98"/>
    <w:rsid w:val="00D12F9C"/>
    <w:rsid w:val="00D13E9D"/>
    <w:rsid w:val="00D148F7"/>
    <w:rsid w:val="00D15FA8"/>
    <w:rsid w:val="00D17C6C"/>
    <w:rsid w:val="00D23F94"/>
    <w:rsid w:val="00D246AB"/>
    <w:rsid w:val="00D2481B"/>
    <w:rsid w:val="00D25ED9"/>
    <w:rsid w:val="00D275F2"/>
    <w:rsid w:val="00D30EAF"/>
    <w:rsid w:val="00D32CD4"/>
    <w:rsid w:val="00D34759"/>
    <w:rsid w:val="00D41370"/>
    <w:rsid w:val="00D429E3"/>
    <w:rsid w:val="00D434B2"/>
    <w:rsid w:val="00D44626"/>
    <w:rsid w:val="00D505FA"/>
    <w:rsid w:val="00D508EE"/>
    <w:rsid w:val="00D50A14"/>
    <w:rsid w:val="00D5101F"/>
    <w:rsid w:val="00D5236E"/>
    <w:rsid w:val="00D532E1"/>
    <w:rsid w:val="00D55A52"/>
    <w:rsid w:val="00D5633E"/>
    <w:rsid w:val="00D617EB"/>
    <w:rsid w:val="00D622E0"/>
    <w:rsid w:val="00D64133"/>
    <w:rsid w:val="00D65F8D"/>
    <w:rsid w:val="00D71A37"/>
    <w:rsid w:val="00D72C08"/>
    <w:rsid w:val="00D7394A"/>
    <w:rsid w:val="00D75C93"/>
    <w:rsid w:val="00D7641E"/>
    <w:rsid w:val="00D77286"/>
    <w:rsid w:val="00D816AA"/>
    <w:rsid w:val="00D83BDC"/>
    <w:rsid w:val="00D851A1"/>
    <w:rsid w:val="00D8597C"/>
    <w:rsid w:val="00D92EF6"/>
    <w:rsid w:val="00D96A6E"/>
    <w:rsid w:val="00DA3130"/>
    <w:rsid w:val="00DA58E4"/>
    <w:rsid w:val="00DB0E66"/>
    <w:rsid w:val="00DB2655"/>
    <w:rsid w:val="00DB2B03"/>
    <w:rsid w:val="00DB4F16"/>
    <w:rsid w:val="00DC0C90"/>
    <w:rsid w:val="00DC2653"/>
    <w:rsid w:val="00DC4C2A"/>
    <w:rsid w:val="00DC6996"/>
    <w:rsid w:val="00DC6C13"/>
    <w:rsid w:val="00DC7E9F"/>
    <w:rsid w:val="00DD0B99"/>
    <w:rsid w:val="00DD195C"/>
    <w:rsid w:val="00DD40E9"/>
    <w:rsid w:val="00DD426E"/>
    <w:rsid w:val="00DD600D"/>
    <w:rsid w:val="00DD6E72"/>
    <w:rsid w:val="00DD7797"/>
    <w:rsid w:val="00DE2FA0"/>
    <w:rsid w:val="00DE3A89"/>
    <w:rsid w:val="00DE6465"/>
    <w:rsid w:val="00DE6711"/>
    <w:rsid w:val="00DF3105"/>
    <w:rsid w:val="00DF3DE4"/>
    <w:rsid w:val="00DF3E87"/>
    <w:rsid w:val="00DF423A"/>
    <w:rsid w:val="00DF756F"/>
    <w:rsid w:val="00E0036C"/>
    <w:rsid w:val="00E00B2E"/>
    <w:rsid w:val="00E023DF"/>
    <w:rsid w:val="00E05508"/>
    <w:rsid w:val="00E0551F"/>
    <w:rsid w:val="00E05E14"/>
    <w:rsid w:val="00E1428C"/>
    <w:rsid w:val="00E1739C"/>
    <w:rsid w:val="00E24F24"/>
    <w:rsid w:val="00E32272"/>
    <w:rsid w:val="00E32B08"/>
    <w:rsid w:val="00E3344C"/>
    <w:rsid w:val="00E35707"/>
    <w:rsid w:val="00E35DD8"/>
    <w:rsid w:val="00E37623"/>
    <w:rsid w:val="00E422F7"/>
    <w:rsid w:val="00E433EB"/>
    <w:rsid w:val="00E477EF"/>
    <w:rsid w:val="00E5194C"/>
    <w:rsid w:val="00E51972"/>
    <w:rsid w:val="00E51C23"/>
    <w:rsid w:val="00E53B2B"/>
    <w:rsid w:val="00E5503F"/>
    <w:rsid w:val="00E55B5E"/>
    <w:rsid w:val="00E56B57"/>
    <w:rsid w:val="00E57385"/>
    <w:rsid w:val="00E60777"/>
    <w:rsid w:val="00E62DA0"/>
    <w:rsid w:val="00E64C0D"/>
    <w:rsid w:val="00E64C57"/>
    <w:rsid w:val="00E65016"/>
    <w:rsid w:val="00E6693D"/>
    <w:rsid w:val="00E66F14"/>
    <w:rsid w:val="00E7103C"/>
    <w:rsid w:val="00E72DEE"/>
    <w:rsid w:val="00E7349B"/>
    <w:rsid w:val="00E73AB1"/>
    <w:rsid w:val="00E73C3B"/>
    <w:rsid w:val="00E74758"/>
    <w:rsid w:val="00E74A45"/>
    <w:rsid w:val="00E74F32"/>
    <w:rsid w:val="00E82529"/>
    <w:rsid w:val="00E839E0"/>
    <w:rsid w:val="00E846EF"/>
    <w:rsid w:val="00E849D1"/>
    <w:rsid w:val="00E84B4C"/>
    <w:rsid w:val="00E85ADB"/>
    <w:rsid w:val="00E86621"/>
    <w:rsid w:val="00E93AC5"/>
    <w:rsid w:val="00E94579"/>
    <w:rsid w:val="00E9459D"/>
    <w:rsid w:val="00E97110"/>
    <w:rsid w:val="00E9798C"/>
    <w:rsid w:val="00EA0B57"/>
    <w:rsid w:val="00EA1035"/>
    <w:rsid w:val="00EA1F98"/>
    <w:rsid w:val="00EA260E"/>
    <w:rsid w:val="00EA37C1"/>
    <w:rsid w:val="00EA3C4B"/>
    <w:rsid w:val="00EA5D83"/>
    <w:rsid w:val="00EA76CF"/>
    <w:rsid w:val="00EB1DC5"/>
    <w:rsid w:val="00EB1F25"/>
    <w:rsid w:val="00EB340B"/>
    <w:rsid w:val="00EB41D1"/>
    <w:rsid w:val="00EB54DF"/>
    <w:rsid w:val="00EB5C12"/>
    <w:rsid w:val="00EC014B"/>
    <w:rsid w:val="00EC0EEB"/>
    <w:rsid w:val="00EC20A8"/>
    <w:rsid w:val="00EC4DA7"/>
    <w:rsid w:val="00EC4DAA"/>
    <w:rsid w:val="00EC5B1A"/>
    <w:rsid w:val="00EC6112"/>
    <w:rsid w:val="00EC7446"/>
    <w:rsid w:val="00ED1774"/>
    <w:rsid w:val="00ED2EED"/>
    <w:rsid w:val="00ED361D"/>
    <w:rsid w:val="00ED3967"/>
    <w:rsid w:val="00ED436B"/>
    <w:rsid w:val="00ED4D74"/>
    <w:rsid w:val="00ED51F7"/>
    <w:rsid w:val="00ED6978"/>
    <w:rsid w:val="00ED7A88"/>
    <w:rsid w:val="00EE0752"/>
    <w:rsid w:val="00EE0BE9"/>
    <w:rsid w:val="00EE2198"/>
    <w:rsid w:val="00EE3A0B"/>
    <w:rsid w:val="00EE4D80"/>
    <w:rsid w:val="00EE5ADB"/>
    <w:rsid w:val="00EE627E"/>
    <w:rsid w:val="00EF0F24"/>
    <w:rsid w:val="00EF150B"/>
    <w:rsid w:val="00EF17C7"/>
    <w:rsid w:val="00EF2803"/>
    <w:rsid w:val="00EF32E8"/>
    <w:rsid w:val="00EF3978"/>
    <w:rsid w:val="00EF6658"/>
    <w:rsid w:val="00F012CC"/>
    <w:rsid w:val="00F01B5D"/>
    <w:rsid w:val="00F03F5A"/>
    <w:rsid w:val="00F11E42"/>
    <w:rsid w:val="00F12347"/>
    <w:rsid w:val="00F13525"/>
    <w:rsid w:val="00F14763"/>
    <w:rsid w:val="00F16830"/>
    <w:rsid w:val="00F209DC"/>
    <w:rsid w:val="00F22592"/>
    <w:rsid w:val="00F23ECA"/>
    <w:rsid w:val="00F24DD9"/>
    <w:rsid w:val="00F2528C"/>
    <w:rsid w:val="00F32735"/>
    <w:rsid w:val="00F32CDA"/>
    <w:rsid w:val="00F348A6"/>
    <w:rsid w:val="00F36F9F"/>
    <w:rsid w:val="00F424D0"/>
    <w:rsid w:val="00F42EEF"/>
    <w:rsid w:val="00F42EF2"/>
    <w:rsid w:val="00F433FF"/>
    <w:rsid w:val="00F4414C"/>
    <w:rsid w:val="00F442E0"/>
    <w:rsid w:val="00F44F9D"/>
    <w:rsid w:val="00F473B3"/>
    <w:rsid w:val="00F476C7"/>
    <w:rsid w:val="00F50AB2"/>
    <w:rsid w:val="00F51457"/>
    <w:rsid w:val="00F52884"/>
    <w:rsid w:val="00F54381"/>
    <w:rsid w:val="00F549CF"/>
    <w:rsid w:val="00F56D41"/>
    <w:rsid w:val="00F57D8B"/>
    <w:rsid w:val="00F602FC"/>
    <w:rsid w:val="00F60EAE"/>
    <w:rsid w:val="00F61E67"/>
    <w:rsid w:val="00F63670"/>
    <w:rsid w:val="00F65276"/>
    <w:rsid w:val="00F721D0"/>
    <w:rsid w:val="00F73F1B"/>
    <w:rsid w:val="00F742B5"/>
    <w:rsid w:val="00F776EA"/>
    <w:rsid w:val="00F80CE5"/>
    <w:rsid w:val="00F8253D"/>
    <w:rsid w:val="00F82C93"/>
    <w:rsid w:val="00F84A33"/>
    <w:rsid w:val="00F9388E"/>
    <w:rsid w:val="00F94A0B"/>
    <w:rsid w:val="00F95688"/>
    <w:rsid w:val="00F978EA"/>
    <w:rsid w:val="00FA2083"/>
    <w:rsid w:val="00FA22E2"/>
    <w:rsid w:val="00FA335C"/>
    <w:rsid w:val="00FA423C"/>
    <w:rsid w:val="00FA5344"/>
    <w:rsid w:val="00FA549B"/>
    <w:rsid w:val="00FB0268"/>
    <w:rsid w:val="00FB157B"/>
    <w:rsid w:val="00FB5B08"/>
    <w:rsid w:val="00FC3FDF"/>
    <w:rsid w:val="00FC4C5B"/>
    <w:rsid w:val="00FC5E5A"/>
    <w:rsid w:val="00FC64B2"/>
    <w:rsid w:val="00FC688A"/>
    <w:rsid w:val="00FC70A7"/>
    <w:rsid w:val="00FC79ED"/>
    <w:rsid w:val="00FD0A4D"/>
    <w:rsid w:val="00FD2FA0"/>
    <w:rsid w:val="00FD551E"/>
    <w:rsid w:val="00FE1227"/>
    <w:rsid w:val="00FE21A8"/>
    <w:rsid w:val="00FE25CB"/>
    <w:rsid w:val="00FE4859"/>
    <w:rsid w:val="00FE4936"/>
    <w:rsid w:val="00FE5300"/>
    <w:rsid w:val="00FE6E46"/>
    <w:rsid w:val="00FE7FAD"/>
    <w:rsid w:val="00FF2592"/>
    <w:rsid w:val="00FF2F4D"/>
    <w:rsid w:val="00FF35AC"/>
    <w:rsid w:val="00FF3F0A"/>
    <w:rsid w:val="00FF7076"/>
    <w:rsid w:val="012873D3"/>
    <w:rsid w:val="01FF4424"/>
    <w:rsid w:val="02216D3A"/>
    <w:rsid w:val="024E68F9"/>
    <w:rsid w:val="02A46519"/>
    <w:rsid w:val="02F30FA1"/>
    <w:rsid w:val="02F63338"/>
    <w:rsid w:val="030D48BA"/>
    <w:rsid w:val="033864A3"/>
    <w:rsid w:val="03643BFA"/>
    <w:rsid w:val="03FD2B47"/>
    <w:rsid w:val="04AB5652"/>
    <w:rsid w:val="04B34A97"/>
    <w:rsid w:val="04CA3A27"/>
    <w:rsid w:val="051E065A"/>
    <w:rsid w:val="051E730E"/>
    <w:rsid w:val="05976809"/>
    <w:rsid w:val="05E05C5A"/>
    <w:rsid w:val="060E3029"/>
    <w:rsid w:val="06F91383"/>
    <w:rsid w:val="073703E6"/>
    <w:rsid w:val="074129F6"/>
    <w:rsid w:val="076237F1"/>
    <w:rsid w:val="077A5294"/>
    <w:rsid w:val="077C4770"/>
    <w:rsid w:val="07821620"/>
    <w:rsid w:val="07B863C6"/>
    <w:rsid w:val="07E973B8"/>
    <w:rsid w:val="07F27FE4"/>
    <w:rsid w:val="07FB5C8D"/>
    <w:rsid w:val="08730E67"/>
    <w:rsid w:val="089963F4"/>
    <w:rsid w:val="09694699"/>
    <w:rsid w:val="096E3BEA"/>
    <w:rsid w:val="09B04647"/>
    <w:rsid w:val="09E8138B"/>
    <w:rsid w:val="0A1A0F95"/>
    <w:rsid w:val="0A410AF1"/>
    <w:rsid w:val="0AA7304A"/>
    <w:rsid w:val="0AF535C5"/>
    <w:rsid w:val="0B5D0917"/>
    <w:rsid w:val="0BC3618B"/>
    <w:rsid w:val="0BEC7FAC"/>
    <w:rsid w:val="0C0C22EF"/>
    <w:rsid w:val="0CA24A88"/>
    <w:rsid w:val="0D3A0B07"/>
    <w:rsid w:val="0D57008A"/>
    <w:rsid w:val="0DA56F93"/>
    <w:rsid w:val="0DC82ED4"/>
    <w:rsid w:val="0DDF7285"/>
    <w:rsid w:val="0E3B46FF"/>
    <w:rsid w:val="0E7E1C83"/>
    <w:rsid w:val="0E96355F"/>
    <w:rsid w:val="0F1042CD"/>
    <w:rsid w:val="0F2B00EC"/>
    <w:rsid w:val="0F3A332A"/>
    <w:rsid w:val="0F4F195C"/>
    <w:rsid w:val="0FB32491"/>
    <w:rsid w:val="10212C1F"/>
    <w:rsid w:val="1049527D"/>
    <w:rsid w:val="10DD2045"/>
    <w:rsid w:val="11013D8E"/>
    <w:rsid w:val="110E7380"/>
    <w:rsid w:val="11471B69"/>
    <w:rsid w:val="11D46C43"/>
    <w:rsid w:val="127401F4"/>
    <w:rsid w:val="12D71EF6"/>
    <w:rsid w:val="12F22C97"/>
    <w:rsid w:val="12F32609"/>
    <w:rsid w:val="12FA67BA"/>
    <w:rsid w:val="142011A6"/>
    <w:rsid w:val="149A2129"/>
    <w:rsid w:val="151B6002"/>
    <w:rsid w:val="15541E70"/>
    <w:rsid w:val="15965C16"/>
    <w:rsid w:val="15A444A6"/>
    <w:rsid w:val="16277A0B"/>
    <w:rsid w:val="16852D6C"/>
    <w:rsid w:val="16A22D96"/>
    <w:rsid w:val="16B824F6"/>
    <w:rsid w:val="17042475"/>
    <w:rsid w:val="170B5850"/>
    <w:rsid w:val="17491AA3"/>
    <w:rsid w:val="17AC7ACF"/>
    <w:rsid w:val="17B24919"/>
    <w:rsid w:val="17B4163D"/>
    <w:rsid w:val="17F94FFE"/>
    <w:rsid w:val="18215140"/>
    <w:rsid w:val="18AF29F3"/>
    <w:rsid w:val="18CF3F42"/>
    <w:rsid w:val="19096A08"/>
    <w:rsid w:val="191D1A5A"/>
    <w:rsid w:val="198C5139"/>
    <w:rsid w:val="19D16536"/>
    <w:rsid w:val="1A7C0A8D"/>
    <w:rsid w:val="1A9F5AEC"/>
    <w:rsid w:val="1AA306F8"/>
    <w:rsid w:val="1AA661CD"/>
    <w:rsid w:val="1B544BA9"/>
    <w:rsid w:val="1C0B3DF2"/>
    <w:rsid w:val="1C986EAE"/>
    <w:rsid w:val="1CBE0E0D"/>
    <w:rsid w:val="1CDB58A1"/>
    <w:rsid w:val="1D872523"/>
    <w:rsid w:val="1E097B16"/>
    <w:rsid w:val="1EE417E6"/>
    <w:rsid w:val="1F5A427B"/>
    <w:rsid w:val="1F7D0870"/>
    <w:rsid w:val="200F5119"/>
    <w:rsid w:val="205839ED"/>
    <w:rsid w:val="20EE6FC1"/>
    <w:rsid w:val="20FF72E4"/>
    <w:rsid w:val="21606878"/>
    <w:rsid w:val="216F01B9"/>
    <w:rsid w:val="21D04B19"/>
    <w:rsid w:val="22027AEB"/>
    <w:rsid w:val="22434229"/>
    <w:rsid w:val="225B170F"/>
    <w:rsid w:val="22695E7F"/>
    <w:rsid w:val="22D16568"/>
    <w:rsid w:val="238C7ABE"/>
    <w:rsid w:val="23A42D0F"/>
    <w:rsid w:val="24062928"/>
    <w:rsid w:val="242D5F16"/>
    <w:rsid w:val="24446463"/>
    <w:rsid w:val="24462A2D"/>
    <w:rsid w:val="244F2331"/>
    <w:rsid w:val="25761FE8"/>
    <w:rsid w:val="257E60C5"/>
    <w:rsid w:val="25E548F8"/>
    <w:rsid w:val="268D5392"/>
    <w:rsid w:val="26B36D0C"/>
    <w:rsid w:val="26C70FC3"/>
    <w:rsid w:val="272F3A51"/>
    <w:rsid w:val="273E1601"/>
    <w:rsid w:val="279E1617"/>
    <w:rsid w:val="2826227E"/>
    <w:rsid w:val="2851287E"/>
    <w:rsid w:val="28694577"/>
    <w:rsid w:val="287B6634"/>
    <w:rsid w:val="28DA2521"/>
    <w:rsid w:val="28F71319"/>
    <w:rsid w:val="29362D86"/>
    <w:rsid w:val="298A0B02"/>
    <w:rsid w:val="2A4E3D69"/>
    <w:rsid w:val="2A613464"/>
    <w:rsid w:val="2AA43BDC"/>
    <w:rsid w:val="2AC776EE"/>
    <w:rsid w:val="2B5F21E3"/>
    <w:rsid w:val="2B673197"/>
    <w:rsid w:val="2B682035"/>
    <w:rsid w:val="2B6D072C"/>
    <w:rsid w:val="2BAE36BF"/>
    <w:rsid w:val="2BBD0E20"/>
    <w:rsid w:val="2BCB3F2A"/>
    <w:rsid w:val="2C102611"/>
    <w:rsid w:val="2C29369E"/>
    <w:rsid w:val="2CB429FC"/>
    <w:rsid w:val="2CD86E96"/>
    <w:rsid w:val="2CEC12AF"/>
    <w:rsid w:val="2D5876B0"/>
    <w:rsid w:val="2D8B5B8E"/>
    <w:rsid w:val="2D9E5FEC"/>
    <w:rsid w:val="2DA54C95"/>
    <w:rsid w:val="2DC14C40"/>
    <w:rsid w:val="2E0106EE"/>
    <w:rsid w:val="2E4A46A0"/>
    <w:rsid w:val="2E5A62D6"/>
    <w:rsid w:val="2EC13E2B"/>
    <w:rsid w:val="2EF72DA2"/>
    <w:rsid w:val="2F3515C3"/>
    <w:rsid w:val="2F444FB7"/>
    <w:rsid w:val="2F5C4B81"/>
    <w:rsid w:val="2F7F2A7C"/>
    <w:rsid w:val="2FF66AF0"/>
    <w:rsid w:val="30440F23"/>
    <w:rsid w:val="307A6B0F"/>
    <w:rsid w:val="309B2290"/>
    <w:rsid w:val="30B11C7D"/>
    <w:rsid w:val="30B8766B"/>
    <w:rsid w:val="317407C0"/>
    <w:rsid w:val="31AB7E01"/>
    <w:rsid w:val="31EF68A0"/>
    <w:rsid w:val="32360524"/>
    <w:rsid w:val="327B333F"/>
    <w:rsid w:val="32B3311C"/>
    <w:rsid w:val="32F721BB"/>
    <w:rsid w:val="33055822"/>
    <w:rsid w:val="33B83428"/>
    <w:rsid w:val="342F6C69"/>
    <w:rsid w:val="351C14C7"/>
    <w:rsid w:val="360F096A"/>
    <w:rsid w:val="36650F9B"/>
    <w:rsid w:val="367714D5"/>
    <w:rsid w:val="36A112B4"/>
    <w:rsid w:val="36D0551D"/>
    <w:rsid w:val="370F7887"/>
    <w:rsid w:val="373042D6"/>
    <w:rsid w:val="37C21D9F"/>
    <w:rsid w:val="387D5954"/>
    <w:rsid w:val="398B7F95"/>
    <w:rsid w:val="39CE38A0"/>
    <w:rsid w:val="39EC1F75"/>
    <w:rsid w:val="3A97759B"/>
    <w:rsid w:val="3A990BD3"/>
    <w:rsid w:val="3ABB6E42"/>
    <w:rsid w:val="3B4E457E"/>
    <w:rsid w:val="3B925A7B"/>
    <w:rsid w:val="3BB367AF"/>
    <w:rsid w:val="3C024B7D"/>
    <w:rsid w:val="3C036C94"/>
    <w:rsid w:val="3C7F4EBC"/>
    <w:rsid w:val="3D28348C"/>
    <w:rsid w:val="3D4E6851"/>
    <w:rsid w:val="3E6A16C2"/>
    <w:rsid w:val="3E742C68"/>
    <w:rsid w:val="3F4C22CC"/>
    <w:rsid w:val="3F676452"/>
    <w:rsid w:val="3F722FD2"/>
    <w:rsid w:val="40E00FF5"/>
    <w:rsid w:val="40E26775"/>
    <w:rsid w:val="40FF1D3F"/>
    <w:rsid w:val="413A6513"/>
    <w:rsid w:val="41655958"/>
    <w:rsid w:val="41CD6A92"/>
    <w:rsid w:val="42155166"/>
    <w:rsid w:val="42DE7C74"/>
    <w:rsid w:val="431351B4"/>
    <w:rsid w:val="435528D9"/>
    <w:rsid w:val="43CA2CF3"/>
    <w:rsid w:val="43F76E22"/>
    <w:rsid w:val="44085AAD"/>
    <w:rsid w:val="441962C2"/>
    <w:rsid w:val="4474179A"/>
    <w:rsid w:val="447E34CE"/>
    <w:rsid w:val="454E749C"/>
    <w:rsid w:val="45C44973"/>
    <w:rsid w:val="45C86CE6"/>
    <w:rsid w:val="46947558"/>
    <w:rsid w:val="46CE0556"/>
    <w:rsid w:val="47220DE6"/>
    <w:rsid w:val="472964E3"/>
    <w:rsid w:val="48374FFD"/>
    <w:rsid w:val="487E1EBD"/>
    <w:rsid w:val="49331310"/>
    <w:rsid w:val="49376C21"/>
    <w:rsid w:val="49602681"/>
    <w:rsid w:val="499B7670"/>
    <w:rsid w:val="4A3A5B69"/>
    <w:rsid w:val="4AFA3073"/>
    <w:rsid w:val="4BE66A88"/>
    <w:rsid w:val="4BF64008"/>
    <w:rsid w:val="4C46012D"/>
    <w:rsid w:val="4C6E6AB7"/>
    <w:rsid w:val="4D0946BF"/>
    <w:rsid w:val="4D0D6DF9"/>
    <w:rsid w:val="4D9C7AE5"/>
    <w:rsid w:val="4DBA6C70"/>
    <w:rsid w:val="4DF27B79"/>
    <w:rsid w:val="4EA76BC0"/>
    <w:rsid w:val="4EE942B4"/>
    <w:rsid w:val="4FBC536C"/>
    <w:rsid w:val="507D45E4"/>
    <w:rsid w:val="50881B51"/>
    <w:rsid w:val="50EE1548"/>
    <w:rsid w:val="50F24694"/>
    <w:rsid w:val="51680891"/>
    <w:rsid w:val="51E657D3"/>
    <w:rsid w:val="522B0010"/>
    <w:rsid w:val="5261561F"/>
    <w:rsid w:val="528944A5"/>
    <w:rsid w:val="53430059"/>
    <w:rsid w:val="53BD310A"/>
    <w:rsid w:val="549C7D26"/>
    <w:rsid w:val="54FD71F3"/>
    <w:rsid w:val="55245CBF"/>
    <w:rsid w:val="554117B3"/>
    <w:rsid w:val="55430893"/>
    <w:rsid w:val="55F00D79"/>
    <w:rsid w:val="564035F9"/>
    <w:rsid w:val="56452972"/>
    <w:rsid w:val="56682C5A"/>
    <w:rsid w:val="567F493A"/>
    <w:rsid w:val="56FE2C18"/>
    <w:rsid w:val="573D3418"/>
    <w:rsid w:val="57FD3B20"/>
    <w:rsid w:val="58743911"/>
    <w:rsid w:val="58CB74D0"/>
    <w:rsid w:val="5900647B"/>
    <w:rsid w:val="597C1F53"/>
    <w:rsid w:val="5A170196"/>
    <w:rsid w:val="5A884032"/>
    <w:rsid w:val="5A9A2835"/>
    <w:rsid w:val="5A9C5E01"/>
    <w:rsid w:val="5ABE4CD9"/>
    <w:rsid w:val="5AE704EB"/>
    <w:rsid w:val="5B1D2B82"/>
    <w:rsid w:val="5B3B189C"/>
    <w:rsid w:val="5B443073"/>
    <w:rsid w:val="5BEF76E9"/>
    <w:rsid w:val="5C0774F8"/>
    <w:rsid w:val="5C0B5B78"/>
    <w:rsid w:val="5C460274"/>
    <w:rsid w:val="5C8D1C50"/>
    <w:rsid w:val="5CC31209"/>
    <w:rsid w:val="5CC70097"/>
    <w:rsid w:val="5CE337FB"/>
    <w:rsid w:val="5D8435B9"/>
    <w:rsid w:val="5E474816"/>
    <w:rsid w:val="5EDA3472"/>
    <w:rsid w:val="5EFB1948"/>
    <w:rsid w:val="5F1662FE"/>
    <w:rsid w:val="5F965A98"/>
    <w:rsid w:val="5F9F1F82"/>
    <w:rsid w:val="5FC339E0"/>
    <w:rsid w:val="5FD63333"/>
    <w:rsid w:val="601F3B75"/>
    <w:rsid w:val="60464B44"/>
    <w:rsid w:val="60997E3E"/>
    <w:rsid w:val="60C00F52"/>
    <w:rsid w:val="6171498D"/>
    <w:rsid w:val="620B6F39"/>
    <w:rsid w:val="6223037D"/>
    <w:rsid w:val="62255DD6"/>
    <w:rsid w:val="623C4F9B"/>
    <w:rsid w:val="6265008E"/>
    <w:rsid w:val="63376556"/>
    <w:rsid w:val="634C5B54"/>
    <w:rsid w:val="64485E79"/>
    <w:rsid w:val="646E28D0"/>
    <w:rsid w:val="648F3A02"/>
    <w:rsid w:val="64DB098F"/>
    <w:rsid w:val="6501360D"/>
    <w:rsid w:val="659906FE"/>
    <w:rsid w:val="65B6317D"/>
    <w:rsid w:val="65F804E8"/>
    <w:rsid w:val="6672542F"/>
    <w:rsid w:val="66AB22D9"/>
    <w:rsid w:val="66C022CE"/>
    <w:rsid w:val="66D41533"/>
    <w:rsid w:val="66F520BA"/>
    <w:rsid w:val="675A22F6"/>
    <w:rsid w:val="67C21C34"/>
    <w:rsid w:val="67EA6B3C"/>
    <w:rsid w:val="68226616"/>
    <w:rsid w:val="68B84DB4"/>
    <w:rsid w:val="69005E96"/>
    <w:rsid w:val="690E5E74"/>
    <w:rsid w:val="69895D50"/>
    <w:rsid w:val="6A366774"/>
    <w:rsid w:val="6A692A45"/>
    <w:rsid w:val="6AB31894"/>
    <w:rsid w:val="6AB53B3C"/>
    <w:rsid w:val="6AC67C25"/>
    <w:rsid w:val="6AFD34C8"/>
    <w:rsid w:val="6BCF6E80"/>
    <w:rsid w:val="6BFE44B9"/>
    <w:rsid w:val="6C264A83"/>
    <w:rsid w:val="6C656236"/>
    <w:rsid w:val="6CDA7624"/>
    <w:rsid w:val="6CE81713"/>
    <w:rsid w:val="6CF05BCD"/>
    <w:rsid w:val="6D070BEB"/>
    <w:rsid w:val="6D0B6015"/>
    <w:rsid w:val="6D0E5D4B"/>
    <w:rsid w:val="6D7B76B4"/>
    <w:rsid w:val="6DB932C1"/>
    <w:rsid w:val="6E1437DA"/>
    <w:rsid w:val="6E1F0847"/>
    <w:rsid w:val="6E3A43BC"/>
    <w:rsid w:val="6EFA6FA6"/>
    <w:rsid w:val="6F7264A0"/>
    <w:rsid w:val="6F843487"/>
    <w:rsid w:val="6F9432C5"/>
    <w:rsid w:val="6FDC1B6B"/>
    <w:rsid w:val="70564A71"/>
    <w:rsid w:val="70690B13"/>
    <w:rsid w:val="70761836"/>
    <w:rsid w:val="7077329C"/>
    <w:rsid w:val="711C7D96"/>
    <w:rsid w:val="71334737"/>
    <w:rsid w:val="7134098B"/>
    <w:rsid w:val="714D0F61"/>
    <w:rsid w:val="71757ACE"/>
    <w:rsid w:val="71B66B18"/>
    <w:rsid w:val="71E116BB"/>
    <w:rsid w:val="722C52AF"/>
    <w:rsid w:val="72954F16"/>
    <w:rsid w:val="72D82ABE"/>
    <w:rsid w:val="72DF5BFA"/>
    <w:rsid w:val="73A07A74"/>
    <w:rsid w:val="73C86E78"/>
    <w:rsid w:val="747D391D"/>
    <w:rsid w:val="748D4126"/>
    <w:rsid w:val="7491365A"/>
    <w:rsid w:val="749B5F32"/>
    <w:rsid w:val="74BB2AF8"/>
    <w:rsid w:val="74DD1DA7"/>
    <w:rsid w:val="75A6555A"/>
    <w:rsid w:val="7629696E"/>
    <w:rsid w:val="764F3DDB"/>
    <w:rsid w:val="76592969"/>
    <w:rsid w:val="769009FC"/>
    <w:rsid w:val="76BB770E"/>
    <w:rsid w:val="773109EF"/>
    <w:rsid w:val="77891CE0"/>
    <w:rsid w:val="77D658EA"/>
    <w:rsid w:val="788D4480"/>
    <w:rsid w:val="78A32008"/>
    <w:rsid w:val="792206B8"/>
    <w:rsid w:val="79477F78"/>
    <w:rsid w:val="794F1E62"/>
    <w:rsid w:val="798E7787"/>
    <w:rsid w:val="79CE5EEC"/>
    <w:rsid w:val="7A0036A1"/>
    <w:rsid w:val="7A013891"/>
    <w:rsid w:val="7A16086D"/>
    <w:rsid w:val="7A771F62"/>
    <w:rsid w:val="7AD61D47"/>
    <w:rsid w:val="7B4A6DD9"/>
    <w:rsid w:val="7B81363F"/>
    <w:rsid w:val="7BC90E77"/>
    <w:rsid w:val="7BDB3A79"/>
    <w:rsid w:val="7C6D24C9"/>
    <w:rsid w:val="7D3A560F"/>
    <w:rsid w:val="7D7F3C4F"/>
    <w:rsid w:val="7DD74128"/>
    <w:rsid w:val="7E0A565C"/>
    <w:rsid w:val="7E1F194A"/>
    <w:rsid w:val="7E270AD6"/>
    <w:rsid w:val="7E2C1C8A"/>
    <w:rsid w:val="7E9A3559"/>
    <w:rsid w:val="7EC85B3A"/>
    <w:rsid w:val="7EC86917"/>
    <w:rsid w:val="7F5346AB"/>
    <w:rsid w:val="7FF76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5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70"/>
    <w:qFormat/>
    <w:uiPriority w:val="0"/>
    <w:pPr>
      <w:keepNext/>
      <w:keepLines/>
      <w:spacing w:before="260" w:after="260" w:line="416" w:lineRule="auto"/>
      <w:outlineLvl w:val="2"/>
    </w:pPr>
    <w:rPr>
      <w:b/>
      <w:bCs/>
      <w:sz w:val="32"/>
      <w:szCs w:val="32"/>
    </w:rPr>
  </w:style>
  <w:style w:type="paragraph" w:styleId="7">
    <w:name w:val="heading 4"/>
    <w:basedOn w:val="1"/>
    <w:next w:val="1"/>
    <w:link w:val="71"/>
    <w:qFormat/>
    <w:uiPriority w:val="0"/>
    <w:pPr>
      <w:keepNext/>
      <w:jc w:val="center"/>
      <w:outlineLvl w:val="3"/>
    </w:pPr>
    <w:rPr>
      <w:rFonts w:eastAsia="新宋体"/>
      <w:sz w:val="30"/>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0"/>
      <w:sz w:val="24"/>
      <w:szCs w:val="20"/>
    </w:rPr>
  </w:style>
  <w:style w:type="paragraph" w:styleId="5">
    <w:name w:val="Normal Indent"/>
    <w:basedOn w:val="1"/>
    <w:link w:val="61"/>
    <w:qFormat/>
    <w:uiPriority w:val="0"/>
    <w:pPr>
      <w:ind w:firstLine="420"/>
    </w:pPr>
    <w:rPr>
      <w:szCs w:val="20"/>
    </w:rPr>
  </w:style>
  <w:style w:type="paragraph" w:styleId="8">
    <w:name w:val="Note Heading"/>
    <w:basedOn w:val="1"/>
    <w:next w:val="1"/>
    <w:qFormat/>
    <w:uiPriority w:val="0"/>
    <w:rPr>
      <w:rFonts w:ascii="Verdana" w:hAnsi="Verdana"/>
      <w:szCs w:val="20"/>
    </w:rPr>
  </w:style>
  <w:style w:type="paragraph" w:styleId="9">
    <w:name w:val="Document Map"/>
    <w:basedOn w:val="1"/>
    <w:link w:val="52"/>
    <w:semiHidden/>
    <w:qFormat/>
    <w:uiPriority w:val="0"/>
    <w:pPr>
      <w:shd w:val="clear" w:color="auto" w:fill="000080"/>
    </w:pPr>
  </w:style>
  <w:style w:type="paragraph" w:styleId="10">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1">
    <w:name w:val="annotation text"/>
    <w:basedOn w:val="1"/>
    <w:unhideWhenUsed/>
    <w:qFormat/>
    <w:uiPriority w:val="99"/>
    <w:pPr>
      <w:jc w:val="left"/>
    </w:pPr>
  </w:style>
  <w:style w:type="paragraph" w:styleId="12">
    <w:name w:val="Body Text Indent"/>
    <w:basedOn w:val="1"/>
    <w:next w:val="13"/>
    <w:link w:val="69"/>
    <w:qFormat/>
    <w:uiPriority w:val="0"/>
    <w:pPr>
      <w:spacing w:after="120"/>
      <w:ind w:left="420" w:leftChars="200"/>
    </w:pPr>
  </w:style>
  <w:style w:type="paragraph" w:styleId="13">
    <w:name w:val="envelope return"/>
    <w:basedOn w:val="1"/>
    <w:unhideWhenUsed/>
    <w:qFormat/>
    <w:uiPriority w:val="99"/>
    <w:pPr>
      <w:snapToGrid w:val="0"/>
    </w:pPr>
    <w:rPr>
      <w:rFonts w:ascii="Arial" w:hAnsi="Arial"/>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Plain Text"/>
    <w:basedOn w:val="1"/>
    <w:qFormat/>
    <w:uiPriority w:val="0"/>
    <w:rPr>
      <w:rFonts w:ascii="宋体" w:hAnsi="Courier New"/>
      <w:szCs w:val="20"/>
    </w:rPr>
  </w:style>
  <w:style w:type="paragraph" w:styleId="16">
    <w:name w:val="Date"/>
    <w:basedOn w:val="1"/>
    <w:next w:val="1"/>
    <w:link w:val="72"/>
    <w:qFormat/>
    <w:uiPriority w:val="0"/>
    <w:pPr>
      <w:ind w:left="100" w:leftChars="2500"/>
    </w:pPr>
  </w:style>
  <w:style w:type="paragraph" w:styleId="17">
    <w:name w:val="Balloon Text"/>
    <w:basedOn w:val="1"/>
    <w:link w:val="49"/>
    <w:semiHidden/>
    <w:qFormat/>
    <w:uiPriority w:val="0"/>
    <w:rPr>
      <w:sz w:val="18"/>
      <w:szCs w:val="18"/>
    </w:rPr>
  </w:style>
  <w:style w:type="paragraph" w:styleId="18">
    <w:name w:val="footer"/>
    <w:basedOn w:val="1"/>
    <w:link w:val="59"/>
    <w:qFormat/>
    <w:uiPriority w:val="99"/>
    <w:pPr>
      <w:tabs>
        <w:tab w:val="center" w:pos="4153"/>
        <w:tab w:val="right" w:pos="8306"/>
      </w:tabs>
      <w:snapToGrid w:val="0"/>
      <w:jc w:val="left"/>
    </w:pPr>
    <w:rPr>
      <w:sz w:val="18"/>
      <w:szCs w:val="18"/>
    </w:rPr>
  </w:style>
  <w:style w:type="paragraph" w:styleId="19">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0">
    <w:name w:val="Body Text Indent 3"/>
    <w:basedOn w:val="1"/>
    <w:next w:val="10"/>
    <w:link w:val="53"/>
    <w:qFormat/>
    <w:uiPriority w:val="0"/>
    <w:pPr>
      <w:spacing w:line="520" w:lineRule="exact"/>
      <w:ind w:firstLine="539" w:firstLineChars="184"/>
    </w:pPr>
    <w:rPr>
      <w:rFonts w:ascii="宋体"/>
      <w:b/>
      <w:spacing w:val="6"/>
      <w:sz w:val="28"/>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spacing w:before="240" w:after="60"/>
      <w:jc w:val="center"/>
      <w:outlineLvl w:val="0"/>
    </w:pPr>
    <w:rPr>
      <w:rFonts w:ascii="Calibri Light" w:hAnsi="Calibri Light"/>
      <w:b/>
      <w:bCs/>
      <w:kern w:val="0"/>
      <w:sz w:val="32"/>
      <w:szCs w:val="32"/>
    </w:rPr>
  </w:style>
  <w:style w:type="paragraph" w:styleId="23">
    <w:name w:val="Body Text First Indent"/>
    <w:basedOn w:val="2"/>
    <w:next w:val="24"/>
    <w:qFormat/>
    <w:uiPriority w:val="0"/>
    <w:pPr>
      <w:spacing w:after="120"/>
      <w:ind w:firstLine="420" w:firstLineChars="100"/>
    </w:pPr>
    <w:rPr>
      <w:rFonts w:ascii="Times New Roman" w:eastAsia="宋体"/>
      <w:szCs w:val="24"/>
    </w:rPr>
  </w:style>
  <w:style w:type="paragraph" w:styleId="24">
    <w:name w:val="Body Text First Indent 2"/>
    <w:basedOn w:val="12"/>
    <w:next w:val="20"/>
    <w:unhideWhenUsed/>
    <w:qFormat/>
    <w:uiPriority w:val="99"/>
    <w:pPr>
      <w:ind w:firstLine="20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qFormat/>
    <w:uiPriority w:val="0"/>
  </w:style>
  <w:style w:type="character" w:styleId="30">
    <w:name w:val="Emphasis"/>
    <w:qFormat/>
    <w:uiPriority w:val="0"/>
    <w:rPr>
      <w:b/>
      <w:bCs/>
    </w:rPr>
  </w:style>
  <w:style w:type="character" w:styleId="31">
    <w:name w:val="HTML Definition"/>
    <w:unhideWhenUsed/>
    <w:qFormat/>
    <w:uiPriority w:val="99"/>
  </w:style>
  <w:style w:type="character" w:styleId="32">
    <w:name w:val="HTML Typewriter"/>
    <w:unhideWhenUsed/>
    <w:qFormat/>
    <w:uiPriority w:val="99"/>
    <w:rPr>
      <w:rFonts w:hint="default" w:ascii="monospace" w:hAnsi="monospace" w:eastAsia="monospace" w:cs="monospace"/>
      <w:sz w:val="20"/>
    </w:rPr>
  </w:style>
  <w:style w:type="character" w:styleId="33">
    <w:name w:val="HTML Acronym"/>
    <w:unhideWhenUsed/>
    <w:qFormat/>
    <w:uiPriority w:val="99"/>
  </w:style>
  <w:style w:type="character" w:styleId="34">
    <w:name w:val="HTML Variable"/>
    <w:unhideWhenUsed/>
    <w:qFormat/>
    <w:uiPriority w:val="99"/>
  </w:style>
  <w:style w:type="character" w:styleId="35">
    <w:name w:val="Hyperlink"/>
    <w:unhideWhenUsed/>
    <w:qFormat/>
    <w:uiPriority w:val="99"/>
    <w:rPr>
      <w:color w:val="0000FF"/>
      <w:u w:val="none"/>
    </w:rPr>
  </w:style>
  <w:style w:type="character" w:styleId="36">
    <w:name w:val="HTML Code"/>
    <w:unhideWhenUsed/>
    <w:qFormat/>
    <w:uiPriority w:val="99"/>
    <w:rPr>
      <w:rFonts w:hint="default" w:ascii="monospace" w:hAnsi="monospace" w:eastAsia="monospace" w:cs="monospace"/>
      <w:sz w:val="20"/>
    </w:rPr>
  </w:style>
  <w:style w:type="character" w:styleId="37">
    <w:name w:val="annotation reference"/>
    <w:basedOn w:val="27"/>
    <w:semiHidden/>
    <w:unhideWhenUsed/>
    <w:qFormat/>
    <w:uiPriority w:val="99"/>
    <w:rPr>
      <w:sz w:val="21"/>
      <w:szCs w:val="21"/>
    </w:rPr>
  </w:style>
  <w:style w:type="character" w:styleId="38">
    <w:name w:val="HTML Cite"/>
    <w:unhideWhenUsed/>
    <w:qFormat/>
    <w:uiPriority w:val="99"/>
  </w:style>
  <w:style w:type="character" w:styleId="39">
    <w:name w:val="HTML Keyboard"/>
    <w:unhideWhenUsed/>
    <w:qFormat/>
    <w:uiPriority w:val="99"/>
    <w:rPr>
      <w:rFonts w:ascii="monospace" w:hAnsi="monospace" w:eastAsia="monospace" w:cs="monospace"/>
      <w:sz w:val="20"/>
    </w:rPr>
  </w:style>
  <w:style w:type="character" w:styleId="40">
    <w:name w:val="HTML Sample"/>
    <w:unhideWhenUsed/>
    <w:qFormat/>
    <w:uiPriority w:val="99"/>
    <w:rPr>
      <w:rFonts w:hint="default" w:ascii="monospace" w:hAnsi="monospace" w:eastAsia="monospace" w:cs="monospace"/>
    </w:rPr>
  </w:style>
  <w:style w:type="paragraph" w:customStyle="1" w:styleId="41">
    <w:name w:val="Default"/>
    <w:basedOn w:val="1"/>
    <w:qFormat/>
    <w:uiPriority w:val="0"/>
    <w:pPr>
      <w:autoSpaceDE w:val="0"/>
      <w:autoSpaceDN w:val="0"/>
      <w:adjustRightInd w:val="0"/>
      <w:jc w:val="left"/>
    </w:pPr>
    <w:rPr>
      <w:rFonts w:ascii="Arial" w:hAnsi="Arial" w:eastAsia="PMingLiU"/>
      <w:kern w:val="0"/>
      <w:sz w:val="20"/>
      <w:szCs w:val="20"/>
    </w:rPr>
  </w:style>
  <w:style w:type="paragraph" w:customStyle="1" w:styleId="42">
    <w:name w:val="正文首行缩进 21"/>
    <w:basedOn w:val="43"/>
    <w:next w:val="45"/>
    <w:unhideWhenUsed/>
    <w:qFormat/>
    <w:uiPriority w:val="99"/>
    <w:pPr>
      <w:ind w:firstLine="200" w:firstLineChars="200"/>
    </w:pPr>
  </w:style>
  <w:style w:type="paragraph" w:customStyle="1" w:styleId="43">
    <w:name w:val="正文文本缩进1"/>
    <w:basedOn w:val="1"/>
    <w:next w:val="44"/>
    <w:qFormat/>
    <w:uiPriority w:val="0"/>
    <w:pPr>
      <w:ind w:left="765"/>
    </w:pPr>
    <w:rPr>
      <w:rFonts w:ascii="仿宋_GB2312" w:eastAsia="仿宋_GB2312"/>
      <w:sz w:val="28"/>
      <w:szCs w:val="20"/>
    </w:rPr>
  </w:style>
  <w:style w:type="paragraph" w:customStyle="1" w:styleId="44">
    <w:name w:val="寄信人地址1"/>
    <w:basedOn w:val="1"/>
    <w:unhideWhenUsed/>
    <w:qFormat/>
    <w:uiPriority w:val="99"/>
    <w:rPr>
      <w:rFonts w:ascii="Arial" w:hAnsi="Arial"/>
    </w:rPr>
  </w:style>
  <w:style w:type="paragraph" w:customStyle="1" w:styleId="45">
    <w:name w:val="正文文本缩进 31"/>
    <w:basedOn w:val="1"/>
    <w:next w:val="46"/>
    <w:qFormat/>
    <w:uiPriority w:val="0"/>
    <w:pPr>
      <w:spacing w:after="120"/>
      <w:ind w:left="420"/>
    </w:pPr>
    <w:rPr>
      <w:sz w:val="16"/>
      <w:szCs w:val="16"/>
    </w:rPr>
  </w:style>
  <w:style w:type="paragraph" w:customStyle="1" w:styleId="46">
    <w:name w:val="引文目录标题1"/>
    <w:basedOn w:val="1"/>
    <w:next w:val="1"/>
    <w:qFormat/>
    <w:uiPriority w:val="0"/>
    <w:pPr>
      <w:spacing w:line="360" w:lineRule="atLeast"/>
      <w:jc w:val="center"/>
    </w:pPr>
    <w:rPr>
      <w:rFonts w:ascii="Arial" w:hAnsi="Arial" w:eastAsia="黑体"/>
      <w:sz w:val="36"/>
      <w:szCs w:val="20"/>
    </w:rPr>
  </w:style>
  <w:style w:type="paragraph" w:customStyle="1" w:styleId="47">
    <w:name w:val="style4"/>
    <w:basedOn w:val="1"/>
    <w:next w:val="48"/>
    <w:qFormat/>
    <w:uiPriority w:val="0"/>
    <w:pPr>
      <w:widowControl/>
      <w:spacing w:before="280" w:after="280"/>
    </w:pPr>
    <w:rPr>
      <w:rFonts w:ascii="宋体"/>
      <w:sz w:val="18"/>
    </w:rPr>
  </w:style>
  <w:style w:type="paragraph" w:customStyle="1" w:styleId="48">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49">
    <w:name w:val="批注框文本 Char"/>
    <w:link w:val="17"/>
    <w:semiHidden/>
    <w:qFormat/>
    <w:uiPriority w:val="0"/>
    <w:rPr>
      <w:kern w:val="2"/>
      <w:sz w:val="18"/>
      <w:szCs w:val="18"/>
    </w:rPr>
  </w:style>
  <w:style w:type="character" w:customStyle="1" w:styleId="50">
    <w:name w:val="正文缩进2格 Char"/>
    <w:link w:val="51"/>
    <w:qFormat/>
    <w:locked/>
    <w:uiPriority w:val="0"/>
    <w:rPr>
      <w:rFonts w:ascii="仿宋_GB2312" w:hAnsi="宋体" w:eastAsia="仿宋_GB2312"/>
      <w:kern w:val="2"/>
      <w:sz w:val="31"/>
      <w:szCs w:val="28"/>
    </w:rPr>
  </w:style>
  <w:style w:type="paragraph" w:customStyle="1" w:styleId="51">
    <w:name w:val="正文缩进2格"/>
    <w:basedOn w:val="1"/>
    <w:link w:val="50"/>
    <w:qFormat/>
    <w:uiPriority w:val="0"/>
    <w:pPr>
      <w:spacing w:line="600" w:lineRule="exact"/>
      <w:ind w:firstLine="639" w:firstLineChars="206"/>
    </w:pPr>
    <w:rPr>
      <w:rFonts w:ascii="仿宋_GB2312" w:hAnsi="宋体" w:eastAsia="仿宋_GB2312"/>
      <w:sz w:val="31"/>
      <w:szCs w:val="28"/>
    </w:rPr>
  </w:style>
  <w:style w:type="character" w:customStyle="1" w:styleId="52">
    <w:name w:val="文档结构图 Char"/>
    <w:link w:val="9"/>
    <w:semiHidden/>
    <w:qFormat/>
    <w:uiPriority w:val="0"/>
    <w:rPr>
      <w:kern w:val="2"/>
      <w:sz w:val="21"/>
      <w:szCs w:val="24"/>
      <w:shd w:val="clear" w:color="auto" w:fill="000080"/>
    </w:rPr>
  </w:style>
  <w:style w:type="character" w:customStyle="1" w:styleId="53">
    <w:name w:val="正文文本缩进 3 Char"/>
    <w:link w:val="20"/>
    <w:qFormat/>
    <w:uiPriority w:val="0"/>
    <w:rPr>
      <w:rFonts w:ascii="宋体"/>
      <w:b/>
      <w:spacing w:val="6"/>
      <w:kern w:val="2"/>
      <w:sz w:val="28"/>
      <w:szCs w:val="24"/>
    </w:rPr>
  </w:style>
  <w:style w:type="character" w:customStyle="1" w:styleId="54">
    <w:name w:val="font51"/>
    <w:qFormat/>
    <w:uiPriority w:val="0"/>
    <w:rPr>
      <w:rFonts w:hint="default" w:ascii="等线" w:hAnsi="等线" w:eastAsia="等线" w:cs="等线"/>
      <w:b/>
      <w:bCs/>
      <w:color w:val="000000"/>
      <w:sz w:val="22"/>
      <w:szCs w:val="22"/>
      <w:u w:val="none"/>
    </w:rPr>
  </w:style>
  <w:style w:type="character" w:customStyle="1" w:styleId="55">
    <w:name w:val="标题 2 Char"/>
    <w:link w:val="4"/>
    <w:qFormat/>
    <w:uiPriority w:val="0"/>
    <w:rPr>
      <w:rFonts w:ascii="Arial" w:hAnsi="Arial" w:eastAsia="黑体"/>
      <w:b/>
      <w:bCs/>
      <w:kern w:val="2"/>
      <w:sz w:val="32"/>
      <w:szCs w:val="32"/>
    </w:rPr>
  </w:style>
  <w:style w:type="character" w:customStyle="1" w:styleId="56">
    <w:name w:val="标题 1 Char"/>
    <w:link w:val="3"/>
    <w:qFormat/>
    <w:uiPriority w:val="0"/>
    <w:rPr>
      <w:b/>
      <w:bCs/>
      <w:kern w:val="44"/>
      <w:sz w:val="44"/>
      <w:szCs w:val="44"/>
    </w:rPr>
  </w:style>
  <w:style w:type="character" w:customStyle="1" w:styleId="57">
    <w:name w:val="标题 3.1 Char"/>
    <w:link w:val="58"/>
    <w:qFormat/>
    <w:locked/>
    <w:uiPriority w:val="0"/>
    <w:rPr>
      <w:rFonts w:ascii="宋体" w:hAnsi="宋体"/>
      <w:b/>
      <w:bCs/>
      <w:color w:val="000000"/>
      <w:kern w:val="2"/>
      <w:sz w:val="32"/>
      <w:szCs w:val="32"/>
    </w:rPr>
  </w:style>
  <w:style w:type="paragraph" w:customStyle="1" w:styleId="58">
    <w:name w:val="标题 3.1"/>
    <w:basedOn w:val="6"/>
    <w:link w:val="57"/>
    <w:qFormat/>
    <w:uiPriority w:val="0"/>
    <w:pPr>
      <w:tabs>
        <w:tab w:val="left" w:pos="1440"/>
        <w:tab w:val="left" w:pos="1620"/>
      </w:tabs>
      <w:spacing w:line="600" w:lineRule="exact"/>
    </w:pPr>
    <w:rPr>
      <w:rFonts w:ascii="宋体" w:hAnsi="宋体"/>
      <w:color w:val="000000"/>
    </w:rPr>
  </w:style>
  <w:style w:type="character" w:customStyle="1" w:styleId="59">
    <w:name w:val="页脚 Char"/>
    <w:link w:val="18"/>
    <w:qFormat/>
    <w:uiPriority w:val="99"/>
    <w:rPr>
      <w:kern w:val="2"/>
      <w:sz w:val="18"/>
      <w:szCs w:val="18"/>
    </w:rPr>
  </w:style>
  <w:style w:type="character" w:customStyle="1" w:styleId="60">
    <w:name w:val="font31"/>
    <w:qFormat/>
    <w:uiPriority w:val="0"/>
    <w:rPr>
      <w:rFonts w:hint="eastAsia" w:ascii="宋体" w:hAnsi="宋体" w:eastAsia="宋体" w:cs="宋体"/>
      <w:color w:val="000000"/>
      <w:sz w:val="21"/>
      <w:szCs w:val="21"/>
      <w:u w:val="none"/>
    </w:rPr>
  </w:style>
  <w:style w:type="character" w:customStyle="1" w:styleId="61">
    <w:name w:val="正文缩进 Char"/>
    <w:link w:val="5"/>
    <w:qFormat/>
    <w:uiPriority w:val="0"/>
    <w:rPr>
      <w:kern w:val="2"/>
      <w:sz w:val="21"/>
    </w:rPr>
  </w:style>
  <w:style w:type="character" w:customStyle="1" w:styleId="62">
    <w:name w:val="访问过的超链接1"/>
    <w:unhideWhenUsed/>
    <w:qFormat/>
    <w:uiPriority w:val="99"/>
    <w:rPr>
      <w:color w:val="800080"/>
      <w:u w:val="none"/>
    </w:rPr>
  </w:style>
  <w:style w:type="character" w:customStyle="1" w:styleId="63">
    <w:name w:val="普通正文 Char"/>
    <w:link w:val="64"/>
    <w:qFormat/>
    <w:uiPriority w:val="0"/>
    <w:rPr>
      <w:rFonts w:ascii="Arial" w:hAnsi="Arial"/>
      <w:sz w:val="24"/>
      <w:szCs w:val="24"/>
    </w:rPr>
  </w:style>
  <w:style w:type="paragraph" w:customStyle="1" w:styleId="64">
    <w:name w:val="普通正文"/>
    <w:basedOn w:val="1"/>
    <w:link w:val="63"/>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5">
    <w:name w:val="mini-outputtext1"/>
    <w:qFormat/>
    <w:uiPriority w:val="0"/>
  </w:style>
  <w:style w:type="character" w:customStyle="1" w:styleId="66">
    <w:name w:val="页眉 Char"/>
    <w:link w:val="19"/>
    <w:qFormat/>
    <w:uiPriority w:val="0"/>
    <w:rPr>
      <w:kern w:val="2"/>
      <w:sz w:val="18"/>
      <w:szCs w:val="18"/>
    </w:rPr>
  </w:style>
  <w:style w:type="character" w:customStyle="1" w:styleId="67">
    <w:name w:val="font01"/>
    <w:qFormat/>
    <w:uiPriority w:val="0"/>
    <w:rPr>
      <w:rFonts w:hint="default" w:ascii="等线" w:hAnsi="等线" w:eastAsia="等线" w:cs="等线"/>
      <w:color w:val="000000"/>
      <w:sz w:val="22"/>
      <w:szCs w:val="22"/>
      <w:u w:val="none"/>
    </w:rPr>
  </w:style>
  <w:style w:type="character" w:customStyle="1" w:styleId="68">
    <w:name w:val="font61"/>
    <w:qFormat/>
    <w:uiPriority w:val="0"/>
    <w:rPr>
      <w:rFonts w:hint="default" w:ascii="Times New Roman" w:hAnsi="Times New Roman" w:cs="Times New Roman"/>
      <w:color w:val="000000"/>
      <w:sz w:val="21"/>
      <w:szCs w:val="21"/>
      <w:u w:val="none"/>
    </w:rPr>
  </w:style>
  <w:style w:type="character" w:customStyle="1" w:styleId="69">
    <w:name w:val="正文文本缩进 Char"/>
    <w:link w:val="12"/>
    <w:qFormat/>
    <w:uiPriority w:val="0"/>
    <w:rPr>
      <w:kern w:val="2"/>
      <w:sz w:val="21"/>
      <w:szCs w:val="24"/>
    </w:rPr>
  </w:style>
  <w:style w:type="character" w:customStyle="1" w:styleId="70">
    <w:name w:val="标题 3 Char"/>
    <w:link w:val="6"/>
    <w:qFormat/>
    <w:uiPriority w:val="0"/>
    <w:rPr>
      <w:b/>
      <w:bCs/>
      <w:kern w:val="2"/>
      <w:sz w:val="32"/>
      <w:szCs w:val="32"/>
    </w:rPr>
  </w:style>
  <w:style w:type="character" w:customStyle="1" w:styleId="71">
    <w:name w:val="标题 4 Char"/>
    <w:link w:val="7"/>
    <w:qFormat/>
    <w:uiPriority w:val="0"/>
    <w:rPr>
      <w:rFonts w:eastAsia="新宋体"/>
      <w:kern w:val="2"/>
      <w:sz w:val="30"/>
      <w:szCs w:val="21"/>
    </w:rPr>
  </w:style>
  <w:style w:type="character" w:customStyle="1" w:styleId="72">
    <w:name w:val="日期 Char"/>
    <w:link w:val="16"/>
    <w:qFormat/>
    <w:uiPriority w:val="0"/>
    <w:rPr>
      <w:kern w:val="2"/>
      <w:sz w:val="21"/>
      <w:szCs w:val="24"/>
    </w:rPr>
  </w:style>
  <w:style w:type="character" w:customStyle="1" w:styleId="73">
    <w:name w:val="font71"/>
    <w:qFormat/>
    <w:uiPriority w:val="0"/>
    <w:rPr>
      <w:rFonts w:hint="default" w:ascii="Calibri" w:hAnsi="Calibri" w:cs="Calibri"/>
      <w:color w:val="000000"/>
      <w:sz w:val="22"/>
      <w:szCs w:val="22"/>
      <w:u w:val="none"/>
    </w:rPr>
  </w:style>
  <w:style w:type="paragraph" w:customStyle="1" w:styleId="74">
    <w:name w:val="Char"/>
    <w:basedOn w:val="1"/>
    <w:qFormat/>
    <w:uiPriority w:val="0"/>
    <w:rPr>
      <w:rFonts w:ascii="Tahoma" w:hAnsi="Tahoma"/>
      <w:sz w:val="24"/>
      <w:szCs w:val="20"/>
    </w:rPr>
  </w:style>
  <w:style w:type="paragraph" w:customStyle="1" w:styleId="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正文_2"/>
    <w:next w:val="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文本首行缩进1"/>
    <w:basedOn w:val="2"/>
    <w:qFormat/>
    <w:uiPriority w:val="0"/>
    <w:pPr>
      <w:spacing w:after="120"/>
      <w:ind w:firstLine="420" w:firstLineChars="100"/>
    </w:pPr>
    <w:rPr>
      <w:rFonts w:ascii="Times New Roman" w:eastAsia="宋体"/>
      <w:szCs w:val="24"/>
    </w:rPr>
  </w:style>
  <w:style w:type="paragraph" w:customStyle="1" w:styleId="7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列出段落2"/>
    <w:basedOn w:val="1"/>
    <w:qFormat/>
    <w:uiPriority w:val="0"/>
    <w:pPr>
      <w:ind w:firstLine="420" w:firstLineChars="200"/>
    </w:pPr>
  </w:style>
  <w:style w:type="paragraph" w:customStyle="1" w:styleId="81">
    <w:name w:val="正文缩进1"/>
    <w:basedOn w:val="1"/>
    <w:qFormat/>
    <w:uiPriority w:val="0"/>
    <w:pPr>
      <w:widowControl/>
      <w:ind w:firstLine="420"/>
      <w:jc w:val="left"/>
    </w:pPr>
    <w:rPr>
      <w:kern w:val="0"/>
    </w:rPr>
  </w:style>
  <w:style w:type="paragraph" w:customStyle="1" w:styleId="82">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3">
    <w:name w:val="Char1"/>
    <w:basedOn w:val="1"/>
    <w:qFormat/>
    <w:uiPriority w:val="0"/>
    <w:pPr>
      <w:tabs>
        <w:tab w:val="left" w:pos="840"/>
      </w:tabs>
      <w:ind w:left="840" w:hanging="420"/>
    </w:pPr>
    <w:rPr>
      <w:sz w:val="24"/>
    </w:rPr>
  </w:style>
  <w:style w:type="paragraph" w:customStyle="1" w:styleId="84">
    <w:name w:val="Char2"/>
    <w:basedOn w:val="1"/>
    <w:qFormat/>
    <w:uiPriority w:val="0"/>
    <w:rPr>
      <w:rFonts w:ascii="Tahoma" w:hAnsi="Tahoma"/>
      <w:sz w:val="24"/>
      <w:szCs w:val="20"/>
    </w:rPr>
  </w:style>
  <w:style w:type="paragraph" w:customStyle="1" w:styleId="85">
    <w:name w:val="列出段落1"/>
    <w:basedOn w:val="1"/>
    <w:qFormat/>
    <w:uiPriority w:val="0"/>
    <w:pPr>
      <w:ind w:firstLine="200" w:firstLineChars="200"/>
    </w:pPr>
  </w:style>
  <w:style w:type="paragraph" w:customStyle="1" w:styleId="86">
    <w:name w:val="正文缩进4格"/>
    <w:basedOn w:val="51"/>
    <w:qFormat/>
    <w:uiPriority w:val="0"/>
    <w:pPr>
      <w:ind w:left="2" w:firstLine="538" w:firstLineChars="192"/>
    </w:pPr>
    <w:rPr>
      <w:color w:val="000000"/>
      <w:sz w:val="28"/>
    </w:rPr>
  </w:style>
  <w:style w:type="paragraph" w:customStyle="1" w:styleId="87">
    <w:name w:val="TOC 11"/>
    <w:basedOn w:val="1"/>
    <w:next w:val="1"/>
    <w:qFormat/>
    <w:uiPriority w:val="39"/>
    <w:pPr>
      <w:tabs>
        <w:tab w:val="left" w:pos="840"/>
        <w:tab w:val="right" w:leader="dot" w:pos="9402"/>
      </w:tabs>
      <w:adjustRightInd w:val="0"/>
      <w:snapToGrid w:val="0"/>
      <w:spacing w:line="360" w:lineRule="auto"/>
      <w:jc w:val="left"/>
    </w:pPr>
    <w:rPr>
      <w:rFonts w:ascii="Arial" w:hAnsi="宋体"/>
      <w:caps/>
      <w:w w:val="80"/>
      <w:sz w:val="24"/>
    </w:rPr>
  </w:style>
  <w:style w:type="paragraph" w:customStyle="1" w:styleId="88">
    <w:name w:val="正文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9">
    <w:name w:val="正文文本首行缩进 21"/>
    <w:basedOn w:val="12"/>
    <w:next w:val="1"/>
    <w:unhideWhenUsed/>
    <w:qFormat/>
    <w:uiPriority w:val="99"/>
    <w:pPr>
      <w:ind w:firstLine="200" w:firstLineChars="200"/>
    </w:pPr>
  </w:style>
  <w:style w:type="paragraph" w:customStyle="1" w:styleId="90">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1">
    <w:name w:val="Char Char 字元 字元 字元 Char Char Char Char"/>
    <w:basedOn w:val="1"/>
    <w:qFormat/>
    <w:uiPriority w:val="0"/>
    <w:pPr>
      <w:adjustRightInd w:val="0"/>
      <w:spacing w:line="360" w:lineRule="auto"/>
    </w:pPr>
    <w:rPr>
      <w:kern w:val="0"/>
      <w:sz w:val="24"/>
      <w:szCs w:val="20"/>
    </w:rPr>
  </w:style>
  <w:style w:type="paragraph" w:customStyle="1" w:styleId="92">
    <w:name w:val="Char Char Char Char"/>
    <w:basedOn w:val="1"/>
    <w:qFormat/>
    <w:uiPriority w:val="0"/>
    <w:rPr>
      <w:rFonts w:ascii="Tahoma" w:hAnsi="Tahoma"/>
      <w:sz w:val="24"/>
      <w:szCs w:val="20"/>
    </w:rPr>
  </w:style>
  <w:style w:type="paragraph" w:customStyle="1" w:styleId="93">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5">
    <w:name w:val="Body Text_0"/>
    <w:basedOn w:val="1"/>
    <w:qFormat/>
    <w:uiPriority w:val="0"/>
    <w:pPr>
      <w:autoSpaceDE w:val="0"/>
      <w:autoSpaceDN w:val="0"/>
      <w:jc w:val="left"/>
    </w:pPr>
    <w:rPr>
      <w:rFonts w:ascii="宋体" w:hAnsi="宋体" w:eastAsia="Times New Roman" w:cs="宋体"/>
      <w:kern w:val="0"/>
      <w:sz w:val="24"/>
    </w:rPr>
  </w:style>
  <w:style w:type="paragraph" w:customStyle="1" w:styleId="9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98">
    <w:name w:val="List Paragraph"/>
    <w:basedOn w:val="1"/>
    <w:unhideWhenUsed/>
    <w:qFormat/>
    <w:uiPriority w:val="99"/>
    <w:pPr>
      <w:ind w:firstLine="420" w:firstLineChars="200"/>
    </w:pPr>
  </w:style>
  <w:style w:type="character" w:customStyle="1" w:styleId="99">
    <w:name w:val="sh3 Char"/>
    <w:link w:val="100"/>
    <w:qFormat/>
    <w:uiPriority w:val="0"/>
    <w:rPr>
      <w:rFonts w:ascii="宋体" w:hAnsi="宋体"/>
      <w:b/>
      <w:sz w:val="21"/>
      <w:szCs w:val="21"/>
    </w:rPr>
  </w:style>
  <w:style w:type="paragraph" w:customStyle="1" w:styleId="100">
    <w:name w:val="sh3"/>
    <w:basedOn w:val="1"/>
    <w:link w:val="99"/>
    <w:qFormat/>
    <w:uiPriority w:val="0"/>
    <w:pPr>
      <w:widowControl/>
      <w:spacing w:line="460" w:lineRule="exact"/>
      <w:jc w:val="left"/>
    </w:pPr>
    <w:rPr>
      <w:rFonts w:ascii="宋体" w:hAnsi="宋体"/>
      <w:b/>
      <w:kern w:val="0"/>
      <w:szCs w:val="21"/>
    </w:rPr>
  </w:style>
  <w:style w:type="character" w:customStyle="1" w:styleId="101">
    <w:name w:val="标题 2 字符1"/>
    <w:basedOn w:val="27"/>
    <w:qFormat/>
    <w:uiPriority w:val="0"/>
    <w:rPr>
      <w:rFonts w:hint="default" w:ascii="Arial" w:hAnsi="Arial" w:eastAsia="黑体" w:cs="Arial"/>
      <w:b/>
      <w:bCs/>
      <w:kern w:val="2"/>
      <w:sz w:val="32"/>
      <w:szCs w:val="32"/>
    </w:rPr>
  </w:style>
  <w:style w:type="paragraph" w:customStyle="1" w:styleId="102">
    <w:name w:val="msolistparagraph"/>
    <w:basedOn w:val="1"/>
    <w:qFormat/>
    <w:uiPriority w:val="0"/>
    <w:pPr>
      <w:ind w:firstLine="420"/>
    </w:pPr>
  </w:style>
  <w:style w:type="paragraph" w:customStyle="1" w:styleId="103">
    <w:name w:val="GSM 四级"/>
    <w:basedOn w:val="7"/>
    <w:qFormat/>
    <w:uiPriority w:val="0"/>
    <w:pPr>
      <w:numPr>
        <w:ilvl w:val="3"/>
        <w:numId w:val="1"/>
      </w:numPr>
      <w:adjustRightInd w:val="0"/>
      <w:spacing w:before="180" w:after="180" w:line="360" w:lineRule="auto"/>
    </w:pPr>
    <w:rPr>
      <w:rFonts w:ascii="Cambria" w:hAnsi="Cambria" w:eastAsia="宋体"/>
    </w:rPr>
  </w:style>
  <w:style w:type="paragraph" w:customStyle="1" w:styleId="104">
    <w:name w:val="GSM 正文"/>
    <w:qFormat/>
    <w:uiPriority w:val="0"/>
    <w:pPr>
      <w:spacing w:line="360" w:lineRule="auto"/>
      <w:ind w:firstLine="200" w:firstLineChars="200"/>
      <w:jc w:val="both"/>
    </w:pPr>
    <w:rPr>
      <w:rFonts w:ascii="仿宋" w:hAnsi="仿宋" w:eastAsia="仿宋_GB2312" w:cs="Times New Roman"/>
      <w:bCs/>
      <w:snapToGrid w:val="0"/>
      <w:kern w:val="44"/>
      <w:sz w:val="28"/>
      <w:szCs w:val="28"/>
      <w:lang w:val="en-US" w:eastAsia="zh-CN" w:bidi="ar-SA"/>
    </w:rPr>
  </w:style>
  <w:style w:type="paragraph" w:customStyle="1" w:styleId="10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Table Text"/>
    <w:basedOn w:val="1"/>
    <w:semiHidden/>
    <w:qFormat/>
    <w:uiPriority w:val="0"/>
    <w:rPr>
      <w:rFonts w:ascii="宋体" w:hAnsi="宋体" w:cs="宋体"/>
      <w:szCs w:val="21"/>
      <w:lang w:eastAsia="en-US"/>
    </w:rPr>
  </w:style>
  <w:style w:type="table" w:customStyle="1" w:styleId="107">
    <w:name w:val="Table Normal"/>
    <w:semiHidden/>
    <w:unhideWhenUsed/>
    <w:qFormat/>
    <w:uiPriority w:val="0"/>
    <w:tblPr>
      <w:tblCellMar>
        <w:top w:w="0" w:type="dxa"/>
        <w:left w:w="0" w:type="dxa"/>
        <w:bottom w:w="0" w:type="dxa"/>
        <w:right w:w="0" w:type="dxa"/>
      </w:tblCellMar>
    </w:tblPr>
  </w:style>
  <w:style w:type="character" w:customStyle="1" w:styleId="10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87df87a6-a35a-4828-9d1d-8cba01af28d5</errorID>
      <errorWord>－公告公示栏</errorWord>
      <group>L1_AI</group>
      <groupName>深度校对</groupName>
      <ability>L2_AI_Punc</ability>
      <abilityName>标点纠错</abilityName>
      <candidateList>
        <item>“公告公示栏”</item>
      </candidateList>
      <explain/>
      <paraID>7398BC00</paraID>
      <start>42</start>
      <end>49</end>
      <status>modified</status>
      <modifiedWord>“公告公示栏”</modifiedWord>
      <trackRevisions>false</trackRevisions>
    </reviewItem>
    <reviewItem>
      <errorID>7f75d5f7-cb65-4910-80be-bda46a32bf82</errorID>
      <errorWord>；</errorWord>
      <group>L1_AI</group>
      <groupName>深度校对</groupName>
      <ability>L2_AI_Punc</ability>
      <abilityName>标点纠错</abilityName>
      <candidateList>
        <item>，</item>
      </candidateList>
      <explain/>
      <paraID> 860A309</paraID>
      <start>72</start>
      <end>73</end>
      <status>modified</status>
      <modifiedWord>，</modifiedWord>
      <trackRevisions>false</trackRevisions>
    </reviewItem>
    <reviewItem>
      <errorID>59c6c848-5427-4b79-be9c-598f50ffd043</errorID>
      <errorWord>点00分</errorWord>
      <group>L1_AI</group>
      <groupName>深度校对</groupName>
      <ability>L2_AI_Word</ability>
      <abilityName>字词纠错</abilityName>
      <candidateList>
        <item>:00</item>
      </candidateList>
      <explain/>
      <paraID> E7B3430</paraID>
      <start>15</start>
      <end>18</end>
      <status>modified</status>
      <modifiedWord>:00</modifiedWord>
      <trackRevisions>false</trackRevisions>
    </reviewItem>
    <reviewItem>
      <errorID>93186562-4a3a-4e6e-b4fa-a3a7fcaec80e</errorID>
      <errorWord>综合</errorWord>
      <group>L1_AI</group>
      <groupName>深度校对</groupName>
      <ability>L2_AI_Grammar</ability>
      <abilityName>语法纠错</abilityName>
      <candidateList>
        <item>将相关费用综合</item>
      </candidateList>
      <explain/>
      <paraID>1596A345</paraID>
      <start>39</start>
      <end>46</end>
      <status>modified</status>
      <modifiedWord>将相关费用综合</modifiedWord>
      <trackRevisions>false</trackRevisions>
    </reviewItem>
    <reviewItem>
      <errorID>07bcbeda-0065-43f3-abc5-439848cd5651</errorID>
      <errorWord>招标</errorWord>
      <group>L1_AI</group>
      <groupName>深度校对</groupName>
      <ability>L2_AI_Word</ability>
      <abilityName>字词纠错</abilityName>
      <candidateList>
        <item> 招标</item>
      </candidateList>
      <explain/>
      <paraID>485DDCAA</paraID>
      <start>3</start>
      <end>6</end>
      <status>modified</status>
      <modifiedWord> 招标</modifiedWord>
      <trackRevisions>false</trackRevisions>
    </reviewItem>
    <reviewItem>
      <errorID>9d1192bc-38dd-4f3b-b248-5d50d7cbf349</errorID>
      <errorWord>供应商</errorWord>
      <group>L1_AI</group>
      <groupName>深度校对</groupName>
      <ability>L2_AI_Word</ability>
      <abilityName>字词纠错</abilityName>
      <candidateList>
        <item> 供应商</item>
      </candidateList>
      <explain/>
      <paraID> 10E8B96</paraID>
      <start>3</start>
      <end>7</end>
      <status>modified</status>
      <modifiedWord> 供应商</modifiedWord>
      <trackRevisions>false</trackRevisions>
    </reviewItem>
    <reviewItem>
      <errorID>ce04106b-38a3-41a0-a757-59f308087f96</errorID>
      <errorWord>的</errorWord>
      <group>L1_AI</group>
      <groupName>深度校对</groupName>
      <ability>L2_AI_Grammar</ability>
      <abilityName>语法纠错</abilityName>
      <candidateList>
        <item>事项的</item>
      </candidateList>
      <explain/>
      <paraID> 10E8B96</paraID>
      <start>33</start>
      <end>36</end>
      <status>modified</status>
      <modifiedWord>事项的</modifiedWord>
      <trackRevisions>false</trackRevisions>
    </reviewItem>
    <reviewItem>
      <errorID>9b7faf78-d6bb-43b6-bf50-d1959b9b50d8</errorID>
      <errorWord>响应</errorWord>
      <group>L1_AI</group>
      <groupName>深度校对</groupName>
      <ability>L2_AI_Word</ability>
      <abilityName>字词纠错</abilityName>
      <candidateList>
        <item> 响应</item>
      </candidateList>
      <explain/>
      <paraID>63B67565</paraID>
      <start>3</start>
      <end>6</end>
      <status>modified</status>
      <modifiedWord> 响应</modifiedWord>
      <trackRevisions>false</trackRevisions>
    </reviewItem>
    <reviewItem>
      <errorID>39f308a4-fd47-4c9e-ab90-e38967c5a9f4</errorID>
      <errorWord>响应</errorWord>
      <group>L1_AI</group>
      <groupName>深度校对</groupName>
      <ability>L2_AI_Word</ability>
      <abilityName>字词纠错</abilityName>
      <candidateList>
        <item> 响应</item>
      </candidateList>
      <explain/>
      <paraID>3C408FC5</paraID>
      <start>3</start>
      <end>6</end>
      <status>modified</status>
      <modifiedWord> 响应</modifiedWord>
      <trackRevisions>false</trackRevisions>
    </reviewItem>
    <reviewItem>
      <errorID>84ff0e9e-3428-40e9-9f73-c96ab2602824</errorID>
      <errorWord>提供图纸等</errorWord>
      <group>L1_AI</group>
      <groupName>深度校对</groupName>
      <ability>L2_AI_Grammar</ability>
      <abilityName>语法纠错</abilityName>
      <candidateList>
        <item>提供</item>
      </candidateList>
      <explain/>
      <paraID>3C408FC5</paraID>
      <start>47</start>
      <end>49</end>
      <status>modified</status>
      <modifiedWord>提供</modifiedWord>
      <trackRevisions>false</trackRevisions>
    </reviewItem>
    <reviewItem>
      <errorID>96c389f9-e9fc-45b4-b820-32b07f3c0caa</errorID>
      <errorWord>资料的话</errorWord>
      <group>L1_AI</group>
      <groupName>深度校对</groupName>
      <ability>L2_AI_Grammar</ability>
      <abilityName>语法纠错</abilityName>
      <candidateList>
        <item>资料</item>
      </candidateList>
      <explain/>
      <paraID>3C408FC5</paraID>
      <start>51</start>
      <end>53</end>
      <status>modified</status>
      <modifiedWord>资料</modifiedWord>
      <trackRevisions>false</trackRevisions>
    </reviewItem>
    <reviewItem>
      <errorID>715d0ea7-c92e-415d-b64b-cea5a1538a20</errorID>
      <errorWord>充分考虑到</errorWord>
      <group>L1_AI</group>
      <groupName>深度校对</groupName>
      <ability>L2_AI_Word</ability>
      <abilityName>字词纠错</abilityName>
      <candidateList>
        <item>充分考虑</item>
      </candidateList>
      <explain/>
      <paraID>6CB7F51A</paraID>
      <start>4</start>
      <end>8</end>
      <status>modified</status>
      <modifiedWord>充分考虑</modifiedWord>
      <trackRevisions>false</trackRevisions>
    </reviewItem>
    <reviewItem>
      <errorID>9a3f91cb-2be2-4cd4-9ec4-3bf5a40a6a7f</errorID>
      <errorWord>造成的</errorWord>
      <group>L1_AI</group>
      <groupName>深度校对</groupName>
      <ability>L2_AI_Word</ability>
      <abilityName>字词纠错</abilityName>
      <candidateList>
        <item>导致</item>
      </candidateList>
      <explain/>
      <paraID>6CB7F51A</paraID>
      <start>35</start>
      <end>37</end>
      <status>modified</status>
      <modifiedWord>导致</modifiedWord>
      <trackRevisions>false</trackRevisions>
    </reviewItem>
    <reviewItem>
      <errorID>f19cbb48-d7b4-4c0a-9ace-647842daffa7</errorID>
      <errorWord>由</errorWord>
      <group>L1_AI</group>
      <groupName>深度校对</groupName>
      <ability>L2_AI_Punc</ability>
      <abilityName>标点纠错</abilityName>
      <candidateList>
        <item>，由</item>
      </candidateList>
      <explain/>
      <paraID>6CB7F51A</paraID>
      <start>48</start>
      <end>50</end>
      <status>modified</status>
      <modifiedWord>，由</modifiedWord>
      <trackRevisions>false</trackRevisions>
    </reviewItem>
    <reviewItem>
      <errorID>98b7d614-f721-499f-ac3d-eb40def58ef2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4F4E2FCA</paraID>
      <start>50</start>
      <end>51</end>
      <status>unmodified</status>
      <modifiedWord/>
      <trackRevisions>false</trackRevisions>
    </reviewItem>
    <reviewItem>
      <errorID>b0662820-6b9b-46e4-bdb7-0a40a50c30ff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43694EBD</paraID>
      <start>50</start>
      <end>51</end>
      <status>unmodified</status>
      <modifiedWord/>
      <trackRevisions>false</trackRevisions>
    </reviewItem>
    <reviewItem>
      <errorID>360c4514-00aa-418c-ae9d-166dfd003f17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4EDF946C</paraID>
      <start>35</start>
      <end>36</end>
      <status>unmodified</status>
      <modifiedWord/>
      <trackRevisions>false</trackRevisions>
    </reviewItem>
    <reviewItem>
      <errorID>11deb848-24b3-48e5-b8dc-270abcf768dd</errorID>
      <errorWord>:</errorWord>
      <group>L1_Format</group>
      <groupName>格式问题</groupName>
      <ability>L2_HalfPunc</ability>
      <abilityName>全半角检查</abilityName>
      <candidateList>
        <item>：</item>
      </candidateList>
      <explain>文本全半角错误。</explain>
      <paraID>726DBD52</paraID>
      <start>9</start>
      <end>10</end>
      <status>unmodified</status>
      <modifiedWord/>
      <trackRevisions>false</trackRevisions>
    </reviewItem>
    <reviewItem>
      <errorID>d02dc7f6-c933-43b1-ab5d-b5e419928c7b</errorID>
      <errorWord>、以及</errorWord>
      <group>L1_Punc</group>
      <groupName>标点问题</groupName>
      <ability>L2_Punc</ability>
      <abilityName>标点符号检查</abilityName>
      <candidateList>
        <item>，以及</item>
      </candidateList>
      <explain>连接词前后不宜使用顿号，建议使用逗号。</explain>
      <paraID>75A76300</paraID>
      <start>34</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E03DE-0759-44CA-8B03-425731B2FDB3}">
  <ds:schemaRefs/>
</ds:datastoreItem>
</file>

<file path=customXml/itemProps3.xml><?xml version="1.0" encoding="utf-8"?>
<ds:datastoreItem xmlns:ds="http://schemas.openxmlformats.org/officeDocument/2006/customXml" ds:itemID="{78525931-8AC1-409F-A7F7-1F3BB0662B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14888</Words>
  <Characters>15695</Characters>
  <Lines>117</Lines>
  <Paragraphs>33</Paragraphs>
  <TotalTime>1</TotalTime>
  <ScaleCrop>false</ScaleCrop>
  <LinksUpToDate>false</LinksUpToDate>
  <CharactersWithSpaces>16030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2026-05-12T03:00:00Z</dcterms:created>
  <dc:creator>User</dc:creator>
  <cp:lastModifiedBy>飞天猪</cp:lastModifiedBy>
  <cp:lastPrinted>2026-05-06T07:41:00Z</cp:lastPrinted>
  <dcterms:modified xsi:type="dcterms:W3CDTF">2026-05-18T08:50:10Z</dcterms:modified>
  <dc:title>南通市环境监测中心站火焰原子吸收光谱仪项目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D891E2D3BE28477BAD0D142675CBB2D0_13</vt:lpwstr>
  </property>
  <property fmtid="{D5CDD505-2E9C-101B-9397-08002B2CF9AE}" pid="4" name="KSOTemplateDocerSaveRecord">
    <vt:lpwstr>eyJoZGlkIjoiOWFiNTIwOTIzOTlhMTA5N2QzMTYxZDc0ZTg1MjBkMzkiLCJ1c2VySWQiOiI1MTQ0MzMwMDUifQ==</vt:lpwstr>
  </property>
</Properties>
</file>