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50"/>
          <w:tab w:val="right" w:leader="dot" w:pos="9402"/>
        </w:tabs>
        <w:snapToGrid w:val="0"/>
        <w:spacing w:line="480" w:lineRule="exact"/>
        <w:jc w:val="center"/>
        <w:rPr>
          <w:rStyle w:val="8"/>
          <w:rFonts w:hint="eastAsia" w:ascii="宋体" w:hAnsi="宋体" w:eastAsia="宋体" w:cs="宋体"/>
          <w:b/>
          <w:color w:val="auto"/>
          <w:w w:val="80"/>
          <w:kern w:val="44"/>
          <w:sz w:val="36"/>
          <w:szCs w:val="36"/>
          <w:highlight w:val="none"/>
        </w:rPr>
      </w:pPr>
      <w:bookmarkStart w:id="0" w:name="_GoBack"/>
      <w:r>
        <w:rPr>
          <w:rStyle w:val="8"/>
          <w:rFonts w:hint="eastAsia" w:ascii="宋体" w:hAnsi="宋体" w:eastAsia="宋体" w:cs="宋体"/>
          <w:b/>
          <w:color w:val="auto"/>
          <w:w w:val="80"/>
          <w:kern w:val="44"/>
          <w:sz w:val="36"/>
          <w:szCs w:val="36"/>
          <w:highlight w:val="none"/>
        </w:rPr>
        <w:t>2023年南通市区地下水源热泵系统使用状况评估项目</w:t>
      </w:r>
      <w:r>
        <w:rPr>
          <w:rStyle w:val="8"/>
          <w:rFonts w:hint="eastAsia" w:ascii="宋体" w:hAnsi="宋体" w:eastAsia="宋体" w:cs="宋体"/>
          <w:b/>
          <w:color w:val="auto"/>
          <w:w w:val="80"/>
          <w:kern w:val="44"/>
          <w:sz w:val="36"/>
          <w:szCs w:val="36"/>
          <w:highlight w:val="none"/>
        </w:rPr>
        <w:t>需求</w:t>
      </w:r>
    </w:p>
    <w:bookmarkEnd w:id="0"/>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贯彻落实最严格水资源管理制度，进一步加强我市地下水源热泵项目用水管理，规范水源热泵用水户取水回灌行为，摸清地下水源热泵项目用水效率和回灌效率，评估项目取水回灌对水环境和地质环境的影响，开展南通市地下水源热泵项目的评估工作。具体需求如下：</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1、项目范围：南通市区（崇川区）</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市区6个已建成在用的水源热泵系统进行“地下水源热泵项目”评估，全年两次，分别于冬季用水高峰期和夏季用水高峰期。（</w:t>
      </w:r>
      <w:r>
        <w:rPr>
          <w:rFonts w:hint="eastAsia" w:ascii="宋体" w:hAnsi="宋体" w:eastAsia="宋体" w:cs="宋体"/>
          <w:color w:val="auto"/>
          <w:sz w:val="24"/>
          <w:szCs w:val="24"/>
          <w:highlight w:val="none"/>
          <w:lang w:val="en-US" w:eastAsia="zh-CN"/>
        </w:rPr>
        <w:t>年内如有新增项目，根据业主要求完成评估工作</w:t>
      </w:r>
      <w:r>
        <w:rPr>
          <w:rFonts w:hint="eastAsia" w:ascii="宋体" w:hAnsi="宋体" w:eastAsia="宋体" w:cs="宋体"/>
          <w:color w:val="auto"/>
          <w:sz w:val="24"/>
          <w:szCs w:val="24"/>
          <w:highlight w:val="none"/>
        </w:rPr>
        <w:t>）</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2.工作目标：</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进一步加强水资源统一管理，促进区域水资源合理开发、优化配置、高效利用和有效保护，调查南通市地下水源热泵项目取水用水及回灌情况，核实地下水取水用水方案、用水效率、回灌方案和水资源保护措施与项目论证的一致性，评估地下水源热泵项目开发利用地下水和浅层地温能资源对水环境和地质环境产生的影响进行全面评估，并根据目前已有项目的实际运行情况，分析评价地下水源热泵项目的经济效益和生态环境效益，为南通市地下水源热泵项目推广和浅层地温能资源开发利用提供技术支持。</w:t>
      </w:r>
    </w:p>
    <w:p>
      <w:pPr>
        <w:widowControl w:val="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南通市区水源热泵系统一览表</w:t>
      </w:r>
    </w:p>
    <w:p>
      <w:pPr>
        <w:widowControl w:val="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年内如有新增项目，根据业主要求完成评估工作</w:t>
      </w:r>
      <w:r>
        <w:rPr>
          <w:rFonts w:hint="eastAsia" w:ascii="宋体" w:hAnsi="宋体" w:eastAsia="宋体" w:cs="宋体"/>
          <w:color w:val="auto"/>
          <w:sz w:val="24"/>
          <w:szCs w:val="24"/>
          <w:highlight w:val="none"/>
        </w:rPr>
        <w:t>）</w:t>
      </w:r>
    </w:p>
    <w:p>
      <w:pPr>
        <w:jc w:val="center"/>
        <w:rPr>
          <w:rFonts w:hint="eastAsia"/>
          <w:color w:val="auto"/>
          <w:highlight w:val="none"/>
        </w:rPr>
      </w:pPr>
    </w:p>
    <w:tbl>
      <w:tblPr>
        <w:tblStyle w:val="6"/>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2687"/>
        <w:gridCol w:w="2197"/>
        <w:gridCol w:w="1665"/>
        <w:gridCol w:w="795"/>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13"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许可证编号</w:t>
            </w:r>
          </w:p>
        </w:tc>
        <w:tc>
          <w:tcPr>
            <w:tcW w:w="2687"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单位名称</w:t>
            </w:r>
          </w:p>
        </w:tc>
        <w:tc>
          <w:tcPr>
            <w:tcW w:w="2197"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单位地址</w:t>
            </w:r>
          </w:p>
        </w:tc>
        <w:tc>
          <w:tcPr>
            <w:tcW w:w="166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取水许可水量（万立方米）</w:t>
            </w:r>
          </w:p>
        </w:tc>
        <w:tc>
          <w:tcPr>
            <w:tcW w:w="795"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深井</w:t>
            </w:r>
          </w:p>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眼数</w:t>
            </w:r>
          </w:p>
        </w:tc>
        <w:tc>
          <w:tcPr>
            <w:tcW w:w="868"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含水层次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13"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C320602G2021-0051</w:t>
            </w:r>
          </w:p>
        </w:tc>
        <w:tc>
          <w:tcPr>
            <w:tcW w:w="268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南通天宝置业有限公司</w:t>
            </w:r>
          </w:p>
        </w:tc>
        <w:tc>
          <w:tcPr>
            <w:tcW w:w="219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崇川区工农南路128号</w:t>
            </w:r>
          </w:p>
        </w:tc>
        <w:tc>
          <w:tcPr>
            <w:tcW w:w="166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33.14</w:t>
            </w:r>
          </w:p>
        </w:tc>
        <w:tc>
          <w:tcPr>
            <w:tcW w:w="79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868"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I承压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13"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C320602G2021-0097</w:t>
            </w:r>
          </w:p>
        </w:tc>
        <w:tc>
          <w:tcPr>
            <w:tcW w:w="268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南通新宏基投资管理有限公司</w:t>
            </w:r>
          </w:p>
        </w:tc>
        <w:tc>
          <w:tcPr>
            <w:tcW w:w="219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崇川区崇文路1号启瑞广场</w:t>
            </w:r>
          </w:p>
        </w:tc>
        <w:tc>
          <w:tcPr>
            <w:tcW w:w="166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193.2</w:t>
            </w:r>
          </w:p>
        </w:tc>
        <w:tc>
          <w:tcPr>
            <w:tcW w:w="79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w:t>
            </w:r>
          </w:p>
        </w:tc>
        <w:tc>
          <w:tcPr>
            <w:tcW w:w="868"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I承压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13"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C320602G2021-0051</w:t>
            </w:r>
          </w:p>
        </w:tc>
        <w:tc>
          <w:tcPr>
            <w:tcW w:w="268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南通希悦酒店管理有限公司</w:t>
            </w:r>
          </w:p>
        </w:tc>
        <w:tc>
          <w:tcPr>
            <w:tcW w:w="2197" w:type="dxa"/>
            <w:noWrap w:val="0"/>
            <w:vAlign w:val="center"/>
          </w:tcPr>
          <w:p>
            <w:pPr>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崇川区濠西路99号尚德城邦C座</w:t>
            </w:r>
          </w:p>
        </w:tc>
        <w:tc>
          <w:tcPr>
            <w:tcW w:w="166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w:t>
            </w:r>
          </w:p>
        </w:tc>
        <w:tc>
          <w:tcPr>
            <w:tcW w:w="795"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868"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I承压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13"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C320602G2021-0051</w:t>
            </w:r>
          </w:p>
        </w:tc>
        <w:tc>
          <w:tcPr>
            <w:tcW w:w="268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江苏省南通田家炳中学</w:t>
            </w:r>
          </w:p>
        </w:tc>
        <w:tc>
          <w:tcPr>
            <w:tcW w:w="219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崇川区南园路21号</w:t>
            </w:r>
          </w:p>
        </w:tc>
        <w:tc>
          <w:tcPr>
            <w:tcW w:w="166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29</w:t>
            </w:r>
          </w:p>
        </w:tc>
        <w:tc>
          <w:tcPr>
            <w:tcW w:w="795"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868"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I承压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13" w:type="dxa"/>
            <w:noWrap w:val="0"/>
            <w:vAlign w:val="center"/>
          </w:tcPr>
          <w:p>
            <w:pPr>
              <w:jc w:val="left"/>
              <w:rPr>
                <w:rFonts w:ascii="仿宋" w:hAnsi="仿宋" w:eastAsia="仿宋" w:cs="仿宋"/>
                <w:color w:val="auto"/>
                <w:kern w:val="0"/>
                <w:sz w:val="24"/>
                <w:szCs w:val="24"/>
                <w:highlight w:val="none"/>
              </w:rPr>
            </w:pPr>
          </w:p>
        </w:tc>
        <w:tc>
          <w:tcPr>
            <w:tcW w:w="268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江苏省苏建集团有限公司南通崇川分公司</w:t>
            </w:r>
          </w:p>
        </w:tc>
        <w:tc>
          <w:tcPr>
            <w:tcW w:w="219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崇川区段家坝路148号</w:t>
            </w:r>
          </w:p>
        </w:tc>
        <w:tc>
          <w:tcPr>
            <w:tcW w:w="166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138.6</w:t>
            </w:r>
          </w:p>
        </w:tc>
        <w:tc>
          <w:tcPr>
            <w:tcW w:w="79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w:t>
            </w:r>
          </w:p>
        </w:tc>
        <w:tc>
          <w:tcPr>
            <w:tcW w:w="868"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I承压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313"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C320611G2022-0006</w:t>
            </w:r>
          </w:p>
        </w:tc>
        <w:tc>
          <w:tcPr>
            <w:tcW w:w="268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百安谊家商业发展（江苏）有限公司</w:t>
            </w:r>
          </w:p>
        </w:tc>
        <w:tc>
          <w:tcPr>
            <w:tcW w:w="2197" w:type="dxa"/>
            <w:noWrap w:val="0"/>
            <w:vAlign w:val="center"/>
          </w:tcPr>
          <w:p>
            <w:pPr>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北大街百安谊家进口馆</w:t>
            </w:r>
          </w:p>
        </w:tc>
        <w:tc>
          <w:tcPr>
            <w:tcW w:w="166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63.2</w:t>
            </w:r>
          </w:p>
        </w:tc>
        <w:tc>
          <w:tcPr>
            <w:tcW w:w="795" w:type="dxa"/>
            <w:noWrap w:val="0"/>
            <w:vAlign w:val="center"/>
          </w:tcPr>
          <w:p>
            <w:pPr>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w:t>
            </w:r>
          </w:p>
        </w:tc>
        <w:tc>
          <w:tcPr>
            <w:tcW w:w="868" w:type="dxa"/>
            <w:noWrap w:val="0"/>
            <w:vAlign w:val="center"/>
          </w:tcPr>
          <w:p>
            <w:pPr>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I承压</w:t>
            </w:r>
          </w:p>
        </w:tc>
      </w:tr>
    </w:tbl>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3、工作任务</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收集南通市区区域自然地理、河流水系、水文气象、水环境、现状供水工程、供水量等资料，综合评价项目所在区域水资源开发利用程度；充分收集、分析研究现有水文地质、工程地质、地热地质和环境地质等资料的基础上，分析南通市主城区浅层地温能地热地质背景条件；</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（2）调查区域水文、地质条件；水资源状况调查评价，分析区域水资源量和分布以及区域地下水水质状况；水资源开发利用状况调查；地下水位动态变化情况等；</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（3）调查市区地下水源热泵企业基本概况、原审批取用水情况；项目取用水方案、暖通方案、热泵机组选型及参数、热泵服务范围及启用方案、回灌方案等；</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调查核实市区地下水源热泵企业近期用水和回灌量及取水回灌过程，并依据国家和地方相关产业政策和区域发展规划，分析评估项目用水定额、用水过程、用水水平以及相应节水措施，综合评价南通市区地下水源热泵项目取用水的合理性和回灌的可行性；依据市区水文、水文地质资料，分析项目区域可利用水资源量，评估地下水源热泵项目取水和回灌可靠性。</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（5）从水资源管理角度出发，分析评估市区现有地下水源热泵项目取、回灌对水环境、地质环境以及其他取水用户的影响；</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调查地下水源热泵项目用水管理、节水管理、节能减排、水资源保护、浅层地温能资源保护措施，分析其可行性和存在问题，并提出相应措施，进一步为南通市浅层地温能资源开发利用和保护提供技术支持。</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4.提交成果</w:t>
      </w:r>
    </w:p>
    <w:p>
      <w:pPr>
        <w:widowControl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中标单位自备地下水水位监测等专业工具，根据用水单位冬季和夏季水源热泵系统运行的原始记录，按要求于2023年12月10日前编制完成水源热泵系统使用状况评估报告。</w:t>
      </w:r>
    </w:p>
    <w:p>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5.付款方式：合同签订后支付合同额的70%；完成合同规定的工作内容，验收合格后支付余款。</w:t>
      </w:r>
    </w:p>
    <w:p>
      <w:pPr>
        <w:pStyle w:val="5"/>
        <w:ind w:left="1560"/>
        <w:rPr>
          <w:rFonts w:hint="eastAsia"/>
          <w:color w:val="auto"/>
          <w:highlight w:val="none"/>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261AEA"/>
    <w:rsid w:val="01705C99"/>
    <w:rsid w:val="100828AD"/>
    <w:rsid w:val="147E133E"/>
    <w:rsid w:val="167421DE"/>
    <w:rsid w:val="187675E6"/>
    <w:rsid w:val="1946255C"/>
    <w:rsid w:val="1AE42514"/>
    <w:rsid w:val="2418219D"/>
    <w:rsid w:val="266D1322"/>
    <w:rsid w:val="27026E1B"/>
    <w:rsid w:val="2A790643"/>
    <w:rsid w:val="2E261AEA"/>
    <w:rsid w:val="32047E1A"/>
    <w:rsid w:val="36BD095F"/>
    <w:rsid w:val="37FF0092"/>
    <w:rsid w:val="51937B70"/>
    <w:rsid w:val="522C70F0"/>
    <w:rsid w:val="6FE611FF"/>
    <w:rsid w:val="73E90B13"/>
    <w:rsid w:val="7AAE5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textAlignment w:val="baseline"/>
    </w:pPr>
    <w:rPr>
      <w:rFonts w:ascii="Times New Roman" w:hAnsi="Times New Roman" w:eastAsia="楷体_GB2312" w:cs="Times New Roman"/>
      <w:kern w:val="2"/>
      <w:sz w:val="26"/>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unhideWhenUsed/>
    <w:qFormat/>
    <w:uiPriority w:val="99"/>
    <w:pPr>
      <w:ind w:firstLine="200" w:firstLineChars="200"/>
    </w:pPr>
  </w:style>
  <w:style w:type="paragraph" w:styleId="3">
    <w:name w:val="Body Text Indent"/>
    <w:basedOn w:val="1"/>
    <w:next w:val="4"/>
    <w:unhideWhenUsed/>
    <w:qFormat/>
    <w:uiPriority w:val="99"/>
    <w:pPr>
      <w:spacing w:after="120"/>
      <w:ind w:left="420" w:leftChars="200"/>
    </w:pPr>
    <w:rPr>
      <w:rFonts w:eastAsia="宋体"/>
      <w:sz w:val="21"/>
      <w:szCs w:val="24"/>
    </w:rPr>
  </w:style>
  <w:style w:type="paragraph" w:styleId="4">
    <w:name w:val="envelope return"/>
    <w:basedOn w:val="1"/>
    <w:unhideWhenUsed/>
    <w:qFormat/>
    <w:uiPriority w:val="99"/>
    <w:pPr>
      <w:snapToGrid w:val="0"/>
    </w:pPr>
    <w:rPr>
      <w:rFonts w:ascii="Arial" w:hAnsi="Arial"/>
    </w:rPr>
  </w:style>
  <w:style w:type="paragraph" w:styleId="5">
    <w:name w:val="index 4"/>
    <w:basedOn w:val="1"/>
    <w:next w:val="1"/>
    <w:unhideWhenUsed/>
    <w:qFormat/>
    <w:uiPriority w:val="99"/>
    <w:pPr>
      <w:ind w:left="600" w:leftChars="600"/>
    </w:pPr>
  </w:style>
  <w:style w:type="character" w:customStyle="1" w:styleId="8">
    <w:name w:val="NormalCharacter"/>
    <w:qFormat/>
    <w:uiPriority w:val="0"/>
  </w:style>
  <w:style w:type="paragraph" w:customStyle="1" w:styleId="9">
    <w:name w:val="页眉1"/>
    <w:basedOn w:val="1"/>
    <w:qFormat/>
    <w:uiPriority w:val="0"/>
    <w:pPr>
      <w:pBdr>
        <w:bottom w:val="single" w:color="000000"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2023-04-27T15:03:00Z</dcterms:created>
  <dc:creator>L</dc:creator>
  <cp:lastModifiedBy>L</cp:lastModifiedBy>
  <dcterms:modified xsi:type="dcterms:W3CDTF">2023-04-27T15:03:30Z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8E244740DEF64A3B8661477330079259</vt:lpwstr>
  </property>
</Properties>
</file>