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AF165">
      <w:pPr>
        <w:pStyle w:val="18"/>
        <w:spacing w:line="360" w:lineRule="auto"/>
        <w:rPr>
          <w:rFonts w:ascii="Times New Roman" w:eastAsia="宋体"/>
        </w:rPr>
      </w:pPr>
    </w:p>
    <w:p w14:paraId="482BB1B1">
      <w:pPr>
        <w:spacing w:line="360" w:lineRule="auto"/>
        <w:jc w:val="center"/>
        <w:rPr>
          <w:rFonts w:eastAsia="宋体"/>
          <w:b/>
          <w:sz w:val="52"/>
          <w:szCs w:val="52"/>
        </w:rPr>
      </w:pPr>
      <w:r>
        <w:rPr>
          <w:rFonts w:eastAsia="宋体"/>
          <w:b/>
          <w:sz w:val="52"/>
          <w:szCs w:val="52"/>
        </w:rPr>
        <w:t>南通市河长制信息化管理系统建设项目</w:t>
      </w:r>
    </w:p>
    <w:p w14:paraId="4F4CB2D5">
      <w:pPr>
        <w:spacing w:line="360" w:lineRule="auto"/>
        <w:rPr>
          <w:rFonts w:eastAsia="宋体"/>
          <w:b/>
          <w:bCs/>
          <w:w w:val="80"/>
          <w:sz w:val="52"/>
          <w:szCs w:val="52"/>
        </w:rPr>
      </w:pPr>
    </w:p>
    <w:p w14:paraId="4C7585EC">
      <w:pPr>
        <w:spacing w:line="360" w:lineRule="auto"/>
        <w:jc w:val="center"/>
        <w:rPr>
          <w:rFonts w:eastAsia="宋体"/>
          <w:b/>
          <w:bCs/>
          <w:w w:val="80"/>
          <w:sz w:val="52"/>
          <w:szCs w:val="52"/>
        </w:rPr>
      </w:pPr>
    </w:p>
    <w:p w14:paraId="539F81D4">
      <w:pPr>
        <w:spacing w:line="360" w:lineRule="auto"/>
        <w:jc w:val="center"/>
        <w:rPr>
          <w:rFonts w:eastAsia="宋体"/>
          <w:b/>
          <w:bCs/>
          <w:w w:val="80"/>
          <w:sz w:val="52"/>
          <w:szCs w:val="52"/>
        </w:rPr>
      </w:pPr>
    </w:p>
    <w:p w14:paraId="29448CB7">
      <w:pPr>
        <w:pStyle w:val="49"/>
        <w:ind w:firstLine="480"/>
      </w:pPr>
    </w:p>
    <w:p w14:paraId="45D71522">
      <w:pPr>
        <w:pStyle w:val="49"/>
        <w:ind w:firstLine="480"/>
      </w:pPr>
    </w:p>
    <w:p w14:paraId="67528C38">
      <w:pPr>
        <w:pStyle w:val="18"/>
        <w:rPr>
          <w:rFonts w:ascii="Times New Roman"/>
        </w:rPr>
      </w:pPr>
    </w:p>
    <w:p w14:paraId="64DA3C7F">
      <w:pPr>
        <w:pStyle w:val="18"/>
        <w:rPr>
          <w:rFonts w:ascii="Times New Roman"/>
        </w:rPr>
      </w:pPr>
    </w:p>
    <w:p w14:paraId="234FD384">
      <w:pPr>
        <w:tabs>
          <w:tab w:val="left" w:pos="1050"/>
          <w:tab w:val="right" w:leader="dot" w:pos="9402"/>
        </w:tabs>
        <w:spacing w:line="360" w:lineRule="auto"/>
        <w:jc w:val="center"/>
        <w:rPr>
          <w:rFonts w:eastAsia="宋体"/>
          <w:b/>
          <w:sz w:val="72"/>
          <w:szCs w:val="72"/>
        </w:rPr>
      </w:pPr>
      <w:r>
        <w:rPr>
          <w:rFonts w:eastAsia="宋体"/>
          <w:b/>
          <w:w w:val="80"/>
          <w:sz w:val="96"/>
          <w:szCs w:val="96"/>
        </w:rPr>
        <w:t>竞争性磋商文件</w:t>
      </w:r>
    </w:p>
    <w:p w14:paraId="487240B3">
      <w:pPr>
        <w:snapToGrid w:val="0"/>
        <w:spacing w:line="360" w:lineRule="auto"/>
        <w:jc w:val="center"/>
        <w:rPr>
          <w:rFonts w:eastAsia="宋体"/>
          <w:b/>
          <w:w w:val="80"/>
          <w:sz w:val="36"/>
          <w:szCs w:val="36"/>
        </w:rPr>
      </w:pPr>
      <w:r>
        <w:rPr>
          <w:rFonts w:eastAsia="宋体"/>
          <w:b/>
          <w:w w:val="80"/>
          <w:sz w:val="36"/>
          <w:szCs w:val="36"/>
        </w:rPr>
        <w:t>（项目编号：WLTJ</w:t>
      </w:r>
      <w:r>
        <w:rPr>
          <w:rFonts w:hint="eastAsia" w:eastAsia="宋体"/>
          <w:b/>
          <w:w w:val="80"/>
          <w:sz w:val="36"/>
          <w:szCs w:val="36"/>
        </w:rPr>
        <w:t>DL2024134</w:t>
      </w:r>
      <w:r>
        <w:rPr>
          <w:rFonts w:eastAsia="宋体"/>
          <w:b/>
          <w:w w:val="80"/>
          <w:sz w:val="36"/>
          <w:szCs w:val="36"/>
        </w:rPr>
        <w:t>）</w:t>
      </w:r>
    </w:p>
    <w:p w14:paraId="6228F362">
      <w:pPr>
        <w:snapToGrid w:val="0"/>
        <w:spacing w:line="360" w:lineRule="auto"/>
        <w:jc w:val="center"/>
        <w:rPr>
          <w:rFonts w:eastAsia="宋体"/>
          <w:sz w:val="32"/>
          <w:szCs w:val="32"/>
        </w:rPr>
      </w:pPr>
    </w:p>
    <w:p w14:paraId="580DE711">
      <w:pPr>
        <w:snapToGrid w:val="0"/>
        <w:spacing w:line="360" w:lineRule="auto"/>
        <w:jc w:val="center"/>
        <w:rPr>
          <w:rFonts w:eastAsia="宋体"/>
          <w:b/>
          <w:bCs/>
          <w:sz w:val="32"/>
          <w:szCs w:val="32"/>
        </w:rPr>
      </w:pPr>
    </w:p>
    <w:p w14:paraId="286669AB">
      <w:pPr>
        <w:pStyle w:val="49"/>
        <w:ind w:firstLine="480"/>
      </w:pPr>
    </w:p>
    <w:p w14:paraId="7BF08D93">
      <w:pPr>
        <w:snapToGrid w:val="0"/>
        <w:spacing w:line="360" w:lineRule="auto"/>
        <w:jc w:val="center"/>
        <w:rPr>
          <w:rFonts w:eastAsia="宋体"/>
          <w:b/>
          <w:bCs/>
          <w:sz w:val="32"/>
          <w:szCs w:val="32"/>
        </w:rPr>
      </w:pPr>
    </w:p>
    <w:p w14:paraId="5674330B">
      <w:pPr>
        <w:snapToGrid w:val="0"/>
        <w:spacing w:line="360" w:lineRule="auto"/>
        <w:jc w:val="center"/>
        <w:rPr>
          <w:rFonts w:eastAsia="宋体"/>
          <w:b/>
          <w:bCs/>
          <w:sz w:val="32"/>
          <w:szCs w:val="32"/>
        </w:rPr>
      </w:pPr>
    </w:p>
    <w:p w14:paraId="42D7038A">
      <w:pPr>
        <w:pStyle w:val="18"/>
        <w:spacing w:line="360" w:lineRule="auto"/>
        <w:rPr>
          <w:rFonts w:ascii="Times New Roman" w:eastAsia="宋体"/>
        </w:rPr>
      </w:pPr>
    </w:p>
    <w:p w14:paraId="4DAF971B">
      <w:pPr>
        <w:pStyle w:val="18"/>
        <w:spacing w:line="360" w:lineRule="auto"/>
        <w:rPr>
          <w:rFonts w:ascii="Times New Roman" w:eastAsia="宋体"/>
        </w:rPr>
      </w:pPr>
    </w:p>
    <w:p w14:paraId="6444B5B5">
      <w:pPr>
        <w:tabs>
          <w:tab w:val="left" w:pos="1050"/>
          <w:tab w:val="right" w:leader="dot" w:pos="9402"/>
        </w:tabs>
        <w:spacing w:line="360" w:lineRule="auto"/>
        <w:jc w:val="center"/>
        <w:rPr>
          <w:rFonts w:eastAsia="宋体"/>
          <w:b/>
          <w:w w:val="80"/>
          <w:sz w:val="30"/>
          <w:szCs w:val="30"/>
        </w:rPr>
      </w:pPr>
      <w:r>
        <w:rPr>
          <w:rFonts w:eastAsia="宋体"/>
          <w:b/>
          <w:w w:val="80"/>
          <w:sz w:val="30"/>
          <w:szCs w:val="30"/>
        </w:rPr>
        <w:t>采购单位：南通市水利局</w:t>
      </w:r>
    </w:p>
    <w:p w14:paraId="3AFBC4DC">
      <w:pPr>
        <w:tabs>
          <w:tab w:val="left" w:pos="1050"/>
          <w:tab w:val="right" w:leader="dot" w:pos="9402"/>
        </w:tabs>
        <w:spacing w:line="360" w:lineRule="auto"/>
        <w:jc w:val="center"/>
        <w:rPr>
          <w:rFonts w:eastAsia="宋体"/>
          <w:b/>
          <w:w w:val="80"/>
          <w:sz w:val="30"/>
          <w:szCs w:val="30"/>
        </w:rPr>
      </w:pPr>
      <w:r>
        <w:rPr>
          <w:rFonts w:eastAsia="宋体"/>
          <w:b/>
          <w:w w:val="80"/>
          <w:sz w:val="30"/>
          <w:szCs w:val="30"/>
        </w:rPr>
        <w:t>采购代理：江苏万隆同济房地产土地估价咨询有限公司</w:t>
      </w:r>
    </w:p>
    <w:p w14:paraId="67BBF92C">
      <w:pPr>
        <w:tabs>
          <w:tab w:val="left" w:pos="1050"/>
          <w:tab w:val="right" w:leader="dot" w:pos="9402"/>
        </w:tabs>
        <w:spacing w:line="360" w:lineRule="auto"/>
        <w:jc w:val="center"/>
        <w:rPr>
          <w:rFonts w:eastAsia="宋体"/>
          <w:w w:val="80"/>
          <w:sz w:val="30"/>
          <w:szCs w:val="30"/>
        </w:rPr>
      </w:pPr>
      <w:r>
        <w:rPr>
          <w:rFonts w:eastAsia="宋体"/>
          <w:b/>
          <w:w w:val="80"/>
          <w:sz w:val="30"/>
          <w:szCs w:val="30"/>
        </w:rPr>
        <w:t>二〇二</w:t>
      </w:r>
      <w:r>
        <w:rPr>
          <w:rFonts w:hint="eastAsia" w:eastAsia="宋体"/>
          <w:b/>
          <w:w w:val="80"/>
          <w:sz w:val="30"/>
          <w:szCs w:val="30"/>
        </w:rPr>
        <w:t>四</w:t>
      </w:r>
      <w:r>
        <w:rPr>
          <w:rFonts w:eastAsia="宋体"/>
          <w:b/>
          <w:w w:val="80"/>
          <w:sz w:val="30"/>
          <w:szCs w:val="30"/>
        </w:rPr>
        <w:t>年</w:t>
      </w:r>
      <w:r>
        <w:rPr>
          <w:rFonts w:hint="eastAsia" w:eastAsia="宋体"/>
          <w:b/>
          <w:w w:val="80"/>
          <w:sz w:val="30"/>
          <w:szCs w:val="30"/>
        </w:rPr>
        <w:t>十一</w:t>
      </w:r>
      <w:r>
        <w:rPr>
          <w:rFonts w:eastAsia="宋体"/>
          <w:b/>
          <w:w w:val="80"/>
          <w:sz w:val="30"/>
          <w:szCs w:val="30"/>
        </w:rPr>
        <w:t>月</w:t>
      </w:r>
    </w:p>
    <w:p w14:paraId="3152F13D">
      <w:pPr>
        <w:tabs>
          <w:tab w:val="left" w:pos="1050"/>
          <w:tab w:val="right" w:leader="dot" w:pos="9402"/>
        </w:tabs>
        <w:spacing w:line="360" w:lineRule="auto"/>
        <w:jc w:val="center"/>
        <w:rPr>
          <w:rFonts w:eastAsia="宋体"/>
          <w:b/>
          <w:bCs/>
          <w:w w:val="80"/>
          <w:sz w:val="44"/>
          <w:szCs w:val="44"/>
        </w:rPr>
      </w:pPr>
      <w:r>
        <w:rPr>
          <w:rFonts w:eastAsia="宋体"/>
          <w:b/>
          <w:bCs/>
          <w:w w:val="80"/>
          <w:sz w:val="44"/>
          <w:szCs w:val="44"/>
        </w:rPr>
        <w:br w:type="page"/>
      </w:r>
      <w:r>
        <w:rPr>
          <w:rFonts w:eastAsia="宋体"/>
          <w:b/>
          <w:bCs/>
          <w:w w:val="80"/>
          <w:sz w:val="44"/>
          <w:szCs w:val="44"/>
        </w:rPr>
        <w:t>目</w:t>
      </w:r>
      <w:r>
        <w:rPr>
          <w:rFonts w:hint="eastAsia" w:eastAsia="宋体"/>
          <w:b/>
          <w:bCs/>
          <w:w w:val="80"/>
          <w:sz w:val="44"/>
          <w:szCs w:val="44"/>
        </w:rPr>
        <w:t xml:space="preserve">  </w:t>
      </w:r>
      <w:r>
        <w:rPr>
          <w:rFonts w:eastAsia="宋体"/>
          <w:b/>
          <w:bCs/>
          <w:w w:val="80"/>
          <w:sz w:val="44"/>
          <w:szCs w:val="44"/>
        </w:rPr>
        <w:t>录</w:t>
      </w:r>
    </w:p>
    <w:p w14:paraId="55FD8C59">
      <w:pPr>
        <w:pStyle w:val="18"/>
        <w:spacing w:line="360" w:lineRule="auto"/>
        <w:rPr>
          <w:rFonts w:ascii="Times New Roman" w:eastAsia="宋体"/>
        </w:rPr>
      </w:pPr>
    </w:p>
    <w:p w14:paraId="7AFE0E57">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第一章     竞争性磋商公告</w:t>
      </w:r>
    </w:p>
    <w:p w14:paraId="7F7921E7">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第二章     磋商供应商须知</w:t>
      </w:r>
    </w:p>
    <w:p w14:paraId="65169653">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第三章     项目需求</w:t>
      </w:r>
    </w:p>
    <w:p w14:paraId="2E91CE49">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第四章     评审方法和程序</w:t>
      </w:r>
    </w:p>
    <w:p w14:paraId="2AA3A215">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第五章     合同主要条款</w:t>
      </w:r>
    </w:p>
    <w:p w14:paraId="628DD81E">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第六章     合同授予</w:t>
      </w:r>
    </w:p>
    <w:p w14:paraId="76A8E497">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第七章     质疑提出和处理</w:t>
      </w:r>
    </w:p>
    <w:p w14:paraId="4856720F">
      <w:pPr>
        <w:tabs>
          <w:tab w:val="left" w:pos="1050"/>
          <w:tab w:val="right" w:leader="dot" w:pos="9402"/>
        </w:tabs>
        <w:spacing w:line="360" w:lineRule="auto"/>
        <w:ind w:firstLine="579" w:firstLineChars="200"/>
        <w:jc w:val="left"/>
        <w:rPr>
          <w:rFonts w:eastAsia="宋体"/>
          <w:b/>
          <w:w w:val="80"/>
          <w:sz w:val="36"/>
          <w:szCs w:val="36"/>
        </w:rPr>
      </w:pPr>
      <w:r>
        <w:rPr>
          <w:rFonts w:eastAsia="宋体"/>
          <w:b/>
          <w:w w:val="80"/>
          <w:sz w:val="36"/>
          <w:szCs w:val="36"/>
        </w:rPr>
        <w:t>第八章     响应文件组成及格式</w:t>
      </w:r>
    </w:p>
    <w:p w14:paraId="3762975F">
      <w:pPr>
        <w:spacing w:line="360" w:lineRule="auto"/>
        <w:jc w:val="center"/>
        <w:rPr>
          <w:rFonts w:eastAsia="宋体"/>
          <w:kern w:val="0"/>
        </w:rPr>
      </w:pPr>
    </w:p>
    <w:p w14:paraId="5C55DCE5">
      <w:pPr>
        <w:spacing w:line="360" w:lineRule="auto"/>
        <w:rPr>
          <w:rFonts w:eastAsia="宋体"/>
          <w:kern w:val="0"/>
        </w:rPr>
      </w:pPr>
    </w:p>
    <w:p w14:paraId="65081EAC">
      <w:pPr>
        <w:spacing w:line="360" w:lineRule="auto"/>
        <w:rPr>
          <w:rFonts w:eastAsia="宋体"/>
          <w:kern w:val="0"/>
        </w:rPr>
      </w:pPr>
    </w:p>
    <w:p w14:paraId="038D9264">
      <w:pPr>
        <w:spacing w:line="360" w:lineRule="auto"/>
        <w:rPr>
          <w:rFonts w:eastAsia="宋体"/>
          <w:kern w:val="0"/>
        </w:rPr>
      </w:pPr>
    </w:p>
    <w:p w14:paraId="6935BB00">
      <w:pPr>
        <w:spacing w:line="360" w:lineRule="auto"/>
        <w:rPr>
          <w:rFonts w:eastAsia="宋体"/>
          <w:kern w:val="0"/>
        </w:rPr>
      </w:pPr>
    </w:p>
    <w:p w14:paraId="4D53E370">
      <w:pPr>
        <w:spacing w:line="360" w:lineRule="auto"/>
        <w:rPr>
          <w:rFonts w:eastAsia="宋体"/>
          <w:kern w:val="0"/>
        </w:rPr>
      </w:pPr>
    </w:p>
    <w:p w14:paraId="264923DE">
      <w:pPr>
        <w:spacing w:line="360" w:lineRule="auto"/>
        <w:rPr>
          <w:rFonts w:eastAsia="宋体"/>
          <w:kern w:val="0"/>
        </w:rPr>
      </w:pPr>
    </w:p>
    <w:p w14:paraId="5EF1CFDE">
      <w:pPr>
        <w:spacing w:line="360" w:lineRule="auto"/>
        <w:rPr>
          <w:rFonts w:eastAsia="宋体"/>
          <w:kern w:val="0"/>
        </w:rPr>
      </w:pPr>
    </w:p>
    <w:p w14:paraId="7DC057C7">
      <w:pPr>
        <w:spacing w:line="360" w:lineRule="auto"/>
        <w:rPr>
          <w:rFonts w:eastAsia="宋体"/>
          <w:kern w:val="0"/>
        </w:rPr>
      </w:pPr>
    </w:p>
    <w:p w14:paraId="56F46F38">
      <w:pPr>
        <w:pStyle w:val="18"/>
        <w:spacing w:line="360" w:lineRule="auto"/>
        <w:rPr>
          <w:rFonts w:ascii="Times New Roman" w:eastAsia="宋体"/>
        </w:rPr>
      </w:pPr>
    </w:p>
    <w:p w14:paraId="7A5B8FFB">
      <w:pPr>
        <w:pStyle w:val="18"/>
        <w:spacing w:line="360" w:lineRule="auto"/>
        <w:rPr>
          <w:rFonts w:ascii="Times New Roman" w:eastAsia="宋体"/>
        </w:rPr>
      </w:pPr>
    </w:p>
    <w:p w14:paraId="25AF8BD1">
      <w:pPr>
        <w:pStyle w:val="18"/>
        <w:spacing w:line="360" w:lineRule="auto"/>
        <w:rPr>
          <w:rFonts w:ascii="Times New Roman" w:eastAsia="宋体"/>
        </w:rPr>
      </w:pPr>
    </w:p>
    <w:p w14:paraId="5A939FAD">
      <w:pPr>
        <w:pStyle w:val="18"/>
        <w:spacing w:line="360" w:lineRule="auto"/>
        <w:rPr>
          <w:rFonts w:ascii="Times New Roman" w:eastAsia="宋体"/>
        </w:rPr>
      </w:pPr>
    </w:p>
    <w:p w14:paraId="6C618603">
      <w:pPr>
        <w:pStyle w:val="18"/>
        <w:spacing w:line="360" w:lineRule="auto"/>
        <w:rPr>
          <w:rFonts w:ascii="Times New Roman" w:eastAsia="宋体"/>
        </w:rPr>
      </w:pPr>
    </w:p>
    <w:p w14:paraId="745F1CF2">
      <w:pPr>
        <w:pStyle w:val="18"/>
        <w:spacing w:line="360" w:lineRule="auto"/>
        <w:rPr>
          <w:rFonts w:ascii="Times New Roman" w:eastAsia="宋体"/>
        </w:rPr>
      </w:pPr>
    </w:p>
    <w:p w14:paraId="11DB9825">
      <w:pPr>
        <w:tabs>
          <w:tab w:val="left" w:pos="1050"/>
          <w:tab w:val="right" w:leader="dot" w:pos="9402"/>
        </w:tabs>
        <w:spacing w:before="163" w:beforeLines="50" w:after="163" w:afterLines="50" w:line="360" w:lineRule="auto"/>
        <w:jc w:val="center"/>
        <w:outlineLvl w:val="0"/>
        <w:rPr>
          <w:rFonts w:eastAsia="宋体"/>
          <w:b/>
          <w:bCs/>
          <w:w w:val="80"/>
          <w:sz w:val="36"/>
          <w:szCs w:val="36"/>
        </w:rPr>
      </w:pPr>
      <w:bookmarkStart w:id="0" w:name="_Toc363573853"/>
      <w:r>
        <w:rPr>
          <w:rFonts w:eastAsia="宋体"/>
          <w:b/>
          <w:bCs/>
          <w:w w:val="80"/>
          <w:sz w:val="36"/>
          <w:szCs w:val="36"/>
        </w:rPr>
        <w:t>第一章</w:t>
      </w:r>
      <w:bookmarkEnd w:id="0"/>
      <w:r>
        <w:rPr>
          <w:rFonts w:eastAsia="宋体"/>
          <w:b/>
          <w:bCs/>
          <w:w w:val="80"/>
          <w:sz w:val="36"/>
          <w:szCs w:val="36"/>
        </w:rPr>
        <w:t xml:space="preserve">  竞争性磋商公告</w:t>
      </w:r>
      <w:bookmarkStart w:id="1" w:name="_Toc363573854"/>
    </w:p>
    <w:p w14:paraId="3068787E">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rPr>
      </w:pPr>
      <w:r>
        <w:rPr>
          <w:rFonts w:eastAsia="宋体"/>
        </w:rPr>
        <w:t>项目概况</w:t>
      </w:r>
    </w:p>
    <w:p w14:paraId="32E34454">
      <w:pPr>
        <w:pBdr>
          <w:top w:val="single" w:color="auto" w:sz="4" w:space="1"/>
          <w:left w:val="single" w:color="auto" w:sz="4" w:space="4"/>
          <w:bottom w:val="single" w:color="auto" w:sz="4" w:space="1"/>
          <w:right w:val="single" w:color="auto" w:sz="4" w:space="4"/>
        </w:pBdr>
        <w:spacing w:line="360" w:lineRule="auto"/>
        <w:ind w:firstLine="480" w:firstLineChars="200"/>
        <w:rPr>
          <w:rFonts w:eastAsia="宋体"/>
          <w:u w:val="single"/>
        </w:rPr>
      </w:pPr>
      <w:r>
        <w:rPr>
          <w:rFonts w:eastAsia="宋体"/>
          <w:u w:val="single"/>
        </w:rPr>
        <w:t>南通市河长制信息化管理系统建设项目</w:t>
      </w:r>
      <w:r>
        <w:rPr>
          <w:rFonts w:eastAsia="宋体"/>
        </w:rPr>
        <w:t>的潜在供应商应在</w:t>
      </w:r>
      <w:r>
        <w:rPr>
          <w:rFonts w:eastAsia="宋体"/>
          <w:u w:val="single"/>
        </w:rPr>
        <w:t>本公告附件中</w:t>
      </w:r>
      <w:r>
        <w:rPr>
          <w:rFonts w:eastAsia="宋体"/>
        </w:rPr>
        <w:t>获取采购文件，并于</w:t>
      </w:r>
      <w:r>
        <w:rPr>
          <w:rFonts w:eastAsia="宋体"/>
          <w:u w:val="single"/>
        </w:rPr>
        <w:t>202</w:t>
      </w:r>
      <w:r>
        <w:rPr>
          <w:rFonts w:hint="eastAsia" w:eastAsia="宋体"/>
          <w:u w:val="single"/>
        </w:rPr>
        <w:t>4</w:t>
      </w:r>
      <w:r>
        <w:rPr>
          <w:rFonts w:eastAsia="宋体"/>
          <w:u w:val="single"/>
        </w:rPr>
        <w:t>年</w:t>
      </w:r>
      <w:r>
        <w:rPr>
          <w:rFonts w:hint="eastAsia" w:eastAsia="宋体"/>
          <w:highlight w:val="none"/>
          <w:u w:val="single"/>
        </w:rPr>
        <w:t>11</w:t>
      </w:r>
      <w:r>
        <w:rPr>
          <w:rFonts w:eastAsia="宋体"/>
          <w:highlight w:val="none"/>
          <w:u w:val="single"/>
        </w:rPr>
        <w:t>月</w:t>
      </w:r>
      <w:r>
        <w:rPr>
          <w:rFonts w:hint="eastAsia" w:eastAsia="宋体"/>
          <w:highlight w:val="none"/>
          <w:u w:val="single"/>
          <w:lang w:val="en-US" w:eastAsia="zh-CN"/>
        </w:rPr>
        <w:t>15</w:t>
      </w:r>
      <w:r>
        <w:rPr>
          <w:rFonts w:eastAsia="宋体"/>
          <w:highlight w:val="none"/>
          <w:u w:val="single"/>
        </w:rPr>
        <w:t>日</w:t>
      </w:r>
      <w:r>
        <w:rPr>
          <w:rFonts w:hint="eastAsia" w:eastAsia="宋体"/>
          <w:highlight w:val="none"/>
          <w:u w:val="single"/>
          <w:lang w:val="en-US" w:eastAsia="zh-CN"/>
        </w:rPr>
        <w:t>9</w:t>
      </w:r>
      <w:r>
        <w:rPr>
          <w:rFonts w:eastAsia="宋体"/>
          <w:highlight w:val="none"/>
          <w:u w:val="single"/>
        </w:rPr>
        <w:t>时</w:t>
      </w:r>
      <w:r>
        <w:rPr>
          <w:rFonts w:hint="eastAsia" w:eastAsia="宋体"/>
          <w:highlight w:val="none"/>
          <w:u w:val="single"/>
          <w:lang w:val="en-US" w:eastAsia="zh-CN"/>
        </w:rPr>
        <w:t>30</w:t>
      </w:r>
      <w:r>
        <w:rPr>
          <w:rFonts w:eastAsia="宋体"/>
          <w:highlight w:val="none"/>
          <w:u w:val="single"/>
        </w:rPr>
        <w:t>分</w:t>
      </w:r>
      <w:r>
        <w:rPr>
          <w:rFonts w:eastAsia="宋体"/>
          <w:bCs/>
        </w:rPr>
        <w:t>（北京时间）前提交响应文件</w:t>
      </w:r>
      <w:r>
        <w:rPr>
          <w:rFonts w:eastAsia="宋体"/>
        </w:rPr>
        <w:t>。</w:t>
      </w:r>
    </w:p>
    <w:p w14:paraId="53C11A17">
      <w:pPr>
        <w:snapToGrid w:val="0"/>
        <w:spacing w:line="420" w:lineRule="exact"/>
        <w:ind w:firstLine="480" w:firstLineChars="200"/>
        <w:rPr>
          <w:rFonts w:eastAsia="宋体"/>
        </w:rPr>
      </w:pPr>
      <w:bookmarkStart w:id="2" w:name="_Toc28359012"/>
      <w:bookmarkStart w:id="3" w:name="_Toc28359089"/>
      <w:bookmarkStart w:id="4" w:name="_Toc35393629"/>
      <w:bookmarkStart w:id="5" w:name="_Toc35393798"/>
      <w:r>
        <w:rPr>
          <w:rFonts w:eastAsia="宋体"/>
        </w:rPr>
        <w:t>一、项目基本情况</w:t>
      </w:r>
      <w:bookmarkEnd w:id="2"/>
      <w:bookmarkEnd w:id="3"/>
      <w:bookmarkEnd w:id="4"/>
      <w:bookmarkEnd w:id="5"/>
    </w:p>
    <w:p w14:paraId="3212BA73">
      <w:pPr>
        <w:snapToGrid w:val="0"/>
        <w:spacing w:line="420" w:lineRule="exact"/>
        <w:ind w:firstLine="480" w:firstLineChars="200"/>
        <w:rPr>
          <w:rFonts w:eastAsia="宋体"/>
        </w:rPr>
      </w:pPr>
      <w:r>
        <w:rPr>
          <w:rFonts w:eastAsia="宋体"/>
        </w:rPr>
        <w:t>项目名称：南通市河长制信息化管理系统建设项目</w:t>
      </w:r>
    </w:p>
    <w:p w14:paraId="13879C4E">
      <w:pPr>
        <w:snapToGrid w:val="0"/>
        <w:spacing w:line="420" w:lineRule="exact"/>
        <w:ind w:firstLine="480" w:firstLineChars="200"/>
        <w:rPr>
          <w:rFonts w:eastAsia="宋体"/>
        </w:rPr>
      </w:pPr>
      <w:r>
        <w:rPr>
          <w:rFonts w:eastAsia="宋体"/>
        </w:rPr>
        <w:t>项目编号：WLTJ</w:t>
      </w:r>
      <w:r>
        <w:rPr>
          <w:rFonts w:hint="eastAsia" w:eastAsia="宋体"/>
        </w:rPr>
        <w:t>DL2024134</w:t>
      </w:r>
    </w:p>
    <w:p w14:paraId="54841D99">
      <w:pPr>
        <w:snapToGrid w:val="0"/>
        <w:spacing w:line="420" w:lineRule="exact"/>
        <w:ind w:firstLine="480" w:firstLineChars="200"/>
        <w:rPr>
          <w:rFonts w:eastAsia="宋体"/>
        </w:rPr>
      </w:pPr>
      <w:r>
        <w:rPr>
          <w:rFonts w:eastAsia="宋体"/>
        </w:rPr>
        <w:t>采购方式：竞争性磋商</w:t>
      </w:r>
    </w:p>
    <w:p w14:paraId="6B705870">
      <w:pPr>
        <w:snapToGrid w:val="0"/>
        <w:spacing w:line="420" w:lineRule="exact"/>
        <w:ind w:firstLine="480" w:firstLineChars="200"/>
        <w:rPr>
          <w:rFonts w:eastAsia="宋体"/>
        </w:rPr>
      </w:pPr>
      <w:r>
        <w:rPr>
          <w:rFonts w:eastAsia="宋体"/>
        </w:rPr>
        <w:t>预算金额：40万元</w:t>
      </w:r>
    </w:p>
    <w:p w14:paraId="4FFDA311">
      <w:pPr>
        <w:snapToGrid w:val="0"/>
        <w:spacing w:line="420" w:lineRule="exact"/>
        <w:ind w:firstLine="480" w:firstLineChars="200"/>
        <w:rPr>
          <w:rFonts w:eastAsia="宋体"/>
        </w:rPr>
      </w:pPr>
      <w:r>
        <w:rPr>
          <w:rFonts w:hint="eastAsia" w:eastAsia="宋体"/>
        </w:rPr>
        <w:t>最高限价：</w:t>
      </w:r>
      <w:r>
        <w:rPr>
          <w:rFonts w:eastAsia="宋体"/>
        </w:rPr>
        <w:t>40万元，报价超过</w:t>
      </w:r>
      <w:r>
        <w:rPr>
          <w:rFonts w:hint="eastAsia" w:eastAsia="宋体"/>
        </w:rPr>
        <w:t>最高限价</w:t>
      </w:r>
      <w:r>
        <w:rPr>
          <w:rFonts w:eastAsia="宋体"/>
        </w:rPr>
        <w:t>的为无效投标</w:t>
      </w:r>
      <w:r>
        <w:rPr>
          <w:rFonts w:hint="eastAsia" w:eastAsia="宋体"/>
        </w:rPr>
        <w:t>。</w:t>
      </w:r>
    </w:p>
    <w:p w14:paraId="5065B00C">
      <w:pPr>
        <w:snapToGrid w:val="0"/>
        <w:spacing w:line="420" w:lineRule="exact"/>
        <w:ind w:firstLine="480" w:firstLineChars="200"/>
        <w:rPr>
          <w:rFonts w:eastAsia="宋体"/>
        </w:rPr>
      </w:pPr>
      <w:r>
        <w:rPr>
          <w:rFonts w:eastAsia="宋体"/>
        </w:rPr>
        <w:t>采购需求：详见</w:t>
      </w:r>
      <w:r>
        <w:rPr>
          <w:rFonts w:hint="eastAsia" w:eastAsia="宋体"/>
        </w:rPr>
        <w:t>第三章</w:t>
      </w:r>
      <w:r>
        <w:rPr>
          <w:rFonts w:eastAsia="宋体"/>
        </w:rPr>
        <w:t>项目需求。</w:t>
      </w:r>
    </w:p>
    <w:p w14:paraId="681F9346">
      <w:pPr>
        <w:snapToGrid w:val="0"/>
        <w:spacing w:line="420" w:lineRule="exact"/>
        <w:ind w:firstLine="480" w:firstLineChars="200"/>
        <w:rPr>
          <w:rFonts w:eastAsia="宋体"/>
        </w:rPr>
      </w:pPr>
      <w:r>
        <w:rPr>
          <w:rFonts w:eastAsia="宋体"/>
        </w:rPr>
        <w:t>合同履行期限：详见</w:t>
      </w:r>
      <w:r>
        <w:rPr>
          <w:rFonts w:hint="eastAsia" w:eastAsia="宋体"/>
        </w:rPr>
        <w:t>第三章</w:t>
      </w:r>
      <w:r>
        <w:rPr>
          <w:rFonts w:eastAsia="宋体"/>
        </w:rPr>
        <w:t>项目需求。</w:t>
      </w:r>
    </w:p>
    <w:p w14:paraId="1E61D93F">
      <w:pPr>
        <w:snapToGrid w:val="0"/>
        <w:spacing w:line="420" w:lineRule="exact"/>
        <w:ind w:firstLine="480" w:firstLineChars="200"/>
        <w:rPr>
          <w:rFonts w:eastAsia="宋体"/>
        </w:rPr>
      </w:pPr>
      <w:r>
        <w:rPr>
          <w:rFonts w:eastAsia="宋体"/>
        </w:rPr>
        <w:t>本项目接受联合体</w:t>
      </w:r>
      <w:r>
        <w:rPr>
          <w:rFonts w:hint="eastAsia" w:eastAsia="宋体"/>
        </w:rPr>
        <w:t>磋商</w:t>
      </w:r>
      <w:r>
        <w:rPr>
          <w:rFonts w:eastAsia="宋体"/>
        </w:rPr>
        <w:t>。</w:t>
      </w:r>
    </w:p>
    <w:p w14:paraId="2AD8002F">
      <w:pPr>
        <w:snapToGrid w:val="0"/>
        <w:spacing w:line="420" w:lineRule="exact"/>
        <w:ind w:firstLine="480" w:firstLineChars="200"/>
        <w:rPr>
          <w:rFonts w:eastAsia="宋体"/>
        </w:rPr>
      </w:pPr>
      <w:bookmarkStart w:id="6" w:name="_Toc28359090"/>
      <w:bookmarkStart w:id="7" w:name="_Toc35393630"/>
      <w:bookmarkStart w:id="8" w:name="_Toc28359013"/>
      <w:bookmarkStart w:id="9" w:name="_Toc35393799"/>
      <w:r>
        <w:rPr>
          <w:rFonts w:eastAsia="宋体"/>
        </w:rPr>
        <w:t>二、申请人的资格要求：</w:t>
      </w:r>
      <w:bookmarkEnd w:id="6"/>
      <w:bookmarkEnd w:id="7"/>
      <w:bookmarkEnd w:id="8"/>
      <w:bookmarkEnd w:id="9"/>
    </w:p>
    <w:p w14:paraId="3B8BCAB0">
      <w:pPr>
        <w:spacing w:line="440" w:lineRule="exact"/>
        <w:ind w:firstLine="480" w:firstLineChars="200"/>
        <w:rPr>
          <w:rFonts w:eastAsia="宋体"/>
          <w:color w:val="000000"/>
        </w:rPr>
      </w:pPr>
      <w:r>
        <w:rPr>
          <w:rFonts w:eastAsia="宋体"/>
          <w:color w:val="000000"/>
        </w:rPr>
        <w:t>1.满足《中华人民共和国政府采购法》第二十二条规定；</w:t>
      </w:r>
    </w:p>
    <w:p w14:paraId="7CEBA3F1">
      <w:pPr>
        <w:spacing w:line="440" w:lineRule="exact"/>
        <w:ind w:firstLine="480" w:firstLineChars="200"/>
        <w:rPr>
          <w:rFonts w:eastAsia="宋体"/>
        </w:rPr>
      </w:pPr>
      <w:r>
        <w:rPr>
          <w:rFonts w:eastAsia="宋体"/>
        </w:rPr>
        <w:t>2.未被“信用中国”网站（www.creditchina.gov.cn）列入失信被执行人、重大税收违法案件当事人名单、政府采购严重失信行为记录名单；</w:t>
      </w:r>
    </w:p>
    <w:p w14:paraId="76FD44DE">
      <w:pPr>
        <w:snapToGrid w:val="0"/>
        <w:spacing w:line="480" w:lineRule="exact"/>
        <w:ind w:firstLine="480" w:firstLineChars="200"/>
        <w:contextualSpacing/>
        <w:rPr>
          <w:rFonts w:eastAsia="宋体"/>
        </w:rPr>
      </w:pPr>
      <w:r>
        <w:rPr>
          <w:rFonts w:eastAsia="宋体"/>
        </w:rPr>
        <w:t>3.本项目的特定资格要求：</w:t>
      </w:r>
      <w:r>
        <w:rPr>
          <w:rFonts w:hint="eastAsia" w:eastAsia="宋体"/>
          <w:b/>
          <w:bCs/>
          <w:lang w:eastAsia="zh-CN"/>
        </w:rPr>
        <w:t>供应商</w:t>
      </w:r>
      <w:r>
        <w:rPr>
          <w:rFonts w:eastAsia="宋体"/>
          <w:b/>
          <w:bCs/>
          <w:spacing w:val="-8"/>
        </w:rPr>
        <w:t>具有国家相关部门颁发的测绘乙级及以上资质证书，专业范围或业务范围</w:t>
      </w:r>
      <w:r>
        <w:rPr>
          <w:rFonts w:hint="eastAsia" w:eastAsia="宋体"/>
          <w:b/>
          <w:bCs/>
          <w:spacing w:val="-8"/>
          <w:lang w:eastAsia="zh-CN"/>
        </w:rPr>
        <w:t>同时包含</w:t>
      </w:r>
      <w:r>
        <w:rPr>
          <w:rFonts w:eastAsia="宋体"/>
          <w:b/>
          <w:bCs/>
          <w:spacing w:val="-8"/>
        </w:rPr>
        <w:t>地理信息系统工程、地图编制</w:t>
      </w:r>
      <w:r>
        <w:rPr>
          <w:rFonts w:hint="eastAsia" w:eastAsia="宋体"/>
          <w:b/>
          <w:bCs/>
          <w:spacing w:val="-8"/>
          <w:lang w:eastAsia="zh-CN"/>
        </w:rPr>
        <w:t>、水利工程测量</w:t>
      </w:r>
      <w:r>
        <w:rPr>
          <w:rFonts w:eastAsia="宋体"/>
          <w:b/>
          <w:bCs/>
          <w:spacing w:val="-8"/>
        </w:rPr>
        <w:t>方面（提供</w:t>
      </w:r>
      <w:r>
        <w:rPr>
          <w:rFonts w:hint="eastAsia" w:eastAsia="宋体"/>
          <w:b/>
          <w:bCs/>
          <w:spacing w:val="-8"/>
          <w:lang w:eastAsia="zh-CN"/>
        </w:rPr>
        <w:t>测绘资质证书</w:t>
      </w:r>
      <w:r>
        <w:rPr>
          <w:rFonts w:eastAsia="宋体"/>
          <w:b/>
          <w:bCs/>
          <w:spacing w:val="-8"/>
        </w:rPr>
        <w:t>复印件并加盖</w:t>
      </w:r>
      <w:r>
        <w:rPr>
          <w:rFonts w:hint="eastAsia" w:eastAsia="宋体"/>
          <w:b/>
          <w:bCs/>
          <w:spacing w:val="-8"/>
          <w:lang w:eastAsia="zh-CN"/>
        </w:rPr>
        <w:t>供应商</w:t>
      </w:r>
      <w:r>
        <w:rPr>
          <w:rFonts w:eastAsia="宋体"/>
          <w:b/>
          <w:bCs/>
          <w:spacing w:val="-8"/>
        </w:rPr>
        <w:t>公章）</w:t>
      </w:r>
      <w:r>
        <w:rPr>
          <w:rFonts w:hint="eastAsia" w:eastAsia="宋体"/>
          <w:b/>
          <w:bCs/>
        </w:rPr>
        <w:t>。</w:t>
      </w:r>
    </w:p>
    <w:p w14:paraId="3BBBA4B4">
      <w:pPr>
        <w:spacing w:line="480" w:lineRule="exact"/>
        <w:ind w:firstLine="480" w:firstLineChars="200"/>
        <w:rPr>
          <w:rFonts w:hint="default" w:ascii="Times New Roman" w:hAnsi="Times New Roman" w:eastAsia="宋体" w:cs="Times New Roman"/>
          <w:bCs/>
          <w:sz w:val="24"/>
          <w:szCs w:val="24"/>
        </w:rPr>
      </w:pPr>
      <w:bookmarkStart w:id="10" w:name="_Toc35393792"/>
      <w:bookmarkStart w:id="11" w:name="_Toc35393623"/>
      <w:r>
        <w:rPr>
          <w:rFonts w:hint="default" w:ascii="Times New Roman" w:hAnsi="Times New Roman" w:eastAsia="宋体" w:cs="Times New Roman"/>
          <w:bCs/>
          <w:sz w:val="24"/>
          <w:szCs w:val="24"/>
        </w:rPr>
        <w:t>若</w:t>
      </w:r>
      <w:r>
        <w:rPr>
          <w:rFonts w:hint="default" w:ascii="Times New Roman" w:hAnsi="Times New Roman" w:eastAsia="宋体" w:cs="Times New Roman"/>
          <w:bCs/>
          <w:sz w:val="24"/>
          <w:szCs w:val="24"/>
          <w:lang w:eastAsia="zh-CN"/>
        </w:rPr>
        <w:t>供应商</w:t>
      </w:r>
      <w:r>
        <w:rPr>
          <w:rFonts w:hint="default" w:ascii="Times New Roman" w:hAnsi="Times New Roman" w:eastAsia="宋体" w:cs="Times New Roman"/>
          <w:bCs/>
          <w:sz w:val="24"/>
          <w:szCs w:val="24"/>
        </w:rPr>
        <w:t>不同时具备上述</w:t>
      </w:r>
      <w:r>
        <w:rPr>
          <w:rFonts w:hint="default" w:ascii="Times New Roman" w:hAnsi="Times New Roman" w:eastAsia="宋体" w:cs="Times New Roman"/>
          <w:spacing w:val="-8"/>
        </w:rPr>
        <w:t>专业范围或业务范围</w:t>
      </w:r>
      <w:r>
        <w:rPr>
          <w:rFonts w:hint="default" w:ascii="Times New Roman" w:hAnsi="Times New Roman" w:eastAsia="宋体" w:cs="Times New Roman"/>
          <w:bCs/>
          <w:sz w:val="24"/>
          <w:szCs w:val="24"/>
        </w:rPr>
        <w:t>，则可以组成联合体</w:t>
      </w:r>
      <w:r>
        <w:rPr>
          <w:rFonts w:hint="default" w:ascii="Times New Roman" w:hAnsi="Times New Roman" w:eastAsia="宋体" w:cs="Times New Roman"/>
          <w:bCs/>
          <w:sz w:val="24"/>
          <w:szCs w:val="24"/>
          <w:lang w:eastAsia="zh-CN"/>
        </w:rPr>
        <w:t>参与磋商</w:t>
      </w:r>
      <w:r>
        <w:rPr>
          <w:rFonts w:hint="default" w:ascii="Times New Roman" w:hAnsi="Times New Roman" w:eastAsia="宋体" w:cs="Times New Roman"/>
          <w:bCs/>
          <w:sz w:val="24"/>
          <w:szCs w:val="24"/>
        </w:rPr>
        <w:t>。联合体要求如下：</w:t>
      </w:r>
    </w:p>
    <w:p w14:paraId="5B54B894">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3.1</w:t>
      </w:r>
      <w:r>
        <w:rPr>
          <w:rFonts w:hint="default" w:ascii="Times New Roman" w:hAnsi="Times New Roman" w:eastAsia="宋体" w:cs="Times New Roman"/>
          <w:bCs/>
          <w:sz w:val="24"/>
          <w:szCs w:val="24"/>
        </w:rPr>
        <w:t>联合体所有成员数量不得超过2家，</w:t>
      </w:r>
      <w:r>
        <w:rPr>
          <w:rFonts w:hint="default" w:ascii="Times New Roman" w:hAnsi="Times New Roman" w:eastAsia="宋体" w:cs="Times New Roman"/>
          <w:bCs/>
          <w:color w:val="000000"/>
          <w:sz w:val="24"/>
          <w:szCs w:val="24"/>
        </w:rPr>
        <w:t>联合体牵头单位必须具有</w:t>
      </w:r>
      <w:r>
        <w:rPr>
          <w:rFonts w:hint="default" w:ascii="Times New Roman" w:hAnsi="Times New Roman" w:eastAsia="宋体" w:cs="Times New Roman"/>
          <w:spacing w:val="-8"/>
          <w:lang w:eastAsia="zh-CN"/>
        </w:rPr>
        <w:t>测绘乙级</w:t>
      </w:r>
      <w:r>
        <w:rPr>
          <w:rFonts w:hint="default" w:ascii="Times New Roman" w:hAnsi="Times New Roman" w:eastAsia="宋体" w:cs="Times New Roman"/>
          <w:bCs/>
          <w:sz w:val="24"/>
          <w:szCs w:val="24"/>
        </w:rPr>
        <w:t>及以上资质</w:t>
      </w:r>
      <w:r>
        <w:rPr>
          <w:rFonts w:hint="default" w:ascii="Times New Roman" w:hAnsi="Times New Roman" w:eastAsia="宋体" w:cs="Times New Roman"/>
          <w:bCs/>
          <w:sz w:val="24"/>
          <w:szCs w:val="24"/>
          <w:lang w:eastAsia="zh-CN"/>
        </w:rPr>
        <w:t>且</w:t>
      </w:r>
      <w:r>
        <w:rPr>
          <w:rFonts w:hint="default" w:ascii="Times New Roman" w:hAnsi="Times New Roman" w:eastAsia="宋体" w:cs="Times New Roman"/>
          <w:spacing w:val="-8"/>
        </w:rPr>
        <w:t>专业范围或业务范围</w:t>
      </w:r>
      <w:r>
        <w:rPr>
          <w:rFonts w:hint="default" w:ascii="Times New Roman" w:hAnsi="Times New Roman" w:eastAsia="宋体" w:cs="Times New Roman"/>
          <w:spacing w:val="-8"/>
          <w:lang w:eastAsia="zh-CN"/>
        </w:rPr>
        <w:t>同时包含</w:t>
      </w:r>
      <w:r>
        <w:rPr>
          <w:rFonts w:hint="default" w:ascii="Times New Roman" w:hAnsi="Times New Roman" w:eastAsia="宋体" w:cs="Times New Roman"/>
          <w:spacing w:val="-8"/>
        </w:rPr>
        <w:t>地理信息系统工程、地图编制方面</w:t>
      </w:r>
      <w:r>
        <w:rPr>
          <w:rFonts w:hint="default" w:ascii="Times New Roman" w:hAnsi="Times New Roman" w:eastAsia="宋体" w:cs="Times New Roman"/>
          <w:bCs/>
          <w:sz w:val="24"/>
          <w:szCs w:val="24"/>
        </w:rPr>
        <w:t>，其他单位为联合体成员单位；</w:t>
      </w:r>
    </w:p>
    <w:p w14:paraId="5F4DFD89">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3.2</w:t>
      </w:r>
      <w:r>
        <w:rPr>
          <w:rFonts w:hint="default" w:ascii="Times New Roman" w:hAnsi="Times New Roman" w:eastAsia="宋体" w:cs="Times New Roman"/>
          <w:bCs/>
          <w:sz w:val="24"/>
          <w:szCs w:val="24"/>
        </w:rPr>
        <w:t>联合体各方应按</w:t>
      </w:r>
      <w:r>
        <w:rPr>
          <w:rFonts w:hint="default" w:ascii="Times New Roman" w:hAnsi="Times New Roman" w:eastAsia="宋体" w:cs="Times New Roman"/>
          <w:bCs/>
          <w:sz w:val="24"/>
          <w:szCs w:val="24"/>
          <w:lang w:eastAsia="zh-CN"/>
        </w:rPr>
        <w:t>采购文件</w:t>
      </w:r>
      <w:r>
        <w:rPr>
          <w:rFonts w:hint="default" w:ascii="Times New Roman" w:hAnsi="Times New Roman" w:eastAsia="宋体" w:cs="Times New Roman"/>
          <w:bCs/>
          <w:sz w:val="24"/>
          <w:szCs w:val="24"/>
        </w:rPr>
        <w:t>提供的格式签订联合体协议书，明确联合体牵头人和各方权利义务；</w:t>
      </w:r>
    </w:p>
    <w:p w14:paraId="5528F06E">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3.3</w:t>
      </w:r>
      <w:r>
        <w:rPr>
          <w:rFonts w:hint="default" w:ascii="Times New Roman" w:hAnsi="Times New Roman" w:eastAsia="宋体" w:cs="Times New Roman"/>
          <w:bCs/>
          <w:sz w:val="24"/>
          <w:szCs w:val="24"/>
        </w:rPr>
        <w:t xml:space="preserve">由同一专业的单位组成的联合体，按照资质等级较低的单位确定资质等级； </w:t>
      </w:r>
    </w:p>
    <w:p w14:paraId="589CB2F9">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3.4</w:t>
      </w:r>
      <w:r>
        <w:rPr>
          <w:rFonts w:hint="default" w:ascii="Times New Roman" w:hAnsi="Times New Roman" w:eastAsia="宋体" w:cs="Times New Roman"/>
          <w:bCs/>
          <w:sz w:val="24"/>
          <w:szCs w:val="24"/>
        </w:rPr>
        <w:t>联合体各方不得再以自己名义单独或参加其他联合体进行投标；</w:t>
      </w:r>
    </w:p>
    <w:p w14:paraId="5E7863BA">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3.5</w:t>
      </w:r>
      <w:r>
        <w:rPr>
          <w:rFonts w:hint="default" w:ascii="Times New Roman" w:hAnsi="Times New Roman" w:eastAsia="宋体" w:cs="Times New Roman"/>
          <w:bCs/>
          <w:sz w:val="24"/>
          <w:szCs w:val="24"/>
        </w:rPr>
        <w:t>联合体各方应分别按照本</w:t>
      </w:r>
      <w:r>
        <w:rPr>
          <w:rFonts w:hint="default" w:ascii="Times New Roman" w:hAnsi="Times New Roman" w:eastAsia="宋体" w:cs="Times New Roman"/>
          <w:bCs/>
          <w:sz w:val="24"/>
          <w:szCs w:val="24"/>
          <w:lang w:eastAsia="zh-CN"/>
        </w:rPr>
        <w:t>采购文件</w:t>
      </w:r>
      <w:r>
        <w:rPr>
          <w:rFonts w:hint="default" w:ascii="Times New Roman" w:hAnsi="Times New Roman" w:eastAsia="宋体" w:cs="Times New Roman"/>
          <w:bCs/>
          <w:sz w:val="24"/>
          <w:szCs w:val="24"/>
        </w:rPr>
        <w:t>的要求，填写</w:t>
      </w:r>
      <w:r>
        <w:rPr>
          <w:rFonts w:hint="default" w:ascii="Times New Roman" w:hAnsi="Times New Roman" w:eastAsia="宋体" w:cs="Times New Roman"/>
          <w:bCs/>
          <w:sz w:val="24"/>
          <w:szCs w:val="24"/>
          <w:lang w:eastAsia="zh-CN"/>
        </w:rPr>
        <w:t>磋商响应文件</w:t>
      </w:r>
      <w:r>
        <w:rPr>
          <w:rFonts w:hint="default" w:ascii="Times New Roman" w:hAnsi="Times New Roman" w:eastAsia="宋体" w:cs="Times New Roman"/>
          <w:bCs/>
          <w:sz w:val="24"/>
          <w:szCs w:val="24"/>
        </w:rPr>
        <w:t>中的相应表格，并由联合体牵头人负责对联合体各成员的资料进行统一汇总后一并提交给</w:t>
      </w:r>
      <w:r>
        <w:rPr>
          <w:rFonts w:hint="default" w:ascii="Times New Roman" w:hAnsi="Times New Roman" w:eastAsia="宋体" w:cs="Times New Roman"/>
          <w:bCs/>
          <w:sz w:val="24"/>
          <w:szCs w:val="24"/>
          <w:lang w:eastAsia="zh-CN"/>
        </w:rPr>
        <w:t>采购人</w:t>
      </w:r>
      <w:r>
        <w:rPr>
          <w:rFonts w:hint="default" w:ascii="Times New Roman" w:hAnsi="Times New Roman" w:eastAsia="宋体" w:cs="Times New Roman"/>
          <w:bCs/>
          <w:sz w:val="24"/>
          <w:szCs w:val="24"/>
        </w:rPr>
        <w:t>；联合体牵头人所提交的</w:t>
      </w:r>
      <w:r>
        <w:rPr>
          <w:rFonts w:hint="default" w:ascii="Times New Roman" w:hAnsi="Times New Roman" w:eastAsia="宋体" w:cs="Times New Roman"/>
          <w:bCs/>
          <w:sz w:val="24"/>
          <w:szCs w:val="24"/>
          <w:lang w:eastAsia="zh-CN"/>
        </w:rPr>
        <w:t>磋商响应文件</w:t>
      </w:r>
      <w:r>
        <w:rPr>
          <w:rFonts w:hint="default" w:ascii="Times New Roman" w:hAnsi="Times New Roman" w:eastAsia="宋体" w:cs="Times New Roman"/>
          <w:bCs/>
          <w:sz w:val="24"/>
          <w:szCs w:val="24"/>
        </w:rPr>
        <w:t>应认为已代表了联合体各成员的真实情况；</w:t>
      </w:r>
    </w:p>
    <w:p w14:paraId="05C1156E">
      <w:pPr>
        <w:snapToGrid w:val="0"/>
        <w:spacing w:line="420" w:lineRule="exact"/>
        <w:ind w:firstLine="480" w:firstLineChars="200"/>
        <w:rPr>
          <w:rFonts w:hint="default" w:ascii="Times New Roman" w:hAnsi="Times New Roman" w:eastAsia="宋体" w:cs="Times New Roman"/>
        </w:rPr>
      </w:pPr>
      <w:r>
        <w:rPr>
          <w:rFonts w:hint="default" w:ascii="Times New Roman" w:hAnsi="Times New Roman" w:eastAsia="宋体" w:cs="Times New Roman"/>
          <w:bCs/>
          <w:lang w:val="en-US" w:eastAsia="zh-CN"/>
        </w:rPr>
        <w:t>3.6</w:t>
      </w:r>
      <w:r>
        <w:rPr>
          <w:rFonts w:hint="default" w:ascii="Times New Roman" w:hAnsi="Times New Roman" w:eastAsia="宋体" w:cs="Times New Roman"/>
          <w:bCs/>
        </w:rPr>
        <w:t>尽管委任了联合体牵头人，但联合体各成员在</w:t>
      </w:r>
      <w:r>
        <w:rPr>
          <w:rFonts w:hint="default" w:ascii="Times New Roman" w:hAnsi="Times New Roman" w:eastAsia="宋体" w:cs="Times New Roman"/>
          <w:bCs/>
          <w:lang w:eastAsia="zh-CN"/>
        </w:rPr>
        <w:t>磋商</w:t>
      </w:r>
      <w:r>
        <w:rPr>
          <w:rFonts w:hint="default" w:ascii="Times New Roman" w:hAnsi="Times New Roman" w:eastAsia="宋体" w:cs="Times New Roman"/>
          <w:bCs/>
        </w:rPr>
        <w:t>、签约与履行合同过程中，仍负有连带的和各自的法律责任。</w:t>
      </w:r>
    </w:p>
    <w:p w14:paraId="6D47DD46">
      <w:pPr>
        <w:snapToGrid w:val="0"/>
        <w:spacing w:line="420" w:lineRule="exact"/>
        <w:ind w:firstLine="480" w:firstLineChars="200"/>
        <w:rPr>
          <w:rFonts w:eastAsia="宋体"/>
        </w:rPr>
      </w:pPr>
      <w:r>
        <w:rPr>
          <w:rFonts w:eastAsia="宋体"/>
        </w:rPr>
        <w:t>三、获取竞争性磋商文件</w:t>
      </w:r>
      <w:bookmarkEnd w:id="10"/>
      <w:bookmarkEnd w:id="11"/>
    </w:p>
    <w:p w14:paraId="7900C488">
      <w:pPr>
        <w:spacing w:line="440" w:lineRule="exact"/>
        <w:ind w:firstLine="480" w:firstLineChars="200"/>
        <w:rPr>
          <w:rFonts w:eastAsia="宋体"/>
        </w:rPr>
      </w:pPr>
      <w:r>
        <w:rPr>
          <w:rFonts w:eastAsia="宋体"/>
          <w:color w:val="000000"/>
        </w:rPr>
        <w:t>时间：</w:t>
      </w:r>
      <w:r>
        <w:rPr>
          <w:rFonts w:eastAsia="宋体"/>
        </w:rPr>
        <w:t>自本公告发布之日起至</w:t>
      </w:r>
      <w:r>
        <w:rPr>
          <w:rFonts w:eastAsia="宋体"/>
          <w:color w:val="000000"/>
        </w:rPr>
        <w:t>提交磋商响应文件截止时间止</w:t>
      </w:r>
    </w:p>
    <w:p w14:paraId="2D808A39">
      <w:pPr>
        <w:spacing w:line="440" w:lineRule="exact"/>
        <w:ind w:firstLine="480" w:firstLineChars="200"/>
        <w:rPr>
          <w:rFonts w:eastAsia="宋体"/>
          <w:u w:val="single"/>
        </w:rPr>
      </w:pPr>
      <w:r>
        <w:rPr>
          <w:rFonts w:eastAsia="宋体"/>
        </w:rPr>
        <w:t>地点：本公告附件</w:t>
      </w:r>
    </w:p>
    <w:p w14:paraId="37436714">
      <w:pPr>
        <w:snapToGrid w:val="0"/>
        <w:spacing w:line="420" w:lineRule="exact"/>
        <w:ind w:firstLine="480" w:firstLineChars="200"/>
        <w:rPr>
          <w:rFonts w:eastAsia="宋体"/>
        </w:rPr>
      </w:pPr>
      <w:bookmarkStart w:id="12" w:name="_Toc28359005"/>
      <w:bookmarkStart w:id="13" w:name="_Toc28359082"/>
      <w:bookmarkStart w:id="14" w:name="_Toc35393793"/>
      <w:bookmarkStart w:id="15" w:name="_Toc35393624"/>
      <w:r>
        <w:rPr>
          <w:rFonts w:eastAsia="宋体"/>
        </w:rPr>
        <w:t>四、提交磋商响应文件</w:t>
      </w:r>
      <w:bookmarkEnd w:id="12"/>
      <w:bookmarkEnd w:id="13"/>
      <w:r>
        <w:rPr>
          <w:rFonts w:eastAsia="宋体"/>
        </w:rPr>
        <w:t>截止时间、开标时间和地点</w:t>
      </w:r>
      <w:bookmarkEnd w:id="14"/>
      <w:bookmarkEnd w:id="15"/>
    </w:p>
    <w:p w14:paraId="2FD630D9">
      <w:pPr>
        <w:spacing w:line="440" w:lineRule="exact"/>
        <w:ind w:firstLine="480" w:firstLineChars="200"/>
        <w:rPr>
          <w:rFonts w:eastAsia="宋体"/>
          <w:color w:val="000000"/>
        </w:rPr>
      </w:pPr>
      <w:r>
        <w:rPr>
          <w:rFonts w:eastAsia="宋体"/>
          <w:color w:val="000000"/>
        </w:rPr>
        <w:t>时间：</w:t>
      </w:r>
      <w:r>
        <w:rPr>
          <w:rFonts w:eastAsia="宋体"/>
          <w:u w:val="single"/>
        </w:rPr>
        <w:t>202</w:t>
      </w:r>
      <w:r>
        <w:rPr>
          <w:rFonts w:hint="eastAsia" w:eastAsia="宋体"/>
          <w:u w:val="single"/>
        </w:rPr>
        <w:t>4</w:t>
      </w:r>
      <w:r>
        <w:rPr>
          <w:rFonts w:eastAsia="宋体"/>
          <w:u w:val="single"/>
        </w:rPr>
        <w:t>年</w:t>
      </w:r>
      <w:r>
        <w:rPr>
          <w:rFonts w:hint="eastAsia" w:eastAsia="宋体"/>
          <w:highlight w:val="none"/>
          <w:u w:val="single"/>
        </w:rPr>
        <w:t>11</w:t>
      </w:r>
      <w:r>
        <w:rPr>
          <w:rFonts w:eastAsia="宋体"/>
          <w:highlight w:val="none"/>
          <w:u w:val="single"/>
        </w:rPr>
        <w:t>月</w:t>
      </w:r>
      <w:r>
        <w:rPr>
          <w:rFonts w:hint="eastAsia" w:eastAsia="宋体"/>
          <w:highlight w:val="none"/>
          <w:u w:val="single"/>
          <w:lang w:val="en-US" w:eastAsia="zh-CN"/>
        </w:rPr>
        <w:t>15</w:t>
      </w:r>
      <w:r>
        <w:rPr>
          <w:rFonts w:eastAsia="宋体"/>
          <w:highlight w:val="none"/>
          <w:u w:val="single"/>
        </w:rPr>
        <w:t>日</w:t>
      </w:r>
      <w:r>
        <w:rPr>
          <w:rFonts w:hint="eastAsia" w:eastAsia="宋体"/>
          <w:highlight w:val="none"/>
          <w:u w:val="single"/>
          <w:lang w:val="en-US" w:eastAsia="zh-CN"/>
        </w:rPr>
        <w:t>9</w:t>
      </w:r>
      <w:r>
        <w:rPr>
          <w:rFonts w:eastAsia="宋体"/>
          <w:highlight w:val="none"/>
          <w:u w:val="single"/>
        </w:rPr>
        <w:t>时</w:t>
      </w:r>
      <w:r>
        <w:rPr>
          <w:rFonts w:hint="eastAsia" w:eastAsia="宋体"/>
          <w:highlight w:val="none"/>
          <w:u w:val="single"/>
          <w:lang w:val="en-US" w:eastAsia="zh-CN"/>
        </w:rPr>
        <w:t>30</w:t>
      </w:r>
      <w:r>
        <w:rPr>
          <w:rFonts w:eastAsia="宋体"/>
          <w:highlight w:val="none"/>
          <w:u w:val="single"/>
        </w:rPr>
        <w:t>分</w:t>
      </w:r>
      <w:r>
        <w:rPr>
          <w:rFonts w:eastAsia="宋体"/>
          <w:bCs/>
        </w:rPr>
        <w:t>（北京时间）</w:t>
      </w:r>
    </w:p>
    <w:p w14:paraId="471CD2B8">
      <w:pPr>
        <w:spacing w:line="440" w:lineRule="exact"/>
        <w:ind w:firstLine="480" w:firstLineChars="200"/>
        <w:rPr>
          <w:rFonts w:eastAsia="宋体"/>
        </w:rPr>
      </w:pPr>
      <w:r>
        <w:rPr>
          <w:rFonts w:eastAsia="宋体"/>
          <w:color w:val="000000"/>
        </w:rPr>
        <w:t>地点：</w:t>
      </w:r>
      <w:r>
        <w:rPr>
          <w:rFonts w:eastAsia="宋体"/>
        </w:rPr>
        <w:t>南通市世纪大道6号南通市行政中心综合楼503室，如有变动另行通知。</w:t>
      </w:r>
    </w:p>
    <w:p w14:paraId="37CCA72C">
      <w:pPr>
        <w:snapToGrid w:val="0"/>
        <w:spacing w:line="420" w:lineRule="exact"/>
        <w:ind w:firstLine="480" w:firstLineChars="200"/>
        <w:rPr>
          <w:rFonts w:eastAsia="宋体"/>
        </w:rPr>
      </w:pPr>
      <w:bookmarkStart w:id="16" w:name="_Toc28359084"/>
      <w:bookmarkStart w:id="17" w:name="_Toc35393625"/>
      <w:bookmarkStart w:id="18" w:name="_Toc28359007"/>
      <w:bookmarkStart w:id="19" w:name="_Toc35393794"/>
      <w:r>
        <w:rPr>
          <w:rFonts w:eastAsia="宋体"/>
        </w:rPr>
        <w:t>五、公告期限</w:t>
      </w:r>
      <w:bookmarkEnd w:id="16"/>
      <w:bookmarkEnd w:id="17"/>
      <w:bookmarkEnd w:id="18"/>
      <w:bookmarkEnd w:id="19"/>
    </w:p>
    <w:p w14:paraId="41362404">
      <w:pPr>
        <w:spacing w:line="440" w:lineRule="exact"/>
        <w:ind w:firstLine="480" w:firstLineChars="200"/>
        <w:rPr>
          <w:rFonts w:eastAsia="宋体"/>
          <w:color w:val="000000"/>
          <w:kern w:val="0"/>
        </w:rPr>
      </w:pPr>
      <w:r>
        <w:rPr>
          <w:rFonts w:eastAsia="宋体"/>
          <w:color w:val="000000"/>
          <w:kern w:val="0"/>
        </w:rPr>
        <w:t>自本公告发布之日起3个工作日。</w:t>
      </w:r>
    </w:p>
    <w:p w14:paraId="55108FE8">
      <w:pPr>
        <w:snapToGrid w:val="0"/>
        <w:spacing w:line="420" w:lineRule="exact"/>
        <w:ind w:firstLine="480" w:firstLineChars="200"/>
        <w:rPr>
          <w:rFonts w:eastAsia="宋体"/>
        </w:rPr>
      </w:pPr>
      <w:bookmarkStart w:id="20" w:name="_Toc35393626"/>
      <w:bookmarkStart w:id="21" w:name="_Toc35393795"/>
      <w:r>
        <w:rPr>
          <w:rFonts w:eastAsia="宋体"/>
        </w:rPr>
        <w:t>六、其他补充事宜</w:t>
      </w:r>
      <w:bookmarkEnd w:id="20"/>
      <w:bookmarkEnd w:id="21"/>
    </w:p>
    <w:p w14:paraId="776DAB0B">
      <w:pPr>
        <w:spacing w:line="440" w:lineRule="exact"/>
        <w:ind w:firstLine="480" w:firstLineChars="200"/>
        <w:rPr>
          <w:rFonts w:eastAsia="宋体"/>
          <w:color w:val="000000"/>
        </w:rPr>
      </w:pPr>
      <w:bookmarkStart w:id="22" w:name="_Toc35393627"/>
      <w:bookmarkStart w:id="23" w:name="_Toc28359008"/>
      <w:bookmarkStart w:id="24" w:name="_Toc35393796"/>
      <w:bookmarkStart w:id="25" w:name="_Toc28359085"/>
      <w:r>
        <w:rPr>
          <w:rFonts w:eastAsia="宋体"/>
          <w:color w:val="000000"/>
        </w:rPr>
        <w:t>供应商应依照规定提交各类声明函、承诺函，不再同时提供原件备查或提供有关部门出具的相关证明文件。但中标或成交供应商，应做好提交声明函、承诺</w:t>
      </w:r>
      <w:r>
        <w:rPr>
          <w:rFonts w:hint="eastAsia" w:eastAsia="宋体"/>
          <w:color w:val="000000"/>
        </w:rPr>
        <w:t>函等</w:t>
      </w:r>
      <w:r>
        <w:rPr>
          <w:rFonts w:eastAsia="宋体"/>
          <w:color w:val="000000"/>
        </w:rPr>
        <w:t>相应原件的核查准备；核查后发现虚假或违背承诺的，依照相关法律法规规定处理。</w:t>
      </w:r>
    </w:p>
    <w:p w14:paraId="4547B730">
      <w:pPr>
        <w:widowControl/>
        <w:spacing w:after="75" w:line="420" w:lineRule="exact"/>
        <w:ind w:firstLine="480" w:firstLineChars="200"/>
        <w:rPr>
          <w:rFonts w:eastAsia="宋体"/>
          <w:color w:val="000000"/>
        </w:rPr>
      </w:pPr>
      <w:r>
        <w:rPr>
          <w:rFonts w:eastAsia="宋体"/>
          <w:color w:val="000000"/>
        </w:rPr>
        <w:t>七、对本次招标提出询问，请按以下方式联系。</w:t>
      </w:r>
      <w:bookmarkEnd w:id="22"/>
      <w:bookmarkEnd w:id="23"/>
      <w:bookmarkEnd w:id="24"/>
      <w:bookmarkEnd w:id="25"/>
    </w:p>
    <w:p w14:paraId="6B4B7F61">
      <w:pPr>
        <w:spacing w:line="440" w:lineRule="exact"/>
        <w:ind w:firstLine="480" w:firstLineChars="200"/>
        <w:rPr>
          <w:rFonts w:eastAsia="宋体"/>
          <w:color w:val="000000"/>
        </w:rPr>
      </w:pPr>
      <w:r>
        <w:rPr>
          <w:rFonts w:eastAsia="宋体"/>
          <w:color w:val="000000"/>
        </w:rPr>
        <w:t>1.采购人信息</w:t>
      </w:r>
    </w:p>
    <w:p w14:paraId="4A62AF5D">
      <w:pPr>
        <w:spacing w:line="440" w:lineRule="exact"/>
        <w:ind w:firstLine="480" w:firstLineChars="200"/>
        <w:rPr>
          <w:rFonts w:eastAsia="宋体"/>
          <w:color w:val="000000"/>
        </w:rPr>
      </w:pPr>
      <w:r>
        <w:rPr>
          <w:rFonts w:eastAsia="宋体"/>
          <w:color w:val="000000"/>
        </w:rPr>
        <w:t>名称：南通市</w:t>
      </w:r>
      <w:r>
        <w:rPr>
          <w:rFonts w:hint="eastAsia" w:eastAsia="宋体"/>
          <w:color w:val="000000"/>
        </w:rPr>
        <w:t>水利局</w:t>
      </w:r>
    </w:p>
    <w:p w14:paraId="46EE57D4">
      <w:pPr>
        <w:spacing w:line="440" w:lineRule="exact"/>
        <w:ind w:firstLine="480" w:firstLineChars="200"/>
        <w:rPr>
          <w:rFonts w:eastAsia="宋体"/>
          <w:color w:val="000000"/>
        </w:rPr>
      </w:pPr>
      <w:r>
        <w:rPr>
          <w:rFonts w:eastAsia="宋体"/>
          <w:color w:val="000000"/>
        </w:rPr>
        <w:t>地址：南通市崇川区</w:t>
      </w:r>
      <w:r>
        <w:rPr>
          <w:rFonts w:hint="eastAsia" w:eastAsia="宋体"/>
          <w:color w:val="000000"/>
        </w:rPr>
        <w:t>世纪大道6号</w:t>
      </w:r>
    </w:p>
    <w:p w14:paraId="40AC4013">
      <w:pPr>
        <w:spacing w:line="440" w:lineRule="exact"/>
        <w:ind w:firstLine="480" w:firstLineChars="200"/>
        <w:rPr>
          <w:rFonts w:eastAsia="宋体"/>
          <w:color w:val="000000"/>
        </w:rPr>
      </w:pPr>
      <w:r>
        <w:rPr>
          <w:rFonts w:eastAsia="宋体"/>
          <w:color w:val="000000"/>
        </w:rPr>
        <w:t>联系方式：</w:t>
      </w:r>
      <w:bookmarkStart w:id="26" w:name="_Toc28359086"/>
      <w:bookmarkStart w:id="27" w:name="_Toc28359009"/>
      <w:r>
        <w:rPr>
          <w:rFonts w:hint="eastAsia" w:eastAsia="宋体"/>
          <w:color w:val="000000"/>
        </w:rPr>
        <w:t xml:space="preserve">杨工  </w:t>
      </w:r>
      <w:r>
        <w:rPr>
          <w:rFonts w:hint="eastAsia"/>
        </w:rPr>
        <w:t>0513-</w:t>
      </w:r>
      <w:r>
        <w:t>5900</w:t>
      </w:r>
      <w:r>
        <w:rPr>
          <w:rFonts w:hint="eastAsia"/>
        </w:rPr>
        <w:t>2363</w:t>
      </w:r>
    </w:p>
    <w:bookmarkEnd w:id="26"/>
    <w:bookmarkEnd w:id="27"/>
    <w:p w14:paraId="2B22ED7F">
      <w:pPr>
        <w:spacing w:line="440" w:lineRule="exact"/>
        <w:ind w:firstLine="480" w:firstLineChars="200"/>
        <w:rPr>
          <w:rFonts w:eastAsia="宋体"/>
          <w:color w:val="000000"/>
        </w:rPr>
      </w:pPr>
      <w:r>
        <w:rPr>
          <w:rFonts w:eastAsia="宋体"/>
          <w:color w:val="000000"/>
        </w:rPr>
        <w:t>2.采购代理机构信息</w:t>
      </w:r>
    </w:p>
    <w:p w14:paraId="75FDFDBF">
      <w:pPr>
        <w:spacing w:line="440" w:lineRule="exact"/>
        <w:ind w:firstLine="480" w:firstLineChars="200"/>
        <w:rPr>
          <w:rFonts w:eastAsia="宋体"/>
          <w:color w:val="000000"/>
        </w:rPr>
      </w:pPr>
      <w:r>
        <w:rPr>
          <w:rFonts w:eastAsia="宋体"/>
          <w:color w:val="000000"/>
        </w:rPr>
        <w:t>名称：江苏万隆同济房地产土地估价咨询有限公司</w:t>
      </w:r>
    </w:p>
    <w:p w14:paraId="2BFC75B5">
      <w:pPr>
        <w:spacing w:line="440" w:lineRule="exact"/>
        <w:ind w:firstLine="480" w:firstLineChars="200"/>
        <w:rPr>
          <w:rFonts w:eastAsia="宋体"/>
          <w:color w:val="000000"/>
        </w:rPr>
      </w:pPr>
      <w:r>
        <w:rPr>
          <w:rFonts w:eastAsia="宋体"/>
          <w:color w:val="000000"/>
        </w:rPr>
        <w:t>地　址：南通市崇川区中江国际广场4幢A座901</w:t>
      </w:r>
    </w:p>
    <w:p w14:paraId="0F3C7B32">
      <w:pPr>
        <w:spacing w:line="440" w:lineRule="exact"/>
        <w:ind w:firstLine="480" w:firstLineChars="200"/>
        <w:rPr>
          <w:rFonts w:eastAsia="宋体"/>
          <w:color w:val="000000"/>
        </w:rPr>
      </w:pPr>
      <w:r>
        <w:rPr>
          <w:rFonts w:eastAsia="宋体"/>
          <w:color w:val="000000"/>
        </w:rPr>
        <w:t>联系方式：</w:t>
      </w:r>
      <w:bookmarkStart w:id="28" w:name="_Toc28359087"/>
      <w:bookmarkStart w:id="29" w:name="_Toc28359010"/>
      <w:r>
        <w:rPr>
          <w:rFonts w:hint="eastAsia" w:eastAsia="宋体"/>
          <w:color w:val="000000"/>
        </w:rPr>
        <w:t xml:space="preserve">顾女士  </w:t>
      </w:r>
      <w:r>
        <w:rPr>
          <w:rFonts w:eastAsia="宋体"/>
          <w:color w:val="000000"/>
        </w:rPr>
        <w:t>0513-55886303</w:t>
      </w:r>
      <w:r>
        <w:rPr>
          <w:rFonts w:hint="eastAsia" w:eastAsia="宋体"/>
          <w:color w:val="000000"/>
        </w:rPr>
        <w:t>，</w:t>
      </w:r>
      <w:r>
        <w:rPr>
          <w:rFonts w:eastAsia="宋体"/>
          <w:color w:val="000000"/>
        </w:rPr>
        <w:t>15005182114</w:t>
      </w:r>
    </w:p>
    <w:bookmarkEnd w:id="28"/>
    <w:bookmarkEnd w:id="29"/>
    <w:p w14:paraId="1E4EE9DC">
      <w:pPr>
        <w:snapToGrid w:val="0"/>
        <w:spacing w:line="420" w:lineRule="exact"/>
        <w:ind w:firstLine="480" w:firstLineChars="200"/>
        <w:contextualSpacing/>
        <w:rPr>
          <w:rFonts w:eastAsia="宋体"/>
        </w:rPr>
      </w:pPr>
    </w:p>
    <w:p w14:paraId="546E5558">
      <w:pPr>
        <w:snapToGrid w:val="0"/>
        <w:spacing w:line="360" w:lineRule="auto"/>
      </w:pPr>
      <w:r>
        <w:rPr>
          <w:rFonts w:eastAsia="宋体"/>
        </w:rPr>
        <w:t>　</w:t>
      </w:r>
    </w:p>
    <w:p w14:paraId="27CCE231">
      <w:pPr>
        <w:keepNext w:val="0"/>
        <w:keepLines w:val="0"/>
        <w:pageBreakBefore w:val="0"/>
        <w:widowControl w:val="0"/>
        <w:tabs>
          <w:tab w:val="left" w:pos="1050"/>
          <w:tab w:val="left" w:pos="2375"/>
          <w:tab w:val="center" w:pos="4818"/>
          <w:tab w:val="right" w:leader="dot" w:pos="9402"/>
        </w:tabs>
        <w:kinsoku/>
        <w:wordWrap/>
        <w:overflowPunct/>
        <w:topLinePunct w:val="0"/>
        <w:autoSpaceDE/>
        <w:autoSpaceDN/>
        <w:bidi w:val="0"/>
        <w:adjustRightInd/>
        <w:snapToGrid/>
        <w:spacing w:before="164" w:beforeLines="50" w:line="360" w:lineRule="auto"/>
        <w:jc w:val="center"/>
        <w:textAlignment w:val="auto"/>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第二章  磋商供应商须知</w:t>
      </w:r>
      <w:bookmarkEnd w:id="1"/>
    </w:p>
    <w:p w14:paraId="7A0E47BE">
      <w:pPr>
        <w:snapToGrid w:val="0"/>
        <w:spacing w:line="460" w:lineRule="exact"/>
        <w:ind w:firstLine="482" w:firstLineChars="200"/>
        <w:outlineLvl w:val="1"/>
        <w:rPr>
          <w:rFonts w:eastAsia="宋体"/>
          <w:b/>
          <w:bCs/>
        </w:rPr>
      </w:pPr>
      <w:r>
        <w:rPr>
          <w:rFonts w:eastAsia="宋体"/>
          <w:b/>
          <w:bCs/>
        </w:rPr>
        <w:t>一、说明</w:t>
      </w:r>
    </w:p>
    <w:p w14:paraId="10E32AFA">
      <w:pPr>
        <w:snapToGrid w:val="0"/>
        <w:spacing w:line="460" w:lineRule="exact"/>
        <w:ind w:firstLine="480" w:firstLineChars="200"/>
        <w:rPr>
          <w:rFonts w:eastAsia="宋体"/>
        </w:rPr>
      </w:pPr>
      <w:r>
        <w:rPr>
          <w:rFonts w:eastAsia="宋体"/>
        </w:rPr>
        <w:t>1、本竞争性磋商文件仅适用于江苏万隆同济房地产土地估价咨询有限公司组织的竞争性磋商采购活动。</w:t>
      </w:r>
    </w:p>
    <w:p w14:paraId="75F48279">
      <w:pPr>
        <w:snapToGrid w:val="0"/>
        <w:spacing w:line="460" w:lineRule="exact"/>
        <w:ind w:firstLine="480" w:firstLineChars="200"/>
        <w:rPr>
          <w:rFonts w:eastAsia="宋体"/>
        </w:rPr>
      </w:pPr>
      <w:r>
        <w:rPr>
          <w:rFonts w:eastAsia="宋体"/>
        </w:rPr>
        <w:t>2、竞争性磋商活动及因本次磋商产生的合同受中国法律制约和保护。</w:t>
      </w:r>
    </w:p>
    <w:p w14:paraId="403E4B00">
      <w:pPr>
        <w:snapToGrid w:val="0"/>
        <w:spacing w:line="460" w:lineRule="exact"/>
        <w:ind w:firstLine="480" w:firstLineChars="200"/>
        <w:rPr>
          <w:rFonts w:eastAsia="宋体"/>
        </w:rPr>
      </w:pPr>
      <w:r>
        <w:rPr>
          <w:rFonts w:eastAsia="宋体"/>
        </w:rPr>
        <w:t>3、竞争性磋商文件的解释权属于本采购代理机构。</w:t>
      </w:r>
    </w:p>
    <w:p w14:paraId="30D02055">
      <w:pPr>
        <w:snapToGrid w:val="0"/>
        <w:spacing w:line="460" w:lineRule="exact"/>
        <w:ind w:firstLine="480" w:firstLineChars="200"/>
        <w:rPr>
          <w:rFonts w:eastAsia="宋体"/>
        </w:rPr>
      </w:pPr>
      <w:r>
        <w:rPr>
          <w:rFonts w:eastAsia="宋体"/>
        </w:rPr>
        <w:t>4、供应商下载磋商文件后，应仔细检查磋商文件的所有内容。如内容中有页码短缺、资格要求以及任何设置有不合理的条件对供应商实行差别待遇或者歧视待遇的，应以书面形式向代理机构提出询问或疑问，否则视同供应商理解并接受本磋商文件所有内容，并由此引起的损失自负。供应商不得在磋商结束后针对磋商文件所有内容提出质疑事项。</w:t>
      </w:r>
    </w:p>
    <w:p w14:paraId="3B7534D8">
      <w:pPr>
        <w:snapToGrid w:val="0"/>
        <w:spacing w:line="460" w:lineRule="exact"/>
        <w:ind w:firstLine="480" w:firstLineChars="200"/>
        <w:rPr>
          <w:rFonts w:eastAsia="宋体"/>
        </w:rPr>
      </w:pPr>
      <w:r>
        <w:rPr>
          <w:rFonts w:eastAsia="宋体"/>
        </w:rPr>
        <w:t>5、供应商应认真审阅本磋商文件中的所有事项、格式、条款和规范要求等，如果供应商没有按照磋商文件要求提交响应文件，或者响应文件没有对磋商文件做出实质性响应，将被拒绝参与项目的磋商。</w:t>
      </w:r>
    </w:p>
    <w:p w14:paraId="1A7925C0">
      <w:pPr>
        <w:snapToGrid w:val="0"/>
        <w:spacing w:line="460" w:lineRule="exact"/>
        <w:ind w:firstLine="482" w:firstLineChars="200"/>
        <w:rPr>
          <w:rFonts w:eastAsia="宋体"/>
        </w:rPr>
      </w:pPr>
      <w:r>
        <w:rPr>
          <w:rFonts w:eastAsia="宋体"/>
          <w:b/>
          <w:bCs/>
        </w:rPr>
        <w:t>二、项目</w:t>
      </w:r>
      <w:r>
        <w:rPr>
          <w:rFonts w:hint="eastAsia" w:eastAsia="宋体"/>
          <w:b/>
          <w:bCs/>
        </w:rPr>
        <w:t>涉及的</w:t>
      </w:r>
      <w:r>
        <w:rPr>
          <w:rFonts w:eastAsia="宋体"/>
          <w:b/>
          <w:bCs/>
        </w:rPr>
        <w:t>现场勘察</w:t>
      </w:r>
    </w:p>
    <w:p w14:paraId="34AA0414">
      <w:pPr>
        <w:snapToGrid w:val="0"/>
        <w:spacing w:line="460" w:lineRule="exact"/>
        <w:ind w:firstLine="480" w:firstLineChars="200"/>
        <w:outlineLvl w:val="1"/>
        <w:rPr>
          <w:rFonts w:eastAsia="宋体"/>
        </w:rPr>
      </w:pPr>
      <w:r>
        <w:rPr>
          <w:rFonts w:eastAsia="宋体"/>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796B381F">
      <w:pPr>
        <w:snapToGrid w:val="0"/>
        <w:spacing w:line="460" w:lineRule="exact"/>
        <w:ind w:firstLine="480" w:firstLineChars="200"/>
        <w:outlineLvl w:val="1"/>
        <w:rPr>
          <w:rFonts w:eastAsia="宋体"/>
        </w:rPr>
      </w:pPr>
      <w:r>
        <w:rPr>
          <w:rFonts w:eastAsia="宋体"/>
        </w:rPr>
        <w:t>2、采购单位向供应商提供的有关现场的资料和数据，是采购单位现有的并认为能使供应商可利用的资料。采购人对供应商由此而做出的推论、理解和结论概不负责。</w:t>
      </w:r>
    </w:p>
    <w:p w14:paraId="2154FAB2">
      <w:pPr>
        <w:snapToGrid w:val="0"/>
        <w:spacing w:line="460" w:lineRule="exact"/>
        <w:ind w:firstLine="480" w:firstLineChars="200"/>
        <w:outlineLvl w:val="1"/>
        <w:rPr>
          <w:rFonts w:eastAsia="宋体"/>
        </w:rPr>
      </w:pPr>
      <w:r>
        <w:rPr>
          <w:rFonts w:eastAsia="宋体"/>
        </w:rPr>
        <w:t>3、经采购人允许，供应商可为勘察目的进入采购人的项目现场，但供应商不得因此使采购人承担有关的责任和蒙受损失。供应商应承担勘察现场的责任和风险。</w:t>
      </w:r>
    </w:p>
    <w:p w14:paraId="542234D6">
      <w:pPr>
        <w:snapToGrid w:val="0"/>
        <w:spacing w:line="460" w:lineRule="exact"/>
        <w:ind w:firstLine="480" w:firstLineChars="200"/>
        <w:outlineLvl w:val="1"/>
        <w:rPr>
          <w:rFonts w:eastAsia="宋体"/>
        </w:rPr>
      </w:pPr>
      <w:r>
        <w:rPr>
          <w:rFonts w:eastAsia="宋体"/>
        </w:rPr>
        <w:t>4、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3F51DC18">
      <w:pPr>
        <w:snapToGrid w:val="0"/>
        <w:spacing w:line="460" w:lineRule="exact"/>
        <w:ind w:firstLine="482" w:firstLineChars="200"/>
        <w:outlineLvl w:val="1"/>
        <w:rPr>
          <w:rFonts w:eastAsia="宋体"/>
          <w:b/>
          <w:bCs/>
        </w:rPr>
      </w:pPr>
      <w:r>
        <w:rPr>
          <w:rFonts w:eastAsia="宋体"/>
          <w:b/>
          <w:bCs/>
        </w:rPr>
        <w:t>三、磋商文件的补充说明、澄清、修改、答疑</w:t>
      </w:r>
    </w:p>
    <w:p w14:paraId="42756334">
      <w:pPr>
        <w:snapToGrid w:val="0"/>
        <w:spacing w:line="460" w:lineRule="exact"/>
        <w:ind w:firstLine="480" w:firstLineChars="200"/>
        <w:rPr>
          <w:rFonts w:eastAsia="宋体"/>
        </w:rPr>
      </w:pPr>
      <w:r>
        <w:rPr>
          <w:rFonts w:eastAsia="宋体"/>
        </w:rPr>
        <w:t>1、采购代理机构有权对发出的磋商文件进行必要的补充说明、澄清或修改。</w:t>
      </w:r>
    </w:p>
    <w:p w14:paraId="2C6B9D9B">
      <w:pPr>
        <w:snapToGrid w:val="0"/>
        <w:spacing w:line="460" w:lineRule="exact"/>
        <w:ind w:firstLine="480" w:firstLineChars="200"/>
        <w:rPr>
          <w:rFonts w:eastAsia="宋体"/>
        </w:rPr>
      </w:pPr>
      <w:r>
        <w:rPr>
          <w:rFonts w:eastAsia="宋体"/>
        </w:rPr>
        <w:t>2、凡涉及磋商文件的补充说明、澄清或修改，均以采购代理机构在</w:t>
      </w:r>
      <w:r>
        <w:rPr>
          <w:rFonts w:eastAsia="宋体"/>
          <w:kern w:val="0"/>
        </w:rPr>
        <w:t>南通市水利局</w:t>
      </w:r>
      <w:r>
        <w:rPr>
          <w:rFonts w:hint="eastAsia" w:eastAsia="宋体"/>
          <w:kern w:val="0"/>
        </w:rPr>
        <w:t>网</w:t>
      </w:r>
      <w:r>
        <w:rPr>
          <w:rFonts w:eastAsia="宋体"/>
        </w:rPr>
        <w:t>发布的信息为准。</w:t>
      </w:r>
    </w:p>
    <w:p w14:paraId="378A0360">
      <w:pPr>
        <w:snapToGrid w:val="0"/>
        <w:spacing w:line="460" w:lineRule="exact"/>
        <w:ind w:firstLine="480" w:firstLineChars="200"/>
        <w:rPr>
          <w:rFonts w:eastAsia="宋体"/>
        </w:rPr>
      </w:pPr>
      <w:r>
        <w:rPr>
          <w:rFonts w:eastAsia="宋体"/>
        </w:rPr>
        <w:t>3、采购代理机构对磋商文件的补充说明、澄清或修改，将构成本项目磋商文件的一部分，对响应磋商的供应商具有约束力。</w:t>
      </w:r>
    </w:p>
    <w:p w14:paraId="44B038F7">
      <w:pPr>
        <w:snapToGrid w:val="0"/>
        <w:spacing w:line="460" w:lineRule="exact"/>
        <w:ind w:firstLine="480" w:firstLineChars="200"/>
        <w:rPr>
          <w:rFonts w:eastAsia="宋体"/>
        </w:rPr>
      </w:pPr>
      <w:r>
        <w:rPr>
          <w:rFonts w:eastAsia="宋体"/>
        </w:rPr>
        <w:t>4、补充说明、澄清或修改的内容可能影响到响应文件编制的，采购代理机构将在提交响应文件接收截止之日5日前，发布澄清或者修改公告，不足5日的</w:t>
      </w:r>
      <w:r>
        <w:rPr>
          <w:rFonts w:hint="eastAsia" w:eastAsia="宋体"/>
        </w:rPr>
        <w:t>，应</w:t>
      </w:r>
      <w:r>
        <w:rPr>
          <w:rFonts w:eastAsia="宋体"/>
        </w:rPr>
        <w:t>当顺延提交响应文件接收截止时间。</w:t>
      </w:r>
    </w:p>
    <w:p w14:paraId="37863353">
      <w:pPr>
        <w:snapToGrid w:val="0"/>
        <w:spacing w:line="460" w:lineRule="exact"/>
        <w:ind w:firstLine="480" w:firstLineChars="200"/>
        <w:rPr>
          <w:rFonts w:eastAsia="宋体"/>
        </w:rPr>
      </w:pPr>
      <w:r>
        <w:rPr>
          <w:rFonts w:eastAsia="宋体"/>
        </w:rPr>
        <w:t>5、除非采购代理机构以书面的形式对磋商文件作出澄清、修改、补充，供应商对涉及磋商文件的任何推论、理解和结论所造成的结果，均由供应商自负。</w:t>
      </w:r>
    </w:p>
    <w:p w14:paraId="326BB798">
      <w:pPr>
        <w:snapToGrid w:val="0"/>
        <w:spacing w:line="460" w:lineRule="exact"/>
        <w:ind w:firstLine="480" w:firstLineChars="200"/>
        <w:rPr>
          <w:rFonts w:eastAsia="宋体"/>
        </w:rPr>
      </w:pPr>
      <w:r>
        <w:rPr>
          <w:rFonts w:eastAsia="宋体"/>
        </w:rPr>
        <w:t>6、采购单位视情况组织答疑会。如有产生答疑且对磋商文件内容有修改，代理机构将按照本须知有关规定，以补充通知（公告）的方式发出。</w:t>
      </w:r>
    </w:p>
    <w:p w14:paraId="696EFDC9">
      <w:pPr>
        <w:snapToGrid w:val="0"/>
        <w:spacing w:line="460" w:lineRule="exact"/>
        <w:ind w:firstLine="482" w:firstLineChars="200"/>
        <w:outlineLvl w:val="1"/>
        <w:rPr>
          <w:rFonts w:eastAsia="宋体"/>
          <w:b/>
          <w:bCs/>
        </w:rPr>
      </w:pPr>
      <w:r>
        <w:rPr>
          <w:rFonts w:eastAsia="宋体"/>
          <w:b/>
          <w:bCs/>
        </w:rPr>
        <w:t>四、响应文件的编制及装订</w:t>
      </w:r>
    </w:p>
    <w:p w14:paraId="620AF15E">
      <w:pPr>
        <w:snapToGrid w:val="0"/>
        <w:spacing w:line="460" w:lineRule="exact"/>
        <w:ind w:firstLine="482" w:firstLineChars="200"/>
        <w:outlineLvl w:val="1"/>
        <w:rPr>
          <w:rFonts w:eastAsia="宋体"/>
          <w:b/>
          <w:bCs/>
        </w:rPr>
      </w:pPr>
      <w:r>
        <w:rPr>
          <w:rFonts w:eastAsia="宋体"/>
          <w:b/>
          <w:bCs/>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58DA8BD2">
      <w:pPr>
        <w:snapToGrid w:val="0"/>
        <w:spacing w:line="460" w:lineRule="exact"/>
        <w:ind w:firstLine="482" w:firstLineChars="200"/>
        <w:outlineLvl w:val="1"/>
        <w:rPr>
          <w:rFonts w:eastAsia="宋体"/>
          <w:b/>
          <w:bCs/>
        </w:rPr>
      </w:pPr>
      <w:r>
        <w:rPr>
          <w:rFonts w:eastAsia="宋体"/>
          <w:b/>
          <w:bCs/>
        </w:rPr>
        <w:t>五、响应文件的份数和签署</w:t>
      </w:r>
    </w:p>
    <w:p w14:paraId="5332EDFA">
      <w:pPr>
        <w:snapToGrid w:val="0"/>
        <w:spacing w:line="460" w:lineRule="exact"/>
        <w:ind w:firstLine="480" w:firstLineChars="200"/>
        <w:outlineLvl w:val="1"/>
        <w:rPr>
          <w:rFonts w:eastAsia="宋体"/>
          <w:b/>
          <w:bCs/>
        </w:rPr>
      </w:pPr>
      <w:r>
        <w:rPr>
          <w:rFonts w:eastAsia="宋体"/>
        </w:rPr>
        <w:t>1、响应文件由：</w:t>
      </w:r>
      <w:r>
        <w:rPr>
          <w:rFonts w:eastAsia="宋体"/>
        </w:rPr>
        <w:fldChar w:fldCharType="begin"/>
      </w:r>
      <w:r>
        <w:rPr>
          <w:rFonts w:eastAsia="宋体"/>
        </w:rPr>
        <w:instrText xml:space="preserve"> = 1 \* GB3 </w:instrText>
      </w:r>
      <w:r>
        <w:rPr>
          <w:rFonts w:eastAsia="宋体"/>
        </w:rPr>
        <w:fldChar w:fldCharType="separate"/>
      </w:r>
      <w:r>
        <w:rPr>
          <w:rFonts w:hint="eastAsia" w:ascii="宋体" w:hAnsi="宋体" w:eastAsia="宋体" w:cs="宋体"/>
        </w:rPr>
        <w:t>①</w:t>
      </w:r>
      <w:r>
        <w:rPr>
          <w:rFonts w:eastAsia="宋体"/>
        </w:rPr>
        <w:fldChar w:fldCharType="end"/>
      </w:r>
      <w:r>
        <w:rPr>
          <w:rFonts w:eastAsia="宋体"/>
        </w:rPr>
        <w:t>资格审查文件、</w:t>
      </w:r>
      <w:r>
        <w:rPr>
          <w:rFonts w:eastAsia="宋体"/>
        </w:rPr>
        <w:fldChar w:fldCharType="begin"/>
      </w:r>
      <w:r>
        <w:rPr>
          <w:rFonts w:eastAsia="宋体"/>
        </w:rPr>
        <w:instrText xml:space="preserve"> = 2 \* GB3 </w:instrText>
      </w:r>
      <w:r>
        <w:rPr>
          <w:rFonts w:eastAsia="宋体"/>
        </w:rPr>
        <w:fldChar w:fldCharType="separate"/>
      </w:r>
      <w:r>
        <w:rPr>
          <w:rFonts w:hint="eastAsia" w:ascii="宋体" w:hAnsi="宋体" w:eastAsia="宋体" w:cs="宋体"/>
        </w:rPr>
        <w:t>②</w:t>
      </w:r>
      <w:r>
        <w:rPr>
          <w:rFonts w:eastAsia="宋体"/>
        </w:rPr>
        <w:fldChar w:fldCharType="end"/>
      </w:r>
      <w:r>
        <w:rPr>
          <w:rFonts w:eastAsia="宋体"/>
        </w:rPr>
        <w:t>技术响应文件、</w:t>
      </w:r>
      <w:r>
        <w:rPr>
          <w:rFonts w:eastAsia="宋体"/>
        </w:rPr>
        <w:fldChar w:fldCharType="begin"/>
      </w:r>
      <w:r>
        <w:rPr>
          <w:rFonts w:eastAsia="宋体"/>
        </w:rPr>
        <w:instrText xml:space="preserve"> = 3 \* GB3 </w:instrText>
      </w:r>
      <w:r>
        <w:rPr>
          <w:rFonts w:eastAsia="宋体"/>
        </w:rPr>
        <w:fldChar w:fldCharType="separate"/>
      </w:r>
      <w:r>
        <w:rPr>
          <w:rFonts w:hint="eastAsia" w:ascii="宋体" w:hAnsi="宋体" w:eastAsia="宋体" w:cs="宋体"/>
        </w:rPr>
        <w:t>③</w:t>
      </w:r>
      <w:r>
        <w:rPr>
          <w:rFonts w:eastAsia="宋体"/>
        </w:rPr>
        <w:fldChar w:fldCharType="end"/>
      </w:r>
      <w:r>
        <w:rPr>
          <w:rFonts w:hint="eastAsia" w:eastAsia="宋体"/>
        </w:rPr>
        <w:t>报价响应文件</w:t>
      </w:r>
      <w:r>
        <w:rPr>
          <w:rFonts w:eastAsia="宋体"/>
        </w:rPr>
        <w:t>，共3部分组成。</w:t>
      </w:r>
      <w:r>
        <w:rPr>
          <w:rFonts w:eastAsia="宋体"/>
          <w:b/>
          <w:bCs/>
        </w:rPr>
        <w:t>资格审查文件、技术响应文件、</w:t>
      </w:r>
      <w:r>
        <w:rPr>
          <w:rFonts w:hint="eastAsia" w:eastAsia="宋体"/>
          <w:b/>
          <w:bCs/>
        </w:rPr>
        <w:t>报价响应文件</w:t>
      </w:r>
      <w:r>
        <w:rPr>
          <w:rFonts w:eastAsia="宋体"/>
          <w:b/>
          <w:bCs/>
        </w:rPr>
        <w:t>须分别密封。</w:t>
      </w:r>
    </w:p>
    <w:p w14:paraId="63E05EDE">
      <w:pPr>
        <w:snapToGrid w:val="0"/>
        <w:spacing w:line="460" w:lineRule="exact"/>
        <w:ind w:firstLine="480" w:firstLineChars="200"/>
        <w:outlineLvl w:val="1"/>
        <w:rPr>
          <w:rFonts w:eastAsia="宋体"/>
          <w:b/>
          <w:bCs/>
        </w:rPr>
      </w:pPr>
      <w:r>
        <w:rPr>
          <w:rFonts w:eastAsia="宋体"/>
        </w:rPr>
        <w:t>2、响应文件均为一式</w:t>
      </w:r>
      <w:r>
        <w:rPr>
          <w:rFonts w:hint="eastAsia" w:eastAsia="宋体"/>
        </w:rPr>
        <w:t>叁</w:t>
      </w:r>
      <w:r>
        <w:rPr>
          <w:rFonts w:eastAsia="宋体"/>
        </w:rPr>
        <w:t>份，其中“正本”壹份和“副本”贰份。</w:t>
      </w:r>
    </w:p>
    <w:p w14:paraId="31A45CB1">
      <w:pPr>
        <w:snapToGrid w:val="0"/>
        <w:spacing w:line="460" w:lineRule="exact"/>
        <w:ind w:firstLine="480" w:firstLineChars="200"/>
        <w:outlineLvl w:val="1"/>
        <w:rPr>
          <w:rFonts w:eastAsia="宋体"/>
          <w:b/>
          <w:bCs/>
        </w:rPr>
      </w:pPr>
      <w:r>
        <w:rPr>
          <w:rFonts w:eastAsia="宋体"/>
        </w:rPr>
        <w:t>3、在每份响应文件上要明确标注项目名称、对应的响应文件名称、供应商的全称、日期、“正本”、“副本”字样、“正本”和“副本”若有差异，概以“正本”为准。</w:t>
      </w:r>
    </w:p>
    <w:p w14:paraId="0984B750">
      <w:pPr>
        <w:snapToGrid w:val="0"/>
        <w:spacing w:line="460" w:lineRule="exact"/>
        <w:ind w:firstLine="480" w:firstLineChars="200"/>
        <w:outlineLvl w:val="1"/>
        <w:rPr>
          <w:rFonts w:eastAsia="宋体"/>
          <w:b/>
          <w:bCs/>
        </w:rPr>
      </w:pPr>
      <w:r>
        <w:rPr>
          <w:rFonts w:eastAsia="宋体"/>
        </w:rPr>
        <w:t>4、供应商可将响应文件正副本统一密封或分别密封，如正本和副本分别密封的，应在封袋上标明正、副本字样。</w:t>
      </w:r>
    </w:p>
    <w:p w14:paraId="437936B4">
      <w:pPr>
        <w:snapToGrid w:val="0"/>
        <w:spacing w:line="460" w:lineRule="exact"/>
        <w:ind w:firstLine="480" w:firstLineChars="200"/>
        <w:outlineLvl w:val="1"/>
        <w:rPr>
          <w:rFonts w:eastAsia="宋体"/>
          <w:b/>
          <w:bCs/>
        </w:rPr>
      </w:pPr>
      <w:r>
        <w:rPr>
          <w:rFonts w:eastAsia="宋体"/>
        </w:rPr>
        <w:t>5、响应文件中的所有“正本”，其正文内容须按磋商文件要求由供应商法定代表人或被授权人签字（或盖章）并加盖单位公章。“副本”可复印，但须加盖单位公章。</w:t>
      </w:r>
    </w:p>
    <w:p w14:paraId="1C346B8A">
      <w:pPr>
        <w:snapToGrid w:val="0"/>
        <w:spacing w:line="460" w:lineRule="exact"/>
        <w:ind w:firstLine="472" w:firstLineChars="196"/>
        <w:rPr>
          <w:rFonts w:eastAsia="宋体"/>
          <w:b/>
          <w:bCs/>
        </w:rPr>
      </w:pPr>
      <w:r>
        <w:rPr>
          <w:rFonts w:eastAsia="宋体"/>
          <w:b/>
          <w:bCs/>
        </w:rPr>
        <w:t>六、响应文件的密封及标记</w:t>
      </w:r>
    </w:p>
    <w:p w14:paraId="220E3FF0">
      <w:pPr>
        <w:snapToGrid w:val="0"/>
        <w:spacing w:line="460" w:lineRule="exact"/>
        <w:ind w:firstLine="480" w:firstLineChars="200"/>
        <w:rPr>
          <w:rFonts w:eastAsia="宋体"/>
          <w:u w:val="single"/>
        </w:rPr>
      </w:pPr>
      <w:r>
        <w:rPr>
          <w:rFonts w:eastAsia="宋体"/>
        </w:rPr>
        <w:t>1、供应商须将本项目响应文件：</w:t>
      </w:r>
      <w:r>
        <w:rPr>
          <w:rFonts w:eastAsia="宋体"/>
          <w:b/>
          <w:bCs/>
        </w:rPr>
        <w:t>资格审查文件、技术响应文件、</w:t>
      </w:r>
      <w:r>
        <w:rPr>
          <w:rFonts w:hint="eastAsia" w:eastAsia="宋体"/>
          <w:b/>
          <w:bCs/>
        </w:rPr>
        <w:t>报价响应文件</w:t>
      </w:r>
      <w:r>
        <w:rPr>
          <w:rFonts w:eastAsia="宋体"/>
          <w:b/>
          <w:bCs/>
        </w:rPr>
        <w:t>单独密封</w:t>
      </w:r>
      <w:r>
        <w:rPr>
          <w:rFonts w:eastAsia="宋体"/>
        </w:rPr>
        <w:t>。</w:t>
      </w:r>
    </w:p>
    <w:p w14:paraId="17B79383">
      <w:pPr>
        <w:snapToGrid w:val="0"/>
        <w:spacing w:line="460" w:lineRule="exact"/>
        <w:ind w:firstLine="470" w:firstLineChars="196"/>
        <w:rPr>
          <w:rFonts w:eastAsia="宋体"/>
        </w:rPr>
      </w:pPr>
      <w:r>
        <w:rPr>
          <w:rFonts w:eastAsia="宋体"/>
        </w:rPr>
        <w:t>2、密封后，应在每一密封的响应文件上明确标注磋商项目名称、</w:t>
      </w:r>
      <w:r>
        <w:rPr>
          <w:rFonts w:hint="eastAsia" w:eastAsia="宋体"/>
        </w:rPr>
        <w:t>项目编号、</w:t>
      </w:r>
      <w:r>
        <w:rPr>
          <w:rFonts w:eastAsia="宋体"/>
        </w:rPr>
        <w:t>响应文件各自对应的名称、供应商的全称及日期。</w:t>
      </w:r>
    </w:p>
    <w:p w14:paraId="78A2BA57">
      <w:pPr>
        <w:snapToGrid w:val="0"/>
        <w:spacing w:line="460" w:lineRule="exact"/>
        <w:ind w:firstLine="480" w:firstLineChars="200"/>
        <w:rPr>
          <w:rFonts w:eastAsia="宋体"/>
        </w:rPr>
      </w:pPr>
      <w:r>
        <w:rPr>
          <w:rFonts w:eastAsia="宋体"/>
        </w:rPr>
        <w:t>3、在封袋上加盖投标供应商公章。</w:t>
      </w:r>
    </w:p>
    <w:p w14:paraId="15D38CD3">
      <w:pPr>
        <w:snapToGrid w:val="0"/>
        <w:spacing w:line="460" w:lineRule="exact"/>
        <w:ind w:firstLine="482" w:firstLineChars="200"/>
        <w:rPr>
          <w:rFonts w:eastAsia="宋体"/>
        </w:rPr>
      </w:pPr>
      <w:r>
        <w:rPr>
          <w:rFonts w:eastAsia="宋体"/>
          <w:b/>
          <w:bCs/>
        </w:rPr>
        <w:t>【特别提醒】</w:t>
      </w:r>
      <w:r>
        <w:rPr>
          <w:rFonts w:eastAsia="宋体"/>
        </w:rPr>
        <w:t>响应文件中的</w:t>
      </w:r>
      <w:r>
        <w:rPr>
          <w:rFonts w:eastAsia="宋体"/>
          <w:b/>
          <w:bCs/>
        </w:rPr>
        <w:t>资格审查文件、技术响应文件</w:t>
      </w:r>
      <w:r>
        <w:rPr>
          <w:rFonts w:eastAsia="宋体"/>
        </w:rPr>
        <w:t>的“正本”或“副本”中，均不得含有</w:t>
      </w:r>
      <w:r>
        <w:rPr>
          <w:rFonts w:hint="eastAsia" w:eastAsia="宋体"/>
        </w:rPr>
        <w:t>报价响应文件</w:t>
      </w:r>
      <w:r>
        <w:rPr>
          <w:rFonts w:eastAsia="宋体"/>
        </w:rPr>
        <w:t>中报价表（报价单）内的任何项目价格，否则作无效响应处理。</w:t>
      </w:r>
    </w:p>
    <w:p w14:paraId="6FCE3FCF">
      <w:pPr>
        <w:snapToGrid w:val="0"/>
        <w:spacing w:line="460" w:lineRule="exact"/>
        <w:ind w:firstLine="482" w:firstLineChars="200"/>
        <w:outlineLvl w:val="1"/>
        <w:rPr>
          <w:rFonts w:eastAsia="宋体"/>
          <w:b/>
          <w:bCs/>
        </w:rPr>
      </w:pPr>
      <w:r>
        <w:rPr>
          <w:rFonts w:eastAsia="宋体"/>
          <w:b/>
          <w:bCs/>
        </w:rPr>
        <w:t>七、磋商报价</w:t>
      </w:r>
    </w:p>
    <w:p w14:paraId="5672DB23">
      <w:pPr>
        <w:snapToGrid w:val="0"/>
        <w:spacing w:line="460" w:lineRule="exact"/>
        <w:ind w:firstLine="494" w:firstLineChars="206"/>
        <w:rPr>
          <w:rFonts w:eastAsia="宋体"/>
        </w:rPr>
      </w:pPr>
      <w:r>
        <w:rPr>
          <w:rFonts w:eastAsia="宋体"/>
        </w:rPr>
        <w:t>1、本项目不接受任何有选择的报价。</w:t>
      </w:r>
    </w:p>
    <w:p w14:paraId="0F4DC022">
      <w:pPr>
        <w:snapToGrid w:val="0"/>
        <w:spacing w:line="460" w:lineRule="exact"/>
        <w:ind w:firstLine="494" w:firstLineChars="206"/>
        <w:rPr>
          <w:rFonts w:eastAsia="宋体"/>
        </w:rPr>
      </w:pPr>
      <w:r>
        <w:rPr>
          <w:rFonts w:eastAsia="宋体"/>
        </w:rPr>
        <w:t>2、磋商报价均以人民币为报价的货币单位。</w:t>
      </w:r>
    </w:p>
    <w:p w14:paraId="4C44CF0B">
      <w:pPr>
        <w:spacing w:line="480" w:lineRule="exact"/>
        <w:ind w:firstLine="484" w:firstLineChars="202"/>
        <w:rPr>
          <w:rFonts w:eastAsia="宋体"/>
        </w:rPr>
      </w:pPr>
      <w:r>
        <w:rPr>
          <w:rFonts w:eastAsia="宋体"/>
        </w:rPr>
        <w:t>3、</w:t>
      </w:r>
      <w:r>
        <w:rPr>
          <w:rFonts w:eastAsia="宋体"/>
          <w:color w:val="000000"/>
        </w:rPr>
        <w:t>磋商报价表必须加盖单位公章且必须经法定代表人或被授权人签字或盖章。报价表中的大写金额与小写金额、总价金额与按单价汇总金额，若有差异</w:t>
      </w:r>
      <w:r>
        <w:rPr>
          <w:rFonts w:eastAsia="宋体"/>
        </w:rPr>
        <w:t>，按照下列规定修正：</w:t>
      </w:r>
    </w:p>
    <w:p w14:paraId="27516BF2">
      <w:pPr>
        <w:spacing w:line="480" w:lineRule="exact"/>
        <w:ind w:firstLine="484" w:firstLineChars="202"/>
        <w:rPr>
          <w:rFonts w:eastAsia="宋体"/>
        </w:rPr>
      </w:pPr>
      <w:r>
        <w:rPr>
          <w:rFonts w:eastAsia="宋体"/>
        </w:rPr>
        <w:t>（1）磋商响应文件中报价表（开标一览表）内容与磋商响应文件技术响应中内容明细不一致的，以报价表（开标一览表）为准；</w:t>
      </w:r>
    </w:p>
    <w:p w14:paraId="4DC78817">
      <w:pPr>
        <w:spacing w:line="480" w:lineRule="exact"/>
        <w:ind w:firstLine="484" w:firstLineChars="202"/>
        <w:rPr>
          <w:rFonts w:eastAsia="宋体"/>
        </w:rPr>
      </w:pPr>
      <w:r>
        <w:rPr>
          <w:rFonts w:eastAsia="宋体"/>
        </w:rPr>
        <w:t>（2）磋商响应文件中涉及大写金额和小写金额不一致的，以大写金额为准；</w:t>
      </w:r>
    </w:p>
    <w:p w14:paraId="69A5EA18">
      <w:pPr>
        <w:spacing w:line="480" w:lineRule="exact"/>
        <w:ind w:firstLine="484" w:firstLineChars="202"/>
        <w:rPr>
          <w:rFonts w:eastAsia="宋体"/>
        </w:rPr>
      </w:pPr>
      <w:r>
        <w:rPr>
          <w:rFonts w:eastAsia="宋体"/>
        </w:rPr>
        <w:t>（3）单价金额小数点或者百分比有明显错位的，以报价表（开标一览表）的总价为准，并修改单价；</w:t>
      </w:r>
    </w:p>
    <w:p w14:paraId="4BDAEA6E">
      <w:pPr>
        <w:spacing w:line="480" w:lineRule="exact"/>
        <w:ind w:firstLine="484" w:firstLineChars="202"/>
        <w:rPr>
          <w:rFonts w:eastAsia="宋体"/>
        </w:rPr>
      </w:pPr>
      <w:r>
        <w:rPr>
          <w:rFonts w:eastAsia="宋体"/>
        </w:rPr>
        <w:t>（4）总价金额与按单价汇总金额不一致的，以单价金额计算结果为准。</w:t>
      </w:r>
    </w:p>
    <w:p w14:paraId="4D288C42">
      <w:pPr>
        <w:snapToGrid w:val="0"/>
        <w:spacing w:line="460" w:lineRule="exact"/>
        <w:ind w:firstLine="494" w:firstLineChars="206"/>
        <w:rPr>
          <w:rFonts w:eastAsia="宋体"/>
        </w:rPr>
      </w:pPr>
      <w:r>
        <w:rPr>
          <w:rFonts w:eastAsia="宋体"/>
        </w:rPr>
        <w:t>同时出现两种以上不一致的，按照前款规定的顺序修正。修正后的报价应当由磋商供应商的法定代表人或分支机构负责人或其被授权人签字确认后产生约束力，磋商供应商不确认的，其磋商无效</w:t>
      </w:r>
      <w:r>
        <w:rPr>
          <w:rFonts w:eastAsia="宋体"/>
          <w:color w:val="000000"/>
        </w:rPr>
        <w:t>。</w:t>
      </w:r>
    </w:p>
    <w:p w14:paraId="41AA9D81">
      <w:pPr>
        <w:snapToGrid w:val="0"/>
        <w:spacing w:line="460" w:lineRule="exact"/>
        <w:ind w:firstLine="494" w:firstLineChars="206"/>
        <w:rPr>
          <w:rFonts w:eastAsia="宋体"/>
        </w:rPr>
      </w:pPr>
      <w:r>
        <w:rPr>
          <w:rFonts w:eastAsia="宋体"/>
        </w:rPr>
        <w:t>4、磋商</w:t>
      </w:r>
      <w:bookmarkStart w:id="30" w:name="_Hlk46361151"/>
      <w:r>
        <w:rPr>
          <w:rFonts w:hint="eastAsia" w:eastAsia="宋体"/>
        </w:rPr>
        <w:t>响应报价总价</w:t>
      </w:r>
      <w:r>
        <w:rPr>
          <w:rFonts w:eastAsia="宋体"/>
        </w:rPr>
        <w:t>必须</w:t>
      </w:r>
      <w:bookmarkEnd w:id="30"/>
      <w:r>
        <w:rPr>
          <w:rFonts w:eastAsia="宋体"/>
        </w:rPr>
        <w:t>包含但不限于完成本项目所需的人工、材料、设备、技术、交通、税费、政策性文件规定及合同包含的所有风险、责任等各项应有费用等一切费用。</w:t>
      </w:r>
    </w:p>
    <w:p w14:paraId="496933E1">
      <w:pPr>
        <w:snapToGrid w:val="0"/>
        <w:spacing w:line="460" w:lineRule="exact"/>
        <w:ind w:firstLine="494" w:firstLineChars="206"/>
        <w:rPr>
          <w:rFonts w:eastAsia="宋体"/>
        </w:rPr>
      </w:pPr>
      <w:r>
        <w:rPr>
          <w:rFonts w:eastAsia="宋体"/>
        </w:rPr>
        <w:t>5、成交供应商的成交价在合同实施期间不因市场变化因素而变动。</w:t>
      </w:r>
    </w:p>
    <w:p w14:paraId="63F82CA8">
      <w:pPr>
        <w:snapToGrid w:val="0"/>
        <w:spacing w:line="460" w:lineRule="exact"/>
        <w:ind w:firstLine="480" w:firstLineChars="200"/>
        <w:rPr>
          <w:rFonts w:eastAsia="宋体"/>
          <w:b/>
          <w:bCs/>
        </w:rPr>
      </w:pPr>
      <w:r>
        <w:rPr>
          <w:rFonts w:eastAsia="宋体"/>
        </w:rPr>
        <w:t>6、最低的磋商报价是成交的重要条件，但不是成交的唯一条件。</w:t>
      </w:r>
    </w:p>
    <w:p w14:paraId="42D614C7">
      <w:pPr>
        <w:snapToGrid w:val="0"/>
        <w:spacing w:line="460" w:lineRule="exact"/>
        <w:ind w:firstLine="494" w:firstLineChars="206"/>
        <w:rPr>
          <w:rFonts w:eastAsia="宋体"/>
        </w:rPr>
      </w:pPr>
      <w:r>
        <w:rPr>
          <w:rFonts w:eastAsia="宋体"/>
        </w:rPr>
        <w:t>7、供应商应详细阅读磋商文件的全部内容，根据采购项目需求，准确制定相关设计制作方案等，必须对本采购项目全部进行报价，如有漏项，视同对本项目的优惠。不按磋商文件的要求提供响应文件，导致报价无效，按无效标处理。</w:t>
      </w:r>
    </w:p>
    <w:p w14:paraId="29E7F7C7">
      <w:pPr>
        <w:snapToGrid w:val="0"/>
        <w:spacing w:line="460" w:lineRule="exact"/>
        <w:ind w:firstLine="482" w:firstLineChars="200"/>
        <w:outlineLvl w:val="1"/>
        <w:rPr>
          <w:rFonts w:eastAsia="宋体"/>
          <w:b/>
          <w:bCs/>
        </w:rPr>
      </w:pPr>
      <w:r>
        <w:rPr>
          <w:rFonts w:eastAsia="宋体"/>
          <w:b/>
          <w:bCs/>
        </w:rPr>
        <w:t>八、联合体</w:t>
      </w:r>
    </w:p>
    <w:p w14:paraId="43194CD5">
      <w:pPr>
        <w:snapToGrid w:val="0"/>
        <w:spacing w:line="460" w:lineRule="exact"/>
        <w:ind w:firstLine="494" w:firstLineChars="206"/>
        <w:outlineLvl w:val="1"/>
        <w:rPr>
          <w:rFonts w:eastAsia="宋体"/>
        </w:rPr>
      </w:pPr>
      <w:r>
        <w:rPr>
          <w:rFonts w:hint="eastAsia" w:eastAsia="宋体"/>
          <w:lang w:eastAsia="zh-CN"/>
        </w:rPr>
        <w:t>本项目</w:t>
      </w:r>
      <w:r>
        <w:rPr>
          <w:rFonts w:eastAsia="宋体"/>
        </w:rPr>
        <w:t>接受联合体参与本项目的竞争性磋商。</w:t>
      </w:r>
    </w:p>
    <w:p w14:paraId="3CA5626B">
      <w:pPr>
        <w:snapToGrid w:val="0"/>
        <w:spacing w:line="460" w:lineRule="exact"/>
        <w:ind w:firstLine="482" w:firstLineChars="200"/>
        <w:outlineLvl w:val="1"/>
        <w:rPr>
          <w:rFonts w:eastAsia="宋体"/>
        </w:rPr>
      </w:pPr>
      <w:r>
        <w:rPr>
          <w:rFonts w:eastAsia="宋体"/>
          <w:b/>
          <w:bCs/>
        </w:rPr>
        <w:t>九、响应文件及</w:t>
      </w:r>
      <w:r>
        <w:rPr>
          <w:rFonts w:eastAsia="宋体"/>
          <w:b/>
          <w:bCs/>
          <w:kern w:val="0"/>
        </w:rPr>
        <w:t>磋商</w:t>
      </w:r>
      <w:r>
        <w:rPr>
          <w:rFonts w:eastAsia="宋体"/>
          <w:b/>
          <w:bCs/>
        </w:rPr>
        <w:t>费用</w:t>
      </w:r>
    </w:p>
    <w:p w14:paraId="2FBD70F3">
      <w:pPr>
        <w:snapToGrid w:val="0"/>
        <w:spacing w:line="460" w:lineRule="exact"/>
        <w:ind w:firstLine="460" w:firstLineChars="192"/>
        <w:rPr>
          <w:rFonts w:eastAsia="宋体"/>
        </w:rPr>
      </w:pPr>
      <w:r>
        <w:rPr>
          <w:rFonts w:eastAsia="宋体"/>
        </w:rPr>
        <w:t>1、磋商程序顺利进行后，除供应商的原件可退回外，其余所有的响应文件都将作为档案保存，不论成交与否，代理机构均不退回（未拆封的除外）。</w:t>
      </w:r>
    </w:p>
    <w:p w14:paraId="11A2D819">
      <w:pPr>
        <w:snapToGrid w:val="0"/>
        <w:spacing w:line="460" w:lineRule="exact"/>
        <w:ind w:firstLine="460" w:firstLineChars="192"/>
        <w:rPr>
          <w:rFonts w:eastAsia="宋体"/>
        </w:rPr>
      </w:pPr>
      <w:r>
        <w:rPr>
          <w:rFonts w:hint="eastAsia" w:eastAsia="宋体"/>
        </w:rPr>
        <w:t>2</w:t>
      </w:r>
      <w:r>
        <w:rPr>
          <w:rFonts w:eastAsia="宋体"/>
        </w:rPr>
        <w:t>、供应商承担参与磋商可能发生的全部费用，采购人在任何情况下均无义务和责任承担这些费用。无论磋商结果如何，采购人对上述费用不负任何责任。</w:t>
      </w:r>
    </w:p>
    <w:p w14:paraId="2F48E4F1">
      <w:pPr>
        <w:snapToGrid w:val="0"/>
        <w:spacing w:line="460" w:lineRule="exact"/>
        <w:ind w:firstLine="463" w:firstLineChars="192"/>
        <w:rPr>
          <w:rFonts w:eastAsia="宋体"/>
          <w:b/>
        </w:rPr>
      </w:pPr>
      <w:r>
        <w:rPr>
          <w:rFonts w:hint="eastAsia" w:eastAsia="宋体"/>
          <w:b/>
        </w:rPr>
        <w:t>3</w:t>
      </w:r>
      <w:r>
        <w:rPr>
          <w:rFonts w:eastAsia="宋体"/>
          <w:b/>
        </w:rPr>
        <w:t>、本项目招标代理费为成交金额*1.5%，不足3000元按3000元计取，由成交供应商承担，请参加本次投标的供应商在成本中自行考虑。招标代理费需在成交通知书领取前结清，否则，采购人有权取消其成交资格。</w:t>
      </w:r>
    </w:p>
    <w:p w14:paraId="1A83AB53">
      <w:pPr>
        <w:snapToGrid w:val="0"/>
        <w:spacing w:line="460" w:lineRule="exact"/>
        <w:ind w:firstLine="463" w:firstLineChars="192"/>
        <w:rPr>
          <w:rFonts w:eastAsia="宋体"/>
        </w:rPr>
      </w:pPr>
      <w:r>
        <w:rPr>
          <w:rFonts w:eastAsia="宋体"/>
          <w:b/>
          <w:bCs/>
        </w:rPr>
        <w:t>十、履约保证金</w:t>
      </w:r>
    </w:p>
    <w:p w14:paraId="4850445A">
      <w:pPr>
        <w:snapToGrid w:val="0"/>
        <w:spacing w:line="460" w:lineRule="exact"/>
        <w:ind w:firstLine="494" w:firstLineChars="206"/>
        <w:outlineLvl w:val="1"/>
        <w:rPr>
          <w:rFonts w:eastAsia="宋体"/>
          <w:kern w:val="0"/>
          <w:szCs w:val="20"/>
        </w:rPr>
      </w:pPr>
      <w:r>
        <w:rPr>
          <w:rFonts w:eastAsia="宋体"/>
          <w:kern w:val="0"/>
          <w:szCs w:val="20"/>
        </w:rPr>
        <w:t>1、本项目</w:t>
      </w:r>
      <w:r>
        <w:rPr>
          <w:rFonts w:hint="eastAsia" w:eastAsia="宋体"/>
          <w:kern w:val="0"/>
          <w:szCs w:val="20"/>
        </w:rPr>
        <w:t>成交</w:t>
      </w:r>
      <w:r>
        <w:rPr>
          <w:rFonts w:eastAsia="宋体"/>
          <w:kern w:val="0"/>
          <w:szCs w:val="20"/>
        </w:rPr>
        <w:t>后的履约保证金为项目</w:t>
      </w:r>
      <w:r>
        <w:rPr>
          <w:rFonts w:hint="eastAsia" w:eastAsia="宋体"/>
          <w:kern w:val="0"/>
          <w:szCs w:val="20"/>
        </w:rPr>
        <w:t>成交</w:t>
      </w:r>
      <w:r>
        <w:rPr>
          <w:rFonts w:eastAsia="宋体"/>
          <w:kern w:val="0"/>
          <w:szCs w:val="20"/>
        </w:rPr>
        <w:t>价的</w:t>
      </w:r>
      <w:r>
        <w:rPr>
          <w:rFonts w:eastAsia="宋体"/>
          <w:kern w:val="0"/>
          <w:szCs w:val="20"/>
          <w:u w:val="single"/>
        </w:rPr>
        <w:t xml:space="preserve">  10%  </w:t>
      </w:r>
      <w:r>
        <w:rPr>
          <w:rFonts w:eastAsia="宋体"/>
          <w:kern w:val="0"/>
          <w:szCs w:val="20"/>
        </w:rPr>
        <w:t>。</w:t>
      </w:r>
    </w:p>
    <w:p w14:paraId="4A5B092F">
      <w:pPr>
        <w:snapToGrid w:val="0"/>
        <w:spacing w:line="460" w:lineRule="exact"/>
        <w:ind w:firstLine="494" w:firstLineChars="206"/>
        <w:outlineLvl w:val="1"/>
        <w:rPr>
          <w:rFonts w:eastAsia="宋体"/>
          <w:kern w:val="0"/>
          <w:szCs w:val="20"/>
        </w:rPr>
      </w:pPr>
      <w:r>
        <w:rPr>
          <w:rFonts w:eastAsia="宋体"/>
          <w:kern w:val="0"/>
          <w:szCs w:val="20"/>
        </w:rPr>
        <w:t>2、</w:t>
      </w:r>
      <w:r>
        <w:rPr>
          <w:rFonts w:hint="eastAsia" w:eastAsia="宋体"/>
          <w:kern w:val="0"/>
          <w:szCs w:val="20"/>
        </w:rPr>
        <w:t>成交</w:t>
      </w:r>
      <w:r>
        <w:rPr>
          <w:rFonts w:eastAsia="宋体"/>
          <w:kern w:val="0"/>
          <w:szCs w:val="20"/>
        </w:rPr>
        <w:t>供应商可以选择以</w:t>
      </w:r>
      <w:r>
        <w:rPr>
          <w:rFonts w:eastAsia="宋体"/>
          <w:kern w:val="0"/>
          <w:szCs w:val="20"/>
          <w:u w:val="single"/>
        </w:rPr>
        <w:t xml:space="preserve"> 金融机构、担保机构出具的保函、履约保证金保险 </w:t>
      </w:r>
      <w:r>
        <w:rPr>
          <w:rFonts w:eastAsia="宋体"/>
          <w:kern w:val="0"/>
          <w:szCs w:val="20"/>
        </w:rPr>
        <w:t>等非现金形式缴纳履约保证金。</w:t>
      </w:r>
    </w:p>
    <w:p w14:paraId="217C3DC5">
      <w:pPr>
        <w:snapToGrid w:val="0"/>
        <w:spacing w:line="460" w:lineRule="exact"/>
        <w:ind w:firstLine="494" w:firstLineChars="206"/>
        <w:outlineLvl w:val="1"/>
        <w:rPr>
          <w:rFonts w:eastAsia="宋体"/>
          <w:kern w:val="0"/>
          <w:szCs w:val="20"/>
        </w:rPr>
      </w:pPr>
      <w:r>
        <w:rPr>
          <w:rFonts w:hint="eastAsia" w:eastAsia="宋体"/>
          <w:kern w:val="0"/>
          <w:szCs w:val="20"/>
        </w:rPr>
        <w:t>3</w:t>
      </w:r>
      <w:r>
        <w:rPr>
          <w:rFonts w:eastAsia="宋体"/>
          <w:kern w:val="0"/>
          <w:szCs w:val="20"/>
        </w:rPr>
        <w:t>、</w:t>
      </w:r>
      <w:r>
        <w:rPr>
          <w:rFonts w:hint="eastAsia" w:eastAsia="宋体"/>
          <w:kern w:val="0"/>
          <w:szCs w:val="20"/>
        </w:rPr>
        <w:t>成交</w:t>
      </w:r>
      <w:r>
        <w:rPr>
          <w:rFonts w:eastAsia="宋体"/>
          <w:kern w:val="0"/>
          <w:szCs w:val="20"/>
        </w:rPr>
        <w:t>供应商在</w:t>
      </w:r>
      <w:r>
        <w:rPr>
          <w:rFonts w:hint="eastAsia" w:eastAsia="宋体"/>
          <w:kern w:val="0"/>
          <w:szCs w:val="20"/>
        </w:rPr>
        <w:t>成交</w:t>
      </w:r>
      <w:r>
        <w:rPr>
          <w:rFonts w:eastAsia="宋体"/>
          <w:kern w:val="0"/>
          <w:szCs w:val="20"/>
        </w:rPr>
        <w:t>通知书发出之日起</w:t>
      </w:r>
      <w:r>
        <w:rPr>
          <w:rFonts w:hint="eastAsia" w:eastAsia="宋体"/>
          <w:kern w:val="0"/>
          <w:szCs w:val="20"/>
          <w:lang w:val="en-US" w:eastAsia="zh-CN"/>
        </w:rPr>
        <w:t>30</w:t>
      </w:r>
      <w:r>
        <w:rPr>
          <w:rFonts w:eastAsia="宋体"/>
          <w:kern w:val="0"/>
          <w:szCs w:val="20"/>
        </w:rPr>
        <w:t>日内，凭“</w:t>
      </w:r>
      <w:r>
        <w:rPr>
          <w:rFonts w:hint="eastAsia" w:eastAsia="宋体"/>
          <w:kern w:val="0"/>
          <w:szCs w:val="20"/>
        </w:rPr>
        <w:t>成交</w:t>
      </w:r>
      <w:r>
        <w:rPr>
          <w:rFonts w:eastAsia="宋体"/>
          <w:kern w:val="0"/>
          <w:szCs w:val="20"/>
        </w:rPr>
        <w:t>通知书”和“履约保证金”的缴纳凭证，与采购人签订合同，超期或未有协商，则视为自动放弃</w:t>
      </w:r>
      <w:r>
        <w:rPr>
          <w:rFonts w:hint="eastAsia" w:eastAsia="宋体"/>
          <w:kern w:val="0"/>
          <w:szCs w:val="20"/>
        </w:rPr>
        <w:t>成交</w:t>
      </w:r>
      <w:r>
        <w:rPr>
          <w:rFonts w:eastAsia="宋体"/>
          <w:kern w:val="0"/>
          <w:szCs w:val="20"/>
        </w:rPr>
        <w:t>资格。</w:t>
      </w:r>
    </w:p>
    <w:p w14:paraId="365A8569">
      <w:pPr>
        <w:snapToGrid w:val="0"/>
        <w:spacing w:line="460" w:lineRule="exact"/>
        <w:ind w:firstLine="494" w:firstLineChars="206"/>
        <w:outlineLvl w:val="1"/>
        <w:rPr>
          <w:rFonts w:eastAsia="宋体"/>
          <w:kern w:val="0"/>
          <w:szCs w:val="20"/>
        </w:rPr>
      </w:pPr>
      <w:r>
        <w:rPr>
          <w:rFonts w:hint="eastAsia" w:eastAsia="宋体"/>
          <w:kern w:val="0"/>
          <w:szCs w:val="20"/>
        </w:rPr>
        <w:t>4</w:t>
      </w:r>
      <w:r>
        <w:rPr>
          <w:rFonts w:eastAsia="宋体"/>
          <w:kern w:val="0"/>
          <w:szCs w:val="20"/>
        </w:rPr>
        <w:t>、</w:t>
      </w:r>
      <w:r>
        <w:rPr>
          <w:rFonts w:hint="eastAsia" w:eastAsia="宋体"/>
          <w:kern w:val="0"/>
          <w:szCs w:val="20"/>
        </w:rPr>
        <w:t>成交</w:t>
      </w:r>
      <w:r>
        <w:rPr>
          <w:rFonts w:eastAsia="宋体"/>
          <w:kern w:val="0"/>
          <w:szCs w:val="20"/>
        </w:rPr>
        <w:t>供应商在按要求</w:t>
      </w:r>
      <w:r>
        <w:rPr>
          <w:rFonts w:hint="eastAsia" w:eastAsia="宋体"/>
          <w:kern w:val="0"/>
          <w:szCs w:val="20"/>
        </w:rPr>
        <w:t>保质保量地完成</w:t>
      </w:r>
      <w:r>
        <w:rPr>
          <w:rFonts w:eastAsia="宋体"/>
          <w:kern w:val="0"/>
          <w:szCs w:val="20"/>
        </w:rPr>
        <w:t>该项目合同并通过验收后，采购人凭</w:t>
      </w:r>
      <w:r>
        <w:rPr>
          <w:rFonts w:hint="eastAsia" w:eastAsia="宋体"/>
          <w:kern w:val="0"/>
          <w:szCs w:val="20"/>
        </w:rPr>
        <w:t>成交</w:t>
      </w:r>
      <w:r>
        <w:rPr>
          <w:rFonts w:eastAsia="宋体"/>
          <w:kern w:val="0"/>
          <w:szCs w:val="20"/>
        </w:rPr>
        <w:t>供应商提交的申请，一次性无息退还该合同项目的履约保证金。</w:t>
      </w:r>
    </w:p>
    <w:p w14:paraId="49BCD4A0">
      <w:pPr>
        <w:snapToGrid w:val="0"/>
        <w:spacing w:line="460" w:lineRule="exact"/>
        <w:ind w:firstLine="494" w:firstLineChars="206"/>
        <w:outlineLvl w:val="1"/>
        <w:rPr>
          <w:rFonts w:eastAsia="宋体"/>
          <w:kern w:val="0"/>
          <w:szCs w:val="20"/>
        </w:rPr>
      </w:pPr>
      <w:r>
        <w:rPr>
          <w:rFonts w:hint="eastAsia" w:eastAsia="宋体"/>
          <w:kern w:val="0"/>
          <w:szCs w:val="20"/>
        </w:rPr>
        <w:t>5</w:t>
      </w:r>
      <w:r>
        <w:rPr>
          <w:rFonts w:eastAsia="宋体"/>
          <w:kern w:val="0"/>
          <w:szCs w:val="20"/>
        </w:rPr>
        <w:t>、由于</w:t>
      </w:r>
      <w:r>
        <w:rPr>
          <w:rFonts w:hint="eastAsia" w:eastAsia="宋体"/>
          <w:kern w:val="0"/>
          <w:szCs w:val="20"/>
        </w:rPr>
        <w:t>成交</w:t>
      </w:r>
      <w:r>
        <w:rPr>
          <w:rFonts w:eastAsia="宋体"/>
          <w:kern w:val="0"/>
          <w:szCs w:val="20"/>
        </w:rPr>
        <w:t>供应商原因，在签订合同后出现不按合同履行的情况，采购单位有权将履约保证金作为违约金，全额不予退还，同时采购单位亦有权终止合同，</w:t>
      </w:r>
      <w:r>
        <w:rPr>
          <w:rFonts w:hint="eastAsia" w:eastAsia="宋体"/>
          <w:kern w:val="0"/>
          <w:szCs w:val="20"/>
        </w:rPr>
        <w:t>成交</w:t>
      </w:r>
      <w:r>
        <w:rPr>
          <w:rFonts w:eastAsia="宋体"/>
          <w:kern w:val="0"/>
          <w:szCs w:val="20"/>
        </w:rPr>
        <w:t>供应商还须承担相应的法律赔偿责任。</w:t>
      </w:r>
    </w:p>
    <w:p w14:paraId="6C35E2E7">
      <w:pPr>
        <w:snapToGrid w:val="0"/>
        <w:spacing w:line="460" w:lineRule="exact"/>
        <w:ind w:firstLine="482" w:firstLineChars="200"/>
        <w:outlineLvl w:val="1"/>
        <w:rPr>
          <w:rFonts w:eastAsia="宋体"/>
          <w:b/>
          <w:bCs/>
        </w:rPr>
      </w:pPr>
      <w:r>
        <w:rPr>
          <w:rFonts w:eastAsia="宋体"/>
          <w:b/>
          <w:bCs/>
        </w:rPr>
        <w:t>十一、未尽事宜</w:t>
      </w:r>
    </w:p>
    <w:p w14:paraId="6A4E9D85">
      <w:pPr>
        <w:snapToGrid w:val="0"/>
        <w:spacing w:line="460" w:lineRule="exact"/>
        <w:ind w:firstLine="494" w:firstLineChars="206"/>
        <w:jc w:val="left"/>
        <w:outlineLvl w:val="1"/>
        <w:rPr>
          <w:rFonts w:eastAsia="宋体"/>
        </w:rPr>
      </w:pPr>
      <w:bookmarkStart w:id="31" w:name="_Toc363573855"/>
      <w:r>
        <w:rPr>
          <w:rFonts w:eastAsia="宋体"/>
        </w:rPr>
        <w:t>1、除因不可抗力或磋商文件认可的情形以外，成交人不按规定缴纳履约保证金或不与采购人签订合同的，取消</w:t>
      </w:r>
      <w:r>
        <w:rPr>
          <w:rFonts w:hint="eastAsia" w:eastAsia="宋体"/>
        </w:rPr>
        <w:t>成交</w:t>
      </w:r>
      <w:r>
        <w:rPr>
          <w:rFonts w:eastAsia="宋体"/>
        </w:rPr>
        <w:t>人在南通市水利系统内的投标资格两年。</w:t>
      </w:r>
    </w:p>
    <w:p w14:paraId="64FDDCD8">
      <w:pPr>
        <w:snapToGrid w:val="0"/>
        <w:spacing w:line="460" w:lineRule="exact"/>
        <w:ind w:firstLine="494" w:firstLineChars="206"/>
        <w:jc w:val="left"/>
        <w:outlineLvl w:val="1"/>
        <w:rPr>
          <w:rFonts w:eastAsia="宋体"/>
        </w:rPr>
      </w:pPr>
      <w:r>
        <w:rPr>
          <w:rFonts w:eastAsia="宋体"/>
        </w:rPr>
        <w:t>2、</w:t>
      </w:r>
      <w:r>
        <w:rPr>
          <w:rFonts w:hint="eastAsia" w:eastAsia="宋体"/>
        </w:rPr>
        <w:t>按照</w:t>
      </w:r>
      <w:r>
        <w:rPr>
          <w:rFonts w:eastAsia="宋体"/>
        </w:rPr>
        <w:t>《中华人民共和国政府采购法》、《政府采购竞争性磋商采购方式管理暂行办法》及其他有关法律法规的规定执行。</w:t>
      </w:r>
    </w:p>
    <w:p w14:paraId="7A0E2906">
      <w:pPr>
        <w:snapToGrid w:val="0"/>
        <w:spacing w:line="360" w:lineRule="auto"/>
        <w:ind w:firstLine="494" w:firstLineChars="206"/>
        <w:jc w:val="left"/>
        <w:outlineLvl w:val="1"/>
        <w:rPr>
          <w:rFonts w:eastAsia="宋体"/>
        </w:rPr>
      </w:pPr>
    </w:p>
    <w:p w14:paraId="0C48D43A">
      <w:pPr>
        <w:pStyle w:val="18"/>
        <w:spacing w:line="360" w:lineRule="auto"/>
        <w:rPr>
          <w:rFonts w:ascii="Times New Roman" w:eastAsia="宋体"/>
        </w:rPr>
      </w:pPr>
    </w:p>
    <w:p w14:paraId="61027116">
      <w:pPr>
        <w:pStyle w:val="18"/>
        <w:spacing w:line="360" w:lineRule="auto"/>
        <w:rPr>
          <w:rFonts w:ascii="Times New Roman" w:eastAsia="宋体"/>
        </w:rPr>
      </w:pPr>
    </w:p>
    <w:p w14:paraId="35B945CA">
      <w:pPr>
        <w:tabs>
          <w:tab w:val="left" w:pos="1050"/>
          <w:tab w:val="right" w:leader="dot" w:pos="9402"/>
        </w:tabs>
        <w:spacing w:before="326" w:beforeLines="10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第三章  项目需求</w:t>
      </w:r>
      <w:bookmarkEnd w:id="31"/>
    </w:p>
    <w:p w14:paraId="1FB72655">
      <w:pPr>
        <w:numPr>
          <w:ilvl w:val="0"/>
          <w:numId w:val="2"/>
        </w:numPr>
        <w:spacing w:line="360" w:lineRule="auto"/>
        <w:ind w:firstLine="482" w:firstLineChars="200"/>
        <w:jc w:val="left"/>
        <w:rPr>
          <w:rFonts w:eastAsia="宋体"/>
          <w:b/>
          <w:lang w:bidi="ar"/>
        </w:rPr>
      </w:pPr>
      <w:r>
        <w:rPr>
          <w:rFonts w:eastAsia="宋体"/>
          <w:b/>
          <w:lang w:bidi="ar"/>
        </w:rPr>
        <w:t>项目概述</w:t>
      </w:r>
    </w:p>
    <w:p w14:paraId="50465D73">
      <w:pPr>
        <w:spacing w:line="360" w:lineRule="auto"/>
        <w:ind w:firstLine="480" w:firstLineChars="200"/>
        <w:jc w:val="left"/>
        <w:rPr>
          <w:rFonts w:eastAsia="宋体"/>
          <w:snapToGrid w:val="0"/>
          <w:lang w:bidi="ar"/>
        </w:rPr>
      </w:pPr>
      <w:r>
        <w:rPr>
          <w:rFonts w:eastAsia="宋体"/>
          <w:lang w:val="zh-CN" w:bidi="ar"/>
        </w:rPr>
        <w:t>本项目旨在进一步提升南通市河长制信息化管理水平，应用基于“GIS一张图”，将全市17000余条河道水系矢量化、分类化、分级化和信息多元化，完善涉河、涉水数据信息数据，实现对河网水系的精细化管理，为全市河长制工作提供信息化的支撑手段，为河道管理保护提供高效、便捷的数据库平台。</w:t>
      </w:r>
    </w:p>
    <w:p w14:paraId="367BE510">
      <w:pPr>
        <w:numPr>
          <w:ilvl w:val="0"/>
          <w:numId w:val="2"/>
        </w:numPr>
        <w:spacing w:line="360" w:lineRule="auto"/>
        <w:ind w:firstLine="482" w:firstLineChars="200"/>
        <w:jc w:val="left"/>
        <w:rPr>
          <w:rFonts w:eastAsia="宋体"/>
          <w:b/>
          <w:lang w:bidi="ar"/>
        </w:rPr>
      </w:pPr>
      <w:r>
        <w:rPr>
          <w:rFonts w:eastAsia="宋体"/>
          <w:b/>
          <w:lang w:bidi="ar"/>
        </w:rPr>
        <w:t>服务内容</w:t>
      </w:r>
    </w:p>
    <w:p w14:paraId="3C6F5B01">
      <w:pPr>
        <w:spacing w:line="360" w:lineRule="auto"/>
        <w:ind w:left="-77" w:firstLine="482" w:firstLineChars="200"/>
        <w:rPr>
          <w:rFonts w:eastAsia="宋体"/>
          <w:b/>
          <w:lang w:bidi="ar"/>
        </w:rPr>
      </w:pPr>
      <w:r>
        <w:rPr>
          <w:rFonts w:eastAsia="宋体"/>
          <w:b/>
          <w:lang w:bidi="ar"/>
        </w:rPr>
        <w:t>河网基础信息完善</w:t>
      </w:r>
      <w:r>
        <w:rPr>
          <w:rFonts w:hint="eastAsia" w:eastAsia="宋体"/>
          <w:b/>
          <w:lang w:bidi="ar"/>
        </w:rPr>
        <w:t>：</w:t>
      </w:r>
    </w:p>
    <w:p w14:paraId="1702F92D">
      <w:pPr>
        <w:spacing w:line="360" w:lineRule="auto"/>
        <w:ind w:left="-77" w:firstLine="482" w:firstLineChars="200"/>
        <w:rPr>
          <w:rFonts w:eastAsia="宋体"/>
          <w:lang w:val="zh-CN" w:bidi="ar"/>
        </w:rPr>
      </w:pPr>
      <w:r>
        <w:rPr>
          <w:rFonts w:hint="eastAsia" w:eastAsia="宋体"/>
          <w:b/>
          <w:lang w:val="zh-CN" w:bidi="ar"/>
        </w:rPr>
        <w:t>1、</w:t>
      </w:r>
      <w:r>
        <w:rPr>
          <w:rFonts w:eastAsia="宋体"/>
          <w:b/>
          <w:lang w:val="zh-CN" w:bidi="ar"/>
        </w:rPr>
        <w:t>河网矢量化</w:t>
      </w:r>
      <w:r>
        <w:rPr>
          <w:rFonts w:eastAsia="宋体"/>
          <w:lang w:val="zh-CN" w:bidi="ar"/>
        </w:rPr>
        <w:t>。</w:t>
      </w:r>
    </w:p>
    <w:p w14:paraId="4AED9426">
      <w:pPr>
        <w:spacing w:line="360" w:lineRule="auto"/>
        <w:ind w:left="-77" w:firstLine="480" w:firstLineChars="200"/>
        <w:rPr>
          <w:rFonts w:eastAsia="宋体"/>
          <w:lang w:val="zh-CN" w:bidi="ar"/>
        </w:rPr>
      </w:pPr>
      <w:r>
        <w:rPr>
          <w:rFonts w:eastAsia="宋体"/>
          <w:lang w:val="zh-CN" w:bidi="ar"/>
        </w:rPr>
        <w:t>对全市河网基础资料进行整理入库，根据档案资料和已有河网矢量数据（其他项目对接的数据基础），进行标绘上图为河网空间数据，形成河网基础数据档案和具有地理空间坐标的水系图。</w:t>
      </w:r>
    </w:p>
    <w:p w14:paraId="681DF595">
      <w:pPr>
        <w:spacing w:line="360" w:lineRule="auto"/>
        <w:ind w:left="-77" w:firstLine="480" w:firstLineChars="200"/>
        <w:rPr>
          <w:rFonts w:eastAsia="宋体"/>
          <w:lang w:val="zh-CN" w:bidi="ar"/>
        </w:rPr>
      </w:pPr>
      <w:r>
        <w:rPr>
          <w:rFonts w:eastAsia="宋体"/>
          <w:lang w:val="zh-CN" w:bidi="ar"/>
        </w:rPr>
        <w:t>要求：确保水系图的准确性、完整性和可编辑性，为后续图层管理及信息标注提供数据化的河网水系底图。</w:t>
      </w:r>
    </w:p>
    <w:p w14:paraId="606344D8">
      <w:pPr>
        <w:spacing w:line="360" w:lineRule="auto"/>
        <w:ind w:left="-77" w:firstLine="482" w:firstLineChars="200"/>
        <w:rPr>
          <w:rFonts w:eastAsia="宋体"/>
          <w:b/>
          <w:lang w:val="zh-CN" w:bidi="ar"/>
        </w:rPr>
      </w:pPr>
      <w:r>
        <w:rPr>
          <w:rFonts w:hint="eastAsia" w:eastAsia="宋体"/>
          <w:b/>
          <w:lang w:val="zh-CN" w:bidi="ar"/>
        </w:rPr>
        <w:t>2、</w:t>
      </w:r>
      <w:r>
        <w:rPr>
          <w:rFonts w:eastAsia="宋体"/>
          <w:b/>
          <w:lang w:val="zh-CN" w:bidi="ar"/>
        </w:rPr>
        <w:t>河网分级化</w:t>
      </w:r>
    </w:p>
    <w:p w14:paraId="5B550C00">
      <w:pPr>
        <w:spacing w:line="360" w:lineRule="auto"/>
        <w:ind w:left="-77" w:firstLine="480" w:firstLineChars="200"/>
        <w:rPr>
          <w:rFonts w:eastAsia="宋体"/>
          <w:lang w:val="zh-CN" w:bidi="ar"/>
        </w:rPr>
      </w:pPr>
      <w:r>
        <w:rPr>
          <w:rFonts w:eastAsia="宋体"/>
          <w:lang w:val="zh-CN" w:bidi="ar"/>
        </w:rPr>
        <w:t>按照河长制的管理要求，对河网分级化处理，即市级河长责任河道和县级河长责任河道的河段划分到镇一级，镇级河长责任河道和村级河长责任河道的河段划分到村一级，建立对应的图层分级管理机制。</w:t>
      </w:r>
    </w:p>
    <w:p w14:paraId="68BA4DAA">
      <w:pPr>
        <w:spacing w:line="360" w:lineRule="auto"/>
        <w:ind w:left="-77" w:firstLine="482" w:firstLineChars="200"/>
        <w:rPr>
          <w:rFonts w:eastAsia="宋体"/>
          <w:b/>
          <w:lang w:val="zh-CN" w:bidi="ar"/>
        </w:rPr>
      </w:pPr>
      <w:r>
        <w:rPr>
          <w:rFonts w:hint="eastAsia" w:eastAsia="宋体"/>
          <w:b/>
          <w:lang w:val="zh-CN" w:bidi="ar"/>
        </w:rPr>
        <w:t>3、</w:t>
      </w:r>
      <w:r>
        <w:rPr>
          <w:rFonts w:eastAsia="宋体"/>
          <w:b/>
          <w:lang w:val="zh-CN" w:bidi="ar"/>
        </w:rPr>
        <w:t>河段分类化</w:t>
      </w:r>
    </w:p>
    <w:p w14:paraId="4E4261A7">
      <w:pPr>
        <w:spacing w:line="360" w:lineRule="auto"/>
        <w:ind w:left="-77" w:firstLine="480" w:firstLineChars="200"/>
        <w:rPr>
          <w:rFonts w:eastAsia="宋体"/>
          <w:lang w:val="zh-CN" w:bidi="ar"/>
        </w:rPr>
      </w:pPr>
      <w:r>
        <w:rPr>
          <w:rFonts w:eastAsia="宋体"/>
          <w:lang w:val="zh-CN" w:bidi="ar"/>
        </w:rPr>
        <w:t>对跨界河道、幸福河道、农村生态河道等特殊类型的河道进行分类。后台录入信息需详细反映河道类型、管理要求、特色亮点等，为相关政策的制定和执行提供依据。</w:t>
      </w:r>
    </w:p>
    <w:p w14:paraId="63A916E9">
      <w:pPr>
        <w:numPr>
          <w:ilvl w:val="-1"/>
          <w:numId w:val="0"/>
        </w:numPr>
        <w:spacing w:line="360" w:lineRule="auto"/>
        <w:ind w:left="405" w:firstLine="0"/>
        <w:rPr>
          <w:rFonts w:eastAsia="宋体"/>
          <w:b/>
          <w:lang w:val="zh-CN" w:bidi="ar"/>
        </w:rPr>
      </w:pPr>
      <w:r>
        <w:rPr>
          <w:rFonts w:hint="eastAsia" w:eastAsia="宋体"/>
          <w:b/>
          <w:lang w:val="en-US" w:eastAsia="zh-CN" w:bidi="ar"/>
        </w:rPr>
        <w:t>4、</w:t>
      </w:r>
      <w:r>
        <w:rPr>
          <w:rFonts w:eastAsia="宋体"/>
          <w:b/>
          <w:lang w:val="zh-CN" w:bidi="ar"/>
        </w:rPr>
        <w:t>信息多元化</w:t>
      </w:r>
    </w:p>
    <w:p w14:paraId="6C91E4EB">
      <w:pPr>
        <w:spacing w:line="360" w:lineRule="auto"/>
        <w:ind w:firstLine="480" w:firstLineChars="200"/>
        <w:jc w:val="left"/>
        <w:rPr>
          <w:rFonts w:eastAsia="宋体"/>
          <w:lang w:val="zh-CN" w:bidi="ar"/>
        </w:rPr>
      </w:pPr>
      <w:r>
        <w:rPr>
          <w:rFonts w:eastAsia="宋体"/>
          <w:lang w:val="zh-CN" w:bidi="ar"/>
        </w:rPr>
        <w:t>关联河道管理的相关附属信息，比如河长信息以及公示牌位置。标注信息应准确无误，包括但不限于河段名称、长度、起止点、河长姓名、联系方式、公示牌照片及位置坐标等。</w:t>
      </w:r>
    </w:p>
    <w:p w14:paraId="4BCC579C">
      <w:pPr>
        <w:numPr>
          <w:ilvl w:val="-1"/>
          <w:numId w:val="0"/>
        </w:numPr>
        <w:spacing w:line="460" w:lineRule="exact"/>
        <w:ind w:left="0" w:firstLine="482" w:firstLineChars="200"/>
        <w:rPr>
          <w:rFonts w:hint="default" w:eastAsia="宋体"/>
          <w:b/>
          <w:bCs w:val="0"/>
          <w:lang w:val="zh-CN" w:eastAsia="zh-CN" w:bidi="ar"/>
        </w:rPr>
      </w:pPr>
      <w:r>
        <w:rPr>
          <w:rFonts w:hint="eastAsia" w:eastAsia="宋体"/>
          <w:b/>
          <w:bCs w:val="0"/>
          <w:lang w:val="en-US" w:eastAsia="zh-CN" w:bidi="ar"/>
        </w:rPr>
        <w:t>5、</w:t>
      </w:r>
      <w:r>
        <w:rPr>
          <w:rFonts w:hint="default" w:eastAsia="宋体"/>
          <w:b/>
          <w:bCs w:val="0"/>
          <w:lang w:val="zh-CN" w:eastAsia="zh-CN" w:bidi="ar"/>
        </w:rPr>
        <w:t>本项目全域河网矢量化到三级河道，</w:t>
      </w:r>
      <w:r>
        <w:rPr>
          <w:rFonts w:hint="eastAsia" w:eastAsia="宋体"/>
          <w:b/>
          <w:bCs w:val="0"/>
          <w:lang w:val="zh-CN" w:eastAsia="zh-CN" w:bidi="ar"/>
        </w:rPr>
        <w:t>并</w:t>
      </w:r>
      <w:r>
        <w:rPr>
          <w:rFonts w:hint="default" w:eastAsia="宋体"/>
          <w:b/>
          <w:bCs w:val="0"/>
          <w:lang w:val="zh-CN" w:eastAsia="zh-CN" w:bidi="ar"/>
        </w:rPr>
        <w:t>选取一个县（市）区的四级河矢量化作为先行试点。</w:t>
      </w:r>
    </w:p>
    <w:p w14:paraId="36981072">
      <w:pPr>
        <w:numPr>
          <w:ilvl w:val="0"/>
          <w:numId w:val="2"/>
        </w:numPr>
        <w:spacing w:line="360" w:lineRule="auto"/>
        <w:ind w:firstLine="482" w:firstLineChars="200"/>
        <w:jc w:val="left"/>
        <w:rPr>
          <w:rFonts w:eastAsia="宋体"/>
          <w:b/>
          <w:lang w:bidi="ar"/>
        </w:rPr>
      </w:pPr>
      <w:r>
        <w:rPr>
          <w:rFonts w:eastAsia="宋体"/>
          <w:b/>
          <w:lang w:bidi="ar"/>
        </w:rPr>
        <w:t>服务要求</w:t>
      </w:r>
    </w:p>
    <w:p w14:paraId="524F653B">
      <w:pPr>
        <w:spacing w:line="480" w:lineRule="exact"/>
        <w:ind w:left="480"/>
        <w:rPr>
          <w:rFonts w:eastAsia="宋体"/>
          <w:bCs/>
          <w:iCs/>
          <w:color w:val="000000"/>
        </w:rPr>
      </w:pPr>
      <w:r>
        <w:rPr>
          <w:rFonts w:hint="eastAsia" w:eastAsia="宋体"/>
          <w:bCs/>
          <w:iCs/>
          <w:color w:val="000000"/>
        </w:rPr>
        <w:t>1、服务时间：在签订合同后六个月内完成本项目所有服务内容。</w:t>
      </w:r>
    </w:p>
    <w:p w14:paraId="4AEB5EC0">
      <w:pPr>
        <w:spacing w:line="480" w:lineRule="exact"/>
        <w:ind w:firstLine="480" w:firstLineChars="200"/>
        <w:rPr>
          <w:rFonts w:eastAsia="宋体"/>
          <w:bCs/>
          <w:iCs/>
          <w:color w:val="000000"/>
        </w:rPr>
      </w:pPr>
      <w:r>
        <w:rPr>
          <w:rFonts w:hint="eastAsia" w:eastAsia="宋体"/>
          <w:bCs/>
          <w:iCs/>
          <w:color w:val="000000"/>
        </w:rPr>
        <w:t>2、技术保障：项目承建方需</w:t>
      </w:r>
      <w:r>
        <w:rPr>
          <w:rFonts w:eastAsia="宋体"/>
          <w:bCs/>
          <w:iCs/>
          <w:color w:val="000000"/>
        </w:rPr>
        <w:t>提供先进的技术支持，确保数据的准确性、完整性和可编辑性。及时解决用户在使用过程中遇到的问题</w:t>
      </w:r>
      <w:r>
        <w:rPr>
          <w:rFonts w:hint="eastAsia" w:eastAsia="宋体"/>
          <w:bCs/>
          <w:iCs/>
          <w:color w:val="000000"/>
        </w:rPr>
        <w:t>。</w:t>
      </w:r>
    </w:p>
    <w:p w14:paraId="429ECF2E">
      <w:pPr>
        <w:spacing w:line="480" w:lineRule="exact"/>
        <w:ind w:firstLine="480" w:firstLineChars="200"/>
        <w:rPr>
          <w:rFonts w:eastAsia="宋体"/>
          <w:bCs/>
          <w:iCs/>
          <w:color w:val="000000"/>
        </w:rPr>
      </w:pPr>
      <w:r>
        <w:rPr>
          <w:rFonts w:hint="eastAsia" w:eastAsia="宋体"/>
          <w:bCs/>
          <w:iCs/>
          <w:color w:val="000000"/>
        </w:rPr>
        <w:t>3、7*24小时服务：项目承建方需提供7*24小时客户服务，确保及时解决用户在使用过程中遇到的问题。</w:t>
      </w:r>
    </w:p>
    <w:p w14:paraId="73E4DD7A">
      <w:pPr>
        <w:numPr>
          <w:ilvl w:val="0"/>
          <w:numId w:val="3"/>
        </w:numPr>
        <w:spacing w:line="360" w:lineRule="auto"/>
        <w:jc w:val="left"/>
        <w:rPr>
          <w:rFonts w:eastAsia="宋体"/>
          <w:b/>
          <w:lang w:bidi="ar"/>
        </w:rPr>
      </w:pPr>
      <w:r>
        <w:rPr>
          <w:rFonts w:eastAsia="宋体"/>
          <w:b/>
          <w:lang w:bidi="ar"/>
        </w:rPr>
        <w:t>验收标准</w:t>
      </w:r>
    </w:p>
    <w:p w14:paraId="2E118C6E">
      <w:pPr>
        <w:spacing w:line="360" w:lineRule="auto"/>
        <w:ind w:firstLine="480" w:firstLineChars="200"/>
        <w:jc w:val="left"/>
        <w:rPr>
          <w:rFonts w:eastAsia="宋体"/>
          <w:lang w:bidi="ar"/>
        </w:rPr>
      </w:pPr>
      <w:r>
        <w:rPr>
          <w:rFonts w:eastAsia="宋体"/>
          <w:lang w:bidi="ar"/>
        </w:rPr>
        <w:t>在应用系统建成后，由相关专家组成验收小组对河长制信息化</w:t>
      </w:r>
      <w:r>
        <w:rPr>
          <w:rFonts w:hint="eastAsia" w:eastAsia="宋体"/>
          <w:lang w:bidi="ar"/>
        </w:rPr>
        <w:t>管理</w:t>
      </w:r>
      <w:r>
        <w:rPr>
          <w:rFonts w:eastAsia="宋体"/>
          <w:lang w:bidi="ar"/>
        </w:rPr>
        <w:t>系统进行验收。验收内容包括但不限于系统功能的实现情况、数据的准确性和完整性、用户满意度等。验收合格后，项目正式交付使用。</w:t>
      </w:r>
    </w:p>
    <w:p w14:paraId="72453325">
      <w:pPr>
        <w:numPr>
          <w:ilvl w:val="0"/>
          <w:numId w:val="3"/>
        </w:numPr>
        <w:spacing w:line="360" w:lineRule="auto"/>
        <w:jc w:val="left"/>
        <w:rPr>
          <w:rFonts w:eastAsia="宋体"/>
          <w:b/>
          <w:lang w:bidi="ar"/>
        </w:rPr>
      </w:pPr>
      <w:r>
        <w:rPr>
          <w:rFonts w:eastAsia="宋体"/>
          <w:b/>
          <w:lang w:bidi="ar"/>
        </w:rPr>
        <w:t>付款方式</w:t>
      </w:r>
    </w:p>
    <w:p w14:paraId="409510AC">
      <w:pPr>
        <w:spacing w:line="480" w:lineRule="exact"/>
        <w:ind w:firstLine="480" w:firstLineChars="200"/>
        <w:rPr>
          <w:rFonts w:eastAsia="宋体"/>
          <w:highlight w:val="none"/>
          <w:lang w:bidi="ar"/>
        </w:rPr>
      </w:pPr>
      <w:r>
        <w:rPr>
          <w:rFonts w:hint="eastAsia" w:eastAsia="宋体"/>
          <w:highlight w:val="none"/>
          <w:lang w:eastAsia="zh-CN" w:bidi="ar"/>
        </w:rPr>
        <w:t>合同签订后，支付合同价的40%，完成服务内容的80%，支付至合同款的80%，剩余合同款待项目验收合格后一次性付清</w:t>
      </w:r>
      <w:r>
        <w:rPr>
          <w:rFonts w:eastAsia="宋体"/>
          <w:highlight w:val="none"/>
          <w:lang w:bidi="ar"/>
        </w:rPr>
        <w:t>。</w:t>
      </w:r>
    </w:p>
    <w:p w14:paraId="0DD371DE">
      <w:pPr>
        <w:pStyle w:val="18"/>
        <w:spacing w:line="480" w:lineRule="exact"/>
        <w:ind w:firstLine="400" w:firstLineChars="200"/>
        <w:rPr>
          <w:rFonts w:ascii="Times New Roman" w:eastAsia="宋体"/>
        </w:rPr>
      </w:pPr>
    </w:p>
    <w:p w14:paraId="03C40042">
      <w:pPr>
        <w:tabs>
          <w:tab w:val="left" w:pos="1050"/>
          <w:tab w:val="right" w:leader="dot" w:pos="9402"/>
        </w:tabs>
        <w:spacing w:before="326" w:beforeLines="100" w:after="326" w:afterLines="100"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第四章</w:t>
      </w:r>
      <w:bookmarkStart w:id="32" w:name="_Toc182848996"/>
      <w:r>
        <w:rPr>
          <w:rFonts w:eastAsia="宋体"/>
          <w:b/>
          <w:bCs/>
          <w:w w:val="80"/>
          <w:sz w:val="36"/>
          <w:szCs w:val="36"/>
        </w:rPr>
        <w:t xml:space="preserve">  评审方法和程序</w:t>
      </w:r>
    </w:p>
    <w:bookmarkEnd w:id="32"/>
    <w:p w14:paraId="114A96B5">
      <w:pPr>
        <w:snapToGrid w:val="0"/>
        <w:spacing w:line="360" w:lineRule="auto"/>
        <w:ind w:firstLine="482" w:firstLineChars="200"/>
        <w:outlineLvl w:val="1"/>
        <w:rPr>
          <w:rFonts w:eastAsia="宋体"/>
          <w:b/>
        </w:rPr>
      </w:pPr>
      <w:r>
        <w:rPr>
          <w:rFonts w:eastAsia="宋体"/>
          <w:b/>
        </w:rPr>
        <w:t>一、代理机构组织磋商</w:t>
      </w:r>
    </w:p>
    <w:p w14:paraId="7584501A">
      <w:pPr>
        <w:snapToGrid w:val="0"/>
        <w:spacing w:line="360" w:lineRule="auto"/>
        <w:ind w:firstLine="480" w:firstLineChars="200"/>
        <w:rPr>
          <w:rFonts w:eastAsia="宋体"/>
        </w:rPr>
      </w:pPr>
      <w:r>
        <w:rPr>
          <w:rFonts w:eastAsia="宋体"/>
        </w:rPr>
        <w:t>1、本次竞争性磋商依据《中华人民共和国政府采购法》、《政府采购竞争性磋商采购方式管理暂行办法》及有关法规成立磋商小组。磋商小组由</w:t>
      </w:r>
      <w:r>
        <w:rPr>
          <w:rFonts w:hint="eastAsia" w:eastAsia="宋体"/>
        </w:rPr>
        <w:t>采购人代表及</w:t>
      </w:r>
      <w:r>
        <w:rPr>
          <w:rFonts w:eastAsia="宋体"/>
        </w:rPr>
        <w:t>评审专家共3人</w:t>
      </w:r>
      <w:r>
        <w:rPr>
          <w:rFonts w:hint="eastAsia" w:eastAsia="宋体"/>
        </w:rPr>
        <w:t>以上单数</w:t>
      </w:r>
      <w:r>
        <w:rPr>
          <w:rFonts w:eastAsia="宋体"/>
        </w:rPr>
        <w:t>组成。</w:t>
      </w:r>
    </w:p>
    <w:p w14:paraId="7001F80B">
      <w:pPr>
        <w:snapToGrid w:val="0"/>
        <w:spacing w:line="360" w:lineRule="auto"/>
        <w:ind w:firstLine="480" w:firstLineChars="200"/>
        <w:rPr>
          <w:rFonts w:eastAsia="宋体"/>
        </w:rPr>
      </w:pPr>
      <w:r>
        <w:rPr>
          <w:rFonts w:eastAsia="宋体"/>
        </w:rPr>
        <w:t>2、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1695AEEA">
      <w:pPr>
        <w:snapToGrid w:val="0"/>
        <w:spacing w:line="360" w:lineRule="auto"/>
        <w:ind w:firstLine="480" w:firstLineChars="200"/>
        <w:rPr>
          <w:rFonts w:eastAsia="宋体"/>
        </w:rPr>
      </w:pPr>
      <w:r>
        <w:rPr>
          <w:rFonts w:eastAsia="宋体"/>
        </w:rPr>
        <w:t>3、磋商小组的职责：</w:t>
      </w:r>
    </w:p>
    <w:p w14:paraId="076416A9">
      <w:pPr>
        <w:snapToGrid w:val="0"/>
        <w:spacing w:line="360" w:lineRule="auto"/>
        <w:ind w:firstLine="480" w:firstLineChars="200"/>
        <w:rPr>
          <w:rFonts w:eastAsia="宋体"/>
        </w:rPr>
      </w:pPr>
      <w:r>
        <w:rPr>
          <w:rFonts w:eastAsia="宋体"/>
        </w:rPr>
        <w:t>（1）磋商小组成员应当按照客观、公正、审慎的原则，根据磋商文件规定的评审程序、评审方法和评审标准进行独立评审。</w:t>
      </w:r>
    </w:p>
    <w:p w14:paraId="25C60818">
      <w:pPr>
        <w:snapToGrid w:val="0"/>
        <w:spacing w:line="360" w:lineRule="auto"/>
        <w:ind w:firstLine="480" w:firstLineChars="200"/>
        <w:rPr>
          <w:rFonts w:eastAsia="宋体"/>
        </w:rPr>
      </w:pPr>
      <w:r>
        <w:rPr>
          <w:rFonts w:eastAsia="宋体"/>
        </w:rPr>
        <w:t>（2）磋商小组成员应当遵守评审工作纪律，不得泄露评审情况和评审中获悉的商业秘密，对个人的评审意见承担法律责任。</w:t>
      </w:r>
    </w:p>
    <w:p w14:paraId="39314B20">
      <w:pPr>
        <w:snapToGrid w:val="0"/>
        <w:spacing w:line="360" w:lineRule="auto"/>
        <w:ind w:firstLine="480" w:firstLineChars="200"/>
        <w:rPr>
          <w:rFonts w:eastAsia="宋体"/>
        </w:rPr>
      </w:pPr>
      <w:r>
        <w:rPr>
          <w:rFonts w:eastAsia="宋体"/>
        </w:rPr>
        <w:t>（3）磋商小组成员在评审过程中发现供应商有行贿、提供虚假材料或者串通等违法行为的，应当及时向财政部门报告，并建议将其列入政府采购黑名单。</w:t>
      </w:r>
    </w:p>
    <w:p w14:paraId="331BCC43">
      <w:pPr>
        <w:snapToGrid w:val="0"/>
        <w:spacing w:line="360" w:lineRule="auto"/>
        <w:ind w:firstLine="480" w:firstLineChars="200"/>
        <w:rPr>
          <w:rFonts w:eastAsia="宋体"/>
        </w:rPr>
      </w:pPr>
      <w:r>
        <w:rPr>
          <w:rFonts w:eastAsia="宋体"/>
        </w:rPr>
        <w:t>（4）磋商小组成员在评审过程中受到非法干涉的，应当及时向财政、监察等部门举报。</w:t>
      </w:r>
    </w:p>
    <w:p w14:paraId="4C7804AD">
      <w:pPr>
        <w:snapToGrid w:val="0"/>
        <w:spacing w:line="360" w:lineRule="auto"/>
        <w:ind w:firstLine="480" w:firstLineChars="200"/>
        <w:rPr>
          <w:rFonts w:eastAsia="宋体"/>
        </w:rPr>
      </w:pPr>
      <w:r>
        <w:rPr>
          <w:rFonts w:eastAsia="宋体"/>
        </w:rPr>
        <w:t>（5）配合采购单位答复供应商提出的质疑；配合财政部门的投诉处理和监督检查工作。</w:t>
      </w:r>
    </w:p>
    <w:p w14:paraId="33582EA0">
      <w:pPr>
        <w:snapToGrid w:val="0"/>
        <w:spacing w:line="360" w:lineRule="auto"/>
        <w:ind w:firstLine="480" w:firstLineChars="200"/>
        <w:rPr>
          <w:rFonts w:eastAsia="宋体"/>
        </w:rPr>
      </w:pPr>
      <w:r>
        <w:rPr>
          <w:rFonts w:eastAsia="宋体"/>
        </w:rPr>
        <w:t>4、评审有关记录由磋商小组成员签名，存档备查。</w:t>
      </w:r>
    </w:p>
    <w:p w14:paraId="5901786E">
      <w:pPr>
        <w:snapToGrid w:val="0"/>
        <w:spacing w:line="360" w:lineRule="auto"/>
        <w:ind w:firstLine="480" w:firstLineChars="200"/>
        <w:rPr>
          <w:rFonts w:eastAsia="宋体"/>
        </w:rPr>
      </w:pPr>
      <w:r>
        <w:rPr>
          <w:rFonts w:eastAsia="宋体"/>
        </w:rPr>
        <w:t>5、供应商的法定代表人或被授权人须持身份证准时参加磋商开标会。</w:t>
      </w:r>
    </w:p>
    <w:p w14:paraId="2875F8AB">
      <w:pPr>
        <w:snapToGrid w:val="0"/>
        <w:spacing w:line="360" w:lineRule="auto"/>
        <w:ind w:firstLine="482" w:firstLineChars="200"/>
        <w:outlineLvl w:val="1"/>
        <w:rPr>
          <w:rFonts w:eastAsia="宋体"/>
          <w:b/>
        </w:rPr>
      </w:pPr>
      <w:r>
        <w:rPr>
          <w:rFonts w:eastAsia="宋体"/>
          <w:b/>
        </w:rPr>
        <w:t>二、磋商的原则及方法</w:t>
      </w:r>
    </w:p>
    <w:p w14:paraId="50D17064">
      <w:pPr>
        <w:snapToGrid w:val="0"/>
        <w:spacing w:line="360" w:lineRule="auto"/>
        <w:ind w:firstLine="480" w:firstLineChars="200"/>
        <w:rPr>
          <w:rFonts w:eastAsia="宋体"/>
        </w:rPr>
      </w:pPr>
      <w:r>
        <w:rPr>
          <w:rFonts w:eastAsia="宋体"/>
        </w:rPr>
        <w:t>1、磋商小组依据《中华人民共和国政府采购法》、《政府采购竞争性磋商采购方式管理暂行办法》以及有关政府采购的相关法规，遵循“公开、公平、公正、择优、信用”的原则进行磋商评审。</w:t>
      </w:r>
    </w:p>
    <w:p w14:paraId="0DD195FB">
      <w:pPr>
        <w:snapToGrid w:val="0"/>
        <w:spacing w:line="360" w:lineRule="auto"/>
        <w:ind w:firstLine="484" w:firstLineChars="202"/>
        <w:rPr>
          <w:rFonts w:eastAsia="宋体"/>
        </w:rPr>
      </w:pPr>
      <w:r>
        <w:rPr>
          <w:rFonts w:eastAsia="宋体"/>
        </w:rPr>
        <w:t>2、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14:paraId="3C737601">
      <w:pPr>
        <w:snapToGrid w:val="0"/>
        <w:spacing w:line="360" w:lineRule="auto"/>
        <w:ind w:firstLine="484" w:firstLineChars="202"/>
        <w:rPr>
          <w:rFonts w:eastAsia="宋体"/>
        </w:rPr>
      </w:pPr>
      <w:r>
        <w:rPr>
          <w:rFonts w:eastAsia="宋体"/>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3482EA91">
      <w:pPr>
        <w:snapToGrid w:val="0"/>
        <w:spacing w:line="360" w:lineRule="auto"/>
        <w:ind w:firstLine="480" w:firstLineChars="200"/>
        <w:rPr>
          <w:rFonts w:eastAsia="宋体"/>
        </w:rPr>
      </w:pPr>
      <w:r>
        <w:rPr>
          <w:rFonts w:eastAsia="宋体"/>
        </w:rPr>
        <w:t>4、磋商小组所有成员应当集中与单一供应商分别进行磋商，并给予所有参加磋商的供应商平等的磋商机会。</w:t>
      </w:r>
    </w:p>
    <w:p w14:paraId="1D6D8D3A">
      <w:pPr>
        <w:snapToGrid w:val="0"/>
        <w:spacing w:line="360" w:lineRule="auto"/>
        <w:ind w:firstLine="480" w:firstLineChars="200"/>
        <w:rPr>
          <w:rFonts w:eastAsia="宋体"/>
        </w:rPr>
      </w:pPr>
      <w:r>
        <w:rPr>
          <w:rFonts w:eastAsia="宋体"/>
        </w:rPr>
        <w:t>5、在磋商过程中，磋商小组可以根据磋商文件和磋商情况实质性变动采购需求中的技术、服务要求以及合同草案条款，但不得变动磋商文件中的其他内容。实质性变动的内容，须经采购单位代表确认。</w:t>
      </w:r>
    </w:p>
    <w:p w14:paraId="0ECFA7AA">
      <w:pPr>
        <w:snapToGrid w:val="0"/>
        <w:spacing w:line="360" w:lineRule="auto"/>
        <w:ind w:firstLine="480" w:firstLineChars="200"/>
        <w:rPr>
          <w:rFonts w:eastAsia="宋体"/>
        </w:rPr>
      </w:pPr>
      <w:r>
        <w:rPr>
          <w:rFonts w:eastAsia="宋体"/>
        </w:rPr>
        <w:t>6、对磋商文件作出的实质性变动是磋商文件的有效组成部分，磋商小组应当及时以书面形式同时通知所有参加磋商的供应商。</w:t>
      </w:r>
    </w:p>
    <w:p w14:paraId="4F5FE412">
      <w:pPr>
        <w:snapToGrid w:val="0"/>
        <w:spacing w:line="360" w:lineRule="auto"/>
        <w:ind w:firstLine="480" w:firstLineChars="200"/>
        <w:rPr>
          <w:rFonts w:eastAsia="宋体"/>
        </w:rPr>
      </w:pPr>
      <w:r>
        <w:rPr>
          <w:rFonts w:eastAsia="宋体"/>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2CBD7309">
      <w:pPr>
        <w:snapToGrid w:val="0"/>
        <w:spacing w:line="360" w:lineRule="auto"/>
        <w:ind w:firstLine="480" w:firstLineChars="200"/>
        <w:rPr>
          <w:rFonts w:eastAsia="宋体"/>
        </w:rPr>
      </w:pPr>
      <w:r>
        <w:rPr>
          <w:rFonts w:eastAsia="宋体"/>
        </w:rPr>
        <w:t>8、经磋商确定最终采购需求和提交最后报价的供应商：磋商文件能够详细列明采购标的的技术、服务要求的，磋商结束后，磋商小组应当要求所有实质性响应的供应商在规定时间内提交最后报价。</w:t>
      </w:r>
    </w:p>
    <w:p w14:paraId="7AF2FAB4">
      <w:pPr>
        <w:snapToGrid w:val="0"/>
        <w:spacing w:line="360" w:lineRule="auto"/>
        <w:ind w:firstLine="480" w:firstLineChars="200"/>
        <w:rPr>
          <w:rFonts w:eastAsia="宋体"/>
        </w:rPr>
      </w:pPr>
      <w:r>
        <w:rPr>
          <w:rFonts w:eastAsia="宋体"/>
        </w:rPr>
        <w:t>9、除非在磋商中磋商小组对采购单位需求内容作了调整增加，或对采购内容</w:t>
      </w:r>
      <w:r>
        <w:rPr>
          <w:rFonts w:hint="eastAsia" w:eastAsia="宋体"/>
        </w:rPr>
        <w:t>做了实质性</w:t>
      </w:r>
      <w:r>
        <w:rPr>
          <w:rFonts w:eastAsia="宋体"/>
        </w:rPr>
        <w:t>变更，否则</w:t>
      </w:r>
      <w:r>
        <w:rPr>
          <w:rFonts w:eastAsia="宋体"/>
          <w:b/>
        </w:rPr>
        <w:t>采购单位不接受供应商高于自己前一轮的磋商报价</w:t>
      </w:r>
      <w:r>
        <w:rPr>
          <w:rFonts w:eastAsia="宋体"/>
        </w:rPr>
        <w:t>。</w:t>
      </w:r>
    </w:p>
    <w:p w14:paraId="5688D4CF">
      <w:pPr>
        <w:snapToGrid w:val="0"/>
        <w:spacing w:line="360" w:lineRule="auto"/>
        <w:ind w:firstLine="480" w:firstLineChars="200"/>
        <w:rPr>
          <w:rFonts w:eastAsia="宋体"/>
        </w:rPr>
      </w:pPr>
      <w:r>
        <w:rPr>
          <w:rFonts w:eastAsia="宋体"/>
        </w:rPr>
        <w:t>10、对于在磋商顺利开始后至最终报价前，根据磋商情况退出磋商的供应商，须以书面形式说明退出磋商的原因，经磋商小组同意可以退出磋商。</w:t>
      </w:r>
    </w:p>
    <w:p w14:paraId="5A58E822">
      <w:pPr>
        <w:snapToGrid w:val="0"/>
        <w:spacing w:line="360" w:lineRule="auto"/>
        <w:ind w:firstLine="480" w:firstLineChars="200"/>
        <w:rPr>
          <w:rFonts w:eastAsia="宋体"/>
        </w:rPr>
      </w:pPr>
      <w:r>
        <w:rPr>
          <w:rFonts w:eastAsia="宋体"/>
        </w:rPr>
        <w:t>11、在磋商中，磋商的任何一方不得透露与磋商有关的其他响应磋商的供应商的技术资料、价格及其他信息。</w:t>
      </w:r>
    </w:p>
    <w:p w14:paraId="1FCE3F83">
      <w:pPr>
        <w:snapToGrid w:val="0"/>
        <w:spacing w:line="360" w:lineRule="auto"/>
        <w:ind w:firstLine="480" w:firstLineChars="200"/>
        <w:rPr>
          <w:rFonts w:eastAsia="宋体"/>
        </w:rPr>
      </w:pPr>
      <w:r>
        <w:rPr>
          <w:rFonts w:eastAsia="宋体"/>
        </w:rPr>
        <w:t>12、凡两家或以上公司同一法定代表人或其中一家公司为另一家公司单一最大股东的，不能同时参与同一采购项目相同标段的磋商采购活动，一经发现，将视同串标处理。</w:t>
      </w:r>
    </w:p>
    <w:p w14:paraId="4667524A">
      <w:pPr>
        <w:snapToGrid w:val="0"/>
        <w:spacing w:line="360" w:lineRule="auto"/>
        <w:ind w:firstLine="480" w:firstLineChars="200"/>
        <w:rPr>
          <w:rFonts w:eastAsia="宋体"/>
        </w:rPr>
      </w:pPr>
      <w:r>
        <w:rPr>
          <w:rFonts w:eastAsia="宋体"/>
        </w:rPr>
        <w:t>13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04CCC896">
      <w:pPr>
        <w:snapToGrid w:val="0"/>
        <w:spacing w:line="360" w:lineRule="auto"/>
        <w:ind w:firstLine="482" w:firstLineChars="200"/>
        <w:rPr>
          <w:rFonts w:eastAsia="宋体"/>
          <w:b/>
          <w:bCs/>
        </w:rPr>
      </w:pPr>
      <w:r>
        <w:rPr>
          <w:rFonts w:eastAsia="宋体"/>
          <w:b/>
          <w:bCs/>
        </w:rPr>
        <w:t>三、评审步骤</w:t>
      </w:r>
    </w:p>
    <w:p w14:paraId="3F37E4F4">
      <w:pPr>
        <w:snapToGrid w:val="0"/>
        <w:spacing w:line="360" w:lineRule="auto"/>
        <w:ind w:firstLine="482" w:firstLineChars="200"/>
        <w:rPr>
          <w:rFonts w:eastAsia="宋体"/>
          <w:b/>
          <w:bCs/>
          <w:lang w:val="zh-CN"/>
        </w:rPr>
      </w:pPr>
      <w:r>
        <w:rPr>
          <w:rFonts w:eastAsia="宋体"/>
          <w:b/>
          <w:bCs/>
          <w:lang w:val="zh-CN"/>
        </w:rPr>
        <w:t>1、评审步骤规定：</w:t>
      </w:r>
    </w:p>
    <w:p w14:paraId="5E5742E6">
      <w:pPr>
        <w:snapToGrid w:val="0"/>
        <w:spacing w:line="360" w:lineRule="auto"/>
        <w:ind w:firstLine="482" w:firstLineChars="200"/>
        <w:rPr>
          <w:rFonts w:eastAsia="宋体"/>
          <w:b/>
          <w:bCs/>
          <w:lang w:val="zh-CN"/>
        </w:rPr>
      </w:pPr>
      <w:r>
        <w:rPr>
          <w:rFonts w:eastAsia="宋体"/>
          <w:b/>
          <w:bCs/>
          <w:lang w:val="zh-CN"/>
        </w:rPr>
        <w:t>本次资格审查采用资格后审，各投标供应商资格审查通过后方能进入技术标的开标。先开技术标，技术标打分结束后再开商务标。</w:t>
      </w:r>
    </w:p>
    <w:p w14:paraId="54AE5EB9">
      <w:pPr>
        <w:snapToGrid w:val="0"/>
        <w:spacing w:line="360" w:lineRule="auto"/>
        <w:ind w:firstLine="480" w:firstLineChars="200"/>
        <w:rPr>
          <w:rFonts w:eastAsia="宋体"/>
          <w:lang w:val="zh-CN"/>
        </w:rPr>
      </w:pPr>
      <w:r>
        <w:rPr>
          <w:rFonts w:eastAsia="宋体"/>
          <w:lang w:val="zh-CN"/>
        </w:rPr>
        <w:t>第一阶段：</w:t>
      </w:r>
      <w:r>
        <w:rPr>
          <w:rFonts w:eastAsia="宋体"/>
        </w:rPr>
        <w:t>磋商小组</w:t>
      </w:r>
      <w:r>
        <w:rPr>
          <w:rFonts w:eastAsia="宋体"/>
          <w:lang w:val="zh-CN"/>
        </w:rPr>
        <w:t>对每个供应商的资格进行审查。</w:t>
      </w:r>
    </w:p>
    <w:p w14:paraId="4074D1FF">
      <w:pPr>
        <w:snapToGrid w:val="0"/>
        <w:spacing w:line="360" w:lineRule="auto"/>
        <w:ind w:firstLine="480" w:firstLineChars="200"/>
        <w:rPr>
          <w:rFonts w:eastAsia="宋体"/>
          <w:lang w:val="zh-CN"/>
        </w:rPr>
      </w:pPr>
      <w:r>
        <w:rPr>
          <w:rFonts w:eastAsia="宋体"/>
          <w:lang w:val="zh-CN"/>
        </w:rPr>
        <w:t>第二阶段：</w:t>
      </w:r>
      <w:r>
        <w:rPr>
          <w:rFonts w:eastAsia="宋体"/>
        </w:rPr>
        <w:t>磋商小组</w:t>
      </w:r>
      <w:r>
        <w:rPr>
          <w:rFonts w:eastAsia="宋体"/>
          <w:lang w:val="zh-CN"/>
        </w:rPr>
        <w:t>对每个符合资格要求的供应商的技术标进行</w:t>
      </w:r>
      <w:r>
        <w:rPr>
          <w:rFonts w:eastAsia="宋体"/>
        </w:rPr>
        <w:t>评估</w:t>
      </w:r>
      <w:r>
        <w:rPr>
          <w:rFonts w:eastAsia="宋体"/>
          <w:lang w:val="zh-CN"/>
        </w:rPr>
        <w:t>。主要审查技术标提交的内容是否齐全，技术方案及项目实施是否完全满足采购文件的要求。</w:t>
      </w:r>
      <w:r>
        <w:rPr>
          <w:rFonts w:eastAsia="宋体"/>
        </w:rPr>
        <w:t>磋商小组严格按照磋商文件的要求、条件、评分标准，对供应商所提供货物或服务的先进性、可靠性、售后服务承诺、质量保证承诺等实质性响应内容进行比较。</w:t>
      </w:r>
    </w:p>
    <w:p w14:paraId="5CA907F7">
      <w:pPr>
        <w:snapToGrid w:val="0"/>
        <w:spacing w:line="360" w:lineRule="auto"/>
        <w:ind w:firstLine="480" w:firstLineChars="200"/>
        <w:rPr>
          <w:rFonts w:eastAsia="宋体"/>
          <w:lang w:val="zh-CN"/>
        </w:rPr>
      </w:pPr>
      <w:r>
        <w:rPr>
          <w:rFonts w:eastAsia="宋体"/>
          <w:lang w:val="zh-CN"/>
        </w:rPr>
        <w:t>第三阶段：以供应商价格标文件内的</w:t>
      </w:r>
      <w:r>
        <w:rPr>
          <w:rFonts w:eastAsia="宋体"/>
        </w:rPr>
        <w:t>竞争性磋商</w:t>
      </w:r>
      <w:r>
        <w:rPr>
          <w:rFonts w:eastAsia="宋体"/>
          <w:lang w:val="zh-CN"/>
        </w:rPr>
        <w:t>报价（即首次报价）为基础，</w:t>
      </w:r>
      <w:r>
        <w:rPr>
          <w:rFonts w:eastAsia="宋体"/>
        </w:rPr>
        <w:t>磋商小组与</w:t>
      </w:r>
      <w:r>
        <w:rPr>
          <w:rFonts w:eastAsia="宋体"/>
          <w:lang w:val="zh-CN"/>
        </w:rPr>
        <w:t>供应商单一分别进行</w:t>
      </w:r>
      <w:r>
        <w:rPr>
          <w:rFonts w:eastAsia="宋体"/>
        </w:rPr>
        <w:t>磋商</w:t>
      </w:r>
      <w:r>
        <w:rPr>
          <w:rFonts w:eastAsia="宋体"/>
          <w:lang w:val="zh-CN"/>
        </w:rPr>
        <w:t>：内容主要是对</w:t>
      </w:r>
      <w:r>
        <w:rPr>
          <w:rFonts w:eastAsia="宋体"/>
        </w:rPr>
        <w:t>竞争性磋商</w:t>
      </w:r>
      <w:r>
        <w:rPr>
          <w:rFonts w:eastAsia="宋体"/>
          <w:lang w:val="zh-CN"/>
        </w:rPr>
        <w:t>响应文件中的项目方案的澄清、修正、补充、确认以及价格调整等。</w:t>
      </w:r>
      <w:r>
        <w:rPr>
          <w:rFonts w:eastAsia="宋体"/>
        </w:rPr>
        <w:t>磋商明确各供应商符合并满足谈判文件要求，并能完全响应磋商内容后，要求其二次报价。如磋商内容导致竞争性磋商文件有实质性变动的，磋商小组应当以书面形式通知所有供应商。</w:t>
      </w:r>
    </w:p>
    <w:p w14:paraId="5BA370E3">
      <w:pPr>
        <w:snapToGrid w:val="0"/>
        <w:spacing w:line="360" w:lineRule="auto"/>
        <w:ind w:firstLine="480" w:firstLineChars="200"/>
        <w:rPr>
          <w:rFonts w:eastAsia="宋体"/>
          <w:lang w:val="zh-CN"/>
        </w:rPr>
      </w:pPr>
      <w:r>
        <w:rPr>
          <w:rFonts w:eastAsia="宋体"/>
          <w:lang w:val="zh-CN"/>
        </w:rPr>
        <w:t>第四阶段：单一分别</w:t>
      </w:r>
      <w:r>
        <w:rPr>
          <w:rFonts w:eastAsia="宋体"/>
        </w:rPr>
        <w:t>磋商</w:t>
      </w:r>
      <w:r>
        <w:rPr>
          <w:rFonts w:eastAsia="宋体"/>
          <w:lang w:val="zh-CN"/>
        </w:rPr>
        <w:t>结束后，</w:t>
      </w:r>
      <w:r>
        <w:rPr>
          <w:rFonts w:eastAsia="宋体"/>
        </w:rPr>
        <w:t>磋商小组</w:t>
      </w:r>
      <w:r>
        <w:rPr>
          <w:rFonts w:eastAsia="宋体"/>
          <w:lang w:val="zh-CN"/>
        </w:rPr>
        <w:t>告知所有供应商的项目二次报价，并要求所有作出实质性响应的有效供应商在规定的时间内，在</w:t>
      </w:r>
      <w:r>
        <w:rPr>
          <w:rFonts w:eastAsia="宋体"/>
        </w:rPr>
        <w:t>磋商</w:t>
      </w:r>
      <w:r>
        <w:rPr>
          <w:rFonts w:eastAsia="宋体"/>
          <w:lang w:val="zh-CN"/>
        </w:rPr>
        <w:t>现场集体给出最终报价，同时最终报价中可包括但不限于如最终澄清方案、有关优惠承诺等。</w:t>
      </w:r>
    </w:p>
    <w:p w14:paraId="282E8C5C">
      <w:pPr>
        <w:snapToGrid w:val="0"/>
        <w:spacing w:line="360" w:lineRule="auto"/>
        <w:ind w:firstLine="480" w:firstLineChars="200"/>
        <w:rPr>
          <w:rFonts w:eastAsia="宋体"/>
          <w:lang w:val="zh-CN"/>
        </w:rPr>
      </w:pPr>
      <w:r>
        <w:rPr>
          <w:rFonts w:eastAsia="宋体"/>
          <w:lang w:val="zh-CN"/>
        </w:rPr>
        <w:t>第五阶段：</w:t>
      </w:r>
      <w:r>
        <w:rPr>
          <w:rFonts w:eastAsia="宋体"/>
        </w:rPr>
        <w:t>磋商小组</w:t>
      </w:r>
      <w:r>
        <w:rPr>
          <w:rFonts w:eastAsia="宋体"/>
          <w:lang w:val="zh-CN"/>
        </w:rPr>
        <w:t>对供应商的最终报价进行评议和比较，在实质性响应</w:t>
      </w:r>
      <w:r>
        <w:rPr>
          <w:rFonts w:eastAsia="宋体"/>
        </w:rPr>
        <w:t>竞争性磋商</w:t>
      </w:r>
      <w:r>
        <w:rPr>
          <w:rFonts w:eastAsia="宋体"/>
          <w:lang w:val="zh-CN"/>
        </w:rPr>
        <w:t>文件，技术标和价格标部分都能满足</w:t>
      </w:r>
      <w:r>
        <w:rPr>
          <w:rFonts w:eastAsia="宋体"/>
        </w:rPr>
        <w:t>竞争性磋商</w:t>
      </w:r>
      <w:r>
        <w:rPr>
          <w:rFonts w:eastAsia="宋体"/>
          <w:lang w:val="zh-CN"/>
        </w:rPr>
        <w:t>文件的前提下，</w:t>
      </w:r>
      <w:r>
        <w:rPr>
          <w:rFonts w:eastAsia="宋体"/>
        </w:rPr>
        <w:t>磋商小组</w:t>
      </w:r>
      <w:r>
        <w:rPr>
          <w:rFonts w:eastAsia="宋体"/>
          <w:lang w:val="zh-CN"/>
        </w:rPr>
        <w:t>将校核后的各供应商的报价从低到高排序（</w:t>
      </w:r>
      <w:r>
        <w:rPr>
          <w:rFonts w:eastAsia="宋体"/>
        </w:rPr>
        <w:t>明显低于成本的，且供应商不能合理说明或者不能提供相关证明材料的报价除外）</w:t>
      </w:r>
      <w:r>
        <w:rPr>
          <w:rFonts w:eastAsia="宋体"/>
          <w:lang w:val="zh-CN"/>
        </w:rPr>
        <w:t>。</w:t>
      </w:r>
    </w:p>
    <w:p w14:paraId="1CCB5B5F">
      <w:pPr>
        <w:snapToGrid w:val="0"/>
        <w:spacing w:line="360" w:lineRule="auto"/>
        <w:ind w:firstLine="480" w:firstLineChars="200"/>
        <w:rPr>
          <w:rFonts w:eastAsia="宋体"/>
        </w:rPr>
      </w:pPr>
      <w:r>
        <w:rPr>
          <w:rFonts w:eastAsia="宋体"/>
          <w:lang w:val="zh-CN"/>
        </w:rPr>
        <w:t>2、在</w:t>
      </w:r>
      <w:r>
        <w:rPr>
          <w:rFonts w:eastAsia="宋体"/>
        </w:rPr>
        <w:t>磋商</w:t>
      </w:r>
      <w:r>
        <w:rPr>
          <w:rFonts w:eastAsia="宋体"/>
          <w:lang w:val="zh-CN"/>
        </w:rPr>
        <w:t>过程中，供应商提交的澄清文件和最终报价文件，由供应商法定代表人或被授权人签字盖章后生效，供应商受其约束。</w:t>
      </w:r>
    </w:p>
    <w:p w14:paraId="407D1CF6">
      <w:pPr>
        <w:snapToGrid w:val="0"/>
        <w:spacing w:line="360" w:lineRule="auto"/>
        <w:ind w:firstLine="482" w:firstLineChars="200"/>
        <w:outlineLvl w:val="1"/>
        <w:rPr>
          <w:rFonts w:eastAsia="宋体"/>
          <w:b/>
        </w:rPr>
      </w:pPr>
      <w:r>
        <w:rPr>
          <w:rFonts w:eastAsia="宋体"/>
          <w:b/>
        </w:rPr>
        <w:t>四、磋商评定结果的方法</w:t>
      </w:r>
    </w:p>
    <w:p w14:paraId="1ACCCDDB">
      <w:pPr>
        <w:snapToGrid w:val="0"/>
        <w:spacing w:line="360" w:lineRule="auto"/>
        <w:ind w:firstLine="480" w:firstLineChars="200"/>
        <w:rPr>
          <w:rFonts w:eastAsia="宋体"/>
        </w:rPr>
      </w:pPr>
      <w:r>
        <w:rPr>
          <w:rFonts w:eastAsia="宋体"/>
        </w:rPr>
        <w:t>1、</w:t>
      </w:r>
      <w:r>
        <w:rPr>
          <w:rFonts w:eastAsia="宋体"/>
          <w:b/>
          <w:u w:val="single"/>
        </w:rPr>
        <w:t>经磋商确定最终采购需求和提交最后报价的供应商后，</w:t>
      </w:r>
      <w:r>
        <w:rPr>
          <w:rFonts w:eastAsia="宋体"/>
        </w:rPr>
        <w:t>由磋商小组采用综合评分法</w:t>
      </w:r>
      <w:r>
        <w:rPr>
          <w:rFonts w:eastAsia="宋体"/>
          <w:b/>
          <w:u w:val="single"/>
        </w:rPr>
        <w:t>对提交最后报价的供应商的响应文件和最后报价</w:t>
      </w:r>
      <w:r>
        <w:rPr>
          <w:rFonts w:eastAsia="宋体"/>
        </w:rPr>
        <w:t>进行综合评分。</w:t>
      </w:r>
    </w:p>
    <w:p w14:paraId="3E01FEC9">
      <w:pPr>
        <w:snapToGrid w:val="0"/>
        <w:spacing w:line="360" w:lineRule="auto"/>
        <w:ind w:firstLine="480" w:firstLineChars="200"/>
        <w:rPr>
          <w:rFonts w:eastAsia="宋体"/>
        </w:rPr>
      </w:pPr>
      <w:r>
        <w:rPr>
          <w:rFonts w:eastAsia="宋体"/>
        </w:rPr>
        <w:t>2、评审时，磋商小组各成员应当独立对每个有效响应的文件进行评价、打分，然后汇总每个供应商每项评分因素的得分（计算结果均四舍五入保留两位小数）。</w:t>
      </w:r>
    </w:p>
    <w:p w14:paraId="6D982FA5">
      <w:pPr>
        <w:snapToGrid w:val="0"/>
        <w:spacing w:line="360" w:lineRule="auto"/>
        <w:ind w:firstLine="480" w:firstLineChars="200"/>
        <w:rPr>
          <w:rFonts w:eastAsia="宋体"/>
        </w:rPr>
      </w:pPr>
      <w:r>
        <w:rPr>
          <w:rFonts w:eastAsia="宋体"/>
        </w:rPr>
        <w:t>3、本次项目磋商的技术</w:t>
      </w:r>
      <w:r>
        <w:rPr>
          <w:rFonts w:eastAsia="宋体"/>
          <w:kern w:val="0"/>
        </w:rPr>
        <w:t>响应文件</w:t>
      </w:r>
      <w:r>
        <w:rPr>
          <w:rFonts w:eastAsia="宋体"/>
        </w:rPr>
        <w:t>和</w:t>
      </w:r>
      <w:r>
        <w:rPr>
          <w:rFonts w:hint="eastAsia" w:eastAsia="宋体"/>
        </w:rPr>
        <w:t>报价响应文件</w:t>
      </w:r>
      <w:r>
        <w:rPr>
          <w:rFonts w:eastAsia="宋体"/>
        </w:rPr>
        <w:t>评审总分值为100分。两部分评审因素比重如下：</w:t>
      </w:r>
    </w:p>
    <w:p w14:paraId="0268C9DA">
      <w:pPr>
        <w:snapToGrid w:val="0"/>
        <w:spacing w:line="360" w:lineRule="auto"/>
        <w:ind w:firstLine="480" w:firstLineChars="200"/>
        <w:rPr>
          <w:rFonts w:eastAsia="宋体"/>
        </w:rPr>
      </w:pPr>
      <w:r>
        <w:rPr>
          <w:rFonts w:eastAsia="宋体"/>
        </w:rPr>
        <w:t>技术</w:t>
      </w:r>
      <w:r>
        <w:rPr>
          <w:rFonts w:eastAsia="宋体"/>
          <w:kern w:val="0"/>
        </w:rPr>
        <w:t>响应文件</w:t>
      </w:r>
      <w:r>
        <w:rPr>
          <w:rFonts w:eastAsia="宋体"/>
        </w:rPr>
        <w:t>分值占总分值的比重为</w:t>
      </w:r>
      <w:r>
        <w:rPr>
          <w:rFonts w:hint="eastAsia" w:eastAsia="宋体"/>
          <w:b/>
          <w:u w:val="single"/>
        </w:rPr>
        <w:t>90</w:t>
      </w:r>
      <w:r>
        <w:rPr>
          <w:rFonts w:eastAsia="宋体"/>
          <w:b/>
          <w:u w:val="single"/>
        </w:rPr>
        <w:t>%（权重）</w:t>
      </w:r>
      <w:r>
        <w:rPr>
          <w:rFonts w:eastAsia="宋体"/>
        </w:rPr>
        <w:t>（四舍五入保留两位小数）；</w:t>
      </w:r>
    </w:p>
    <w:p w14:paraId="09145BE2">
      <w:pPr>
        <w:snapToGrid w:val="0"/>
        <w:spacing w:line="360" w:lineRule="auto"/>
        <w:ind w:firstLine="480" w:firstLineChars="200"/>
        <w:rPr>
          <w:rFonts w:eastAsia="宋体"/>
        </w:rPr>
      </w:pPr>
      <w:r>
        <w:rPr>
          <w:rFonts w:hint="eastAsia" w:eastAsia="宋体"/>
        </w:rPr>
        <w:t>报价响应文件</w:t>
      </w:r>
      <w:r>
        <w:rPr>
          <w:rFonts w:eastAsia="宋体"/>
        </w:rPr>
        <w:t>分值占总分值的比重为</w:t>
      </w:r>
      <w:r>
        <w:rPr>
          <w:rFonts w:hint="eastAsia" w:eastAsia="宋体"/>
          <w:b/>
          <w:u w:val="single"/>
        </w:rPr>
        <w:t>10</w:t>
      </w:r>
      <w:r>
        <w:rPr>
          <w:rFonts w:eastAsia="宋体"/>
          <w:b/>
          <w:u w:val="single"/>
        </w:rPr>
        <w:t>%（权重）</w:t>
      </w:r>
      <w:r>
        <w:rPr>
          <w:rFonts w:eastAsia="宋体"/>
        </w:rPr>
        <w:t>（四舍五入保留两位小数）。</w:t>
      </w:r>
    </w:p>
    <w:p w14:paraId="6D159C9B">
      <w:pPr>
        <w:snapToGrid w:val="0"/>
        <w:spacing w:line="360" w:lineRule="auto"/>
        <w:ind w:firstLine="480" w:firstLineChars="200"/>
        <w:rPr>
          <w:rFonts w:eastAsia="宋体"/>
        </w:rPr>
      </w:pPr>
      <w:r>
        <w:rPr>
          <w:rFonts w:eastAsia="宋体"/>
        </w:rPr>
        <w:t>4、技术</w:t>
      </w:r>
      <w:r>
        <w:rPr>
          <w:rFonts w:eastAsia="宋体"/>
          <w:kern w:val="0"/>
        </w:rPr>
        <w:t>响应文件分值为所有评委打分的算术平均值，计算</w:t>
      </w:r>
      <w:r>
        <w:rPr>
          <w:rFonts w:eastAsia="宋体"/>
        </w:rPr>
        <w:t>结果均四舍五入保留两位小数。</w:t>
      </w:r>
    </w:p>
    <w:p w14:paraId="7125DD48">
      <w:pPr>
        <w:snapToGrid w:val="0"/>
        <w:spacing w:line="360" w:lineRule="auto"/>
        <w:ind w:firstLine="480" w:firstLineChars="200"/>
        <w:rPr>
          <w:rFonts w:eastAsia="宋体"/>
        </w:rPr>
      </w:pPr>
      <w:r>
        <w:rPr>
          <w:rFonts w:eastAsia="宋体"/>
        </w:rPr>
        <w:t>5、</w:t>
      </w:r>
      <w:r>
        <w:rPr>
          <w:rFonts w:hint="eastAsia" w:eastAsia="宋体"/>
        </w:rPr>
        <w:t>报价响应文件</w:t>
      </w:r>
      <w:r>
        <w:rPr>
          <w:rFonts w:eastAsia="宋体"/>
        </w:rPr>
        <w:t>分值统一采用低价优先法计算直接取得，与技术</w:t>
      </w:r>
      <w:r>
        <w:rPr>
          <w:rFonts w:eastAsia="宋体"/>
          <w:kern w:val="0"/>
        </w:rPr>
        <w:t>响应文件</w:t>
      </w:r>
      <w:r>
        <w:rPr>
          <w:rFonts w:eastAsia="宋体"/>
        </w:rPr>
        <w:t>分值相加为供应商的综合得分（四舍五入</w:t>
      </w:r>
      <w:r>
        <w:rPr>
          <w:rFonts w:hint="eastAsia" w:eastAsia="宋体"/>
        </w:rPr>
        <w:t>后</w:t>
      </w:r>
      <w:r>
        <w:rPr>
          <w:rFonts w:eastAsia="宋体"/>
        </w:rPr>
        <w:t>保留两位小数）。</w:t>
      </w:r>
    </w:p>
    <w:p w14:paraId="54A7154E">
      <w:pPr>
        <w:snapToGrid w:val="0"/>
        <w:spacing w:line="360" w:lineRule="auto"/>
        <w:ind w:firstLine="480" w:firstLineChars="200"/>
        <w:rPr>
          <w:rFonts w:eastAsia="宋体"/>
        </w:rPr>
      </w:pPr>
      <w:r>
        <w:rPr>
          <w:rFonts w:eastAsia="宋体"/>
        </w:rPr>
        <w:t>6、综合得分最高的供应商推荐为项目预成交供应商并出具评审磋商报告。</w:t>
      </w:r>
    </w:p>
    <w:p w14:paraId="28E93ECF">
      <w:pPr>
        <w:snapToGrid w:val="0"/>
        <w:spacing w:line="360" w:lineRule="auto"/>
        <w:ind w:firstLine="480" w:firstLineChars="200"/>
        <w:rPr>
          <w:rFonts w:eastAsia="宋体"/>
        </w:rPr>
      </w:pPr>
      <w:r>
        <w:rPr>
          <w:rFonts w:eastAsia="宋体"/>
        </w:rPr>
        <w:t>7、确定成交候选人的特殊情况处理：</w:t>
      </w:r>
    </w:p>
    <w:p w14:paraId="171B4D24">
      <w:pPr>
        <w:snapToGrid w:val="0"/>
        <w:spacing w:line="360" w:lineRule="auto"/>
        <w:ind w:firstLine="480" w:firstLineChars="200"/>
        <w:rPr>
          <w:rFonts w:eastAsia="宋体"/>
        </w:rPr>
      </w:pPr>
      <w:r>
        <w:rPr>
          <w:rFonts w:eastAsia="宋体"/>
        </w:rPr>
        <w:t>（1）若总分相同，则按最终报价得分高者优先中标。</w:t>
      </w:r>
    </w:p>
    <w:p w14:paraId="0D6B0B90">
      <w:pPr>
        <w:snapToGrid w:val="0"/>
        <w:spacing w:line="360" w:lineRule="auto"/>
        <w:ind w:firstLine="480" w:firstLineChars="200"/>
        <w:outlineLvl w:val="1"/>
        <w:rPr>
          <w:rFonts w:eastAsia="宋体"/>
          <w:dstrike/>
        </w:rPr>
      </w:pPr>
      <w:r>
        <w:rPr>
          <w:rFonts w:eastAsia="宋体"/>
        </w:rPr>
        <w:t>（2）若总分且最终报价得分相同，则采取现场抽签的方式确定（由投标供应商按递交响应文件签到顺序号抽签确定）。</w:t>
      </w:r>
    </w:p>
    <w:p w14:paraId="5EA7509A">
      <w:pPr>
        <w:snapToGrid w:val="0"/>
        <w:spacing w:line="360" w:lineRule="auto"/>
        <w:ind w:firstLine="480" w:firstLineChars="200"/>
        <w:rPr>
          <w:rFonts w:eastAsia="宋体"/>
        </w:rPr>
      </w:pPr>
      <w:r>
        <w:rPr>
          <w:rFonts w:eastAsia="宋体"/>
        </w:rPr>
        <w:t>8、磋商评审时，评委对评审的细则若有争议，由磋商小组集体讨论确定，并对未尽情况有最终解释权。</w:t>
      </w:r>
    </w:p>
    <w:p w14:paraId="53CC141D">
      <w:pPr>
        <w:snapToGrid w:val="0"/>
        <w:spacing w:line="360" w:lineRule="auto"/>
        <w:ind w:firstLine="480" w:firstLineChars="200"/>
        <w:rPr>
          <w:rFonts w:eastAsia="宋体"/>
          <w:bCs/>
        </w:rPr>
      </w:pPr>
      <w:r>
        <w:rPr>
          <w:rFonts w:eastAsia="宋体"/>
          <w:bCs/>
        </w:rPr>
        <w:t>9、对落标的供应商不做落标原因的解释。</w:t>
      </w:r>
    </w:p>
    <w:p w14:paraId="572C7327">
      <w:pPr>
        <w:snapToGrid w:val="0"/>
        <w:spacing w:line="360" w:lineRule="auto"/>
        <w:ind w:firstLine="482" w:firstLineChars="200"/>
        <w:outlineLvl w:val="1"/>
        <w:rPr>
          <w:rFonts w:eastAsia="宋体"/>
          <w:b/>
          <w:bCs/>
        </w:rPr>
      </w:pPr>
      <w:r>
        <w:rPr>
          <w:rFonts w:eastAsia="宋体"/>
          <w:b/>
        </w:rPr>
        <w:t>五、综合评分评审标准</w:t>
      </w:r>
    </w:p>
    <w:p w14:paraId="5F4A781B">
      <w:pPr>
        <w:snapToGrid w:val="0"/>
        <w:spacing w:line="360" w:lineRule="auto"/>
        <w:ind w:firstLine="361" w:firstLineChars="150"/>
        <w:outlineLvl w:val="1"/>
        <w:rPr>
          <w:rFonts w:hint="eastAsia" w:ascii="宋体" w:hAnsi="宋体" w:eastAsia="宋体" w:cs="宋体"/>
          <w:b/>
          <w:bCs/>
        </w:rPr>
      </w:pPr>
      <w:r>
        <w:rPr>
          <w:rFonts w:eastAsia="宋体"/>
          <w:b/>
          <w:bCs/>
        </w:rPr>
        <w:t>（一）技术标评分：（</w:t>
      </w:r>
      <w:r>
        <w:rPr>
          <w:rFonts w:hint="eastAsia" w:eastAsia="宋体"/>
          <w:b/>
          <w:bCs/>
        </w:rPr>
        <w:t>90</w:t>
      </w:r>
      <w:r>
        <w:rPr>
          <w:rFonts w:eastAsia="宋体"/>
          <w:b/>
          <w:bCs/>
        </w:rPr>
        <w:t>分）</w:t>
      </w:r>
      <w:r>
        <w:rPr>
          <w:rFonts w:hint="eastAsia" w:ascii="宋体" w:hAnsi="宋体" w:eastAsia="宋体" w:cs="宋体"/>
          <w:b/>
          <w:bCs/>
          <w:color w:val="0000FF"/>
          <w:lang w:eastAsia="zh-CN"/>
        </w:rPr>
        <w:t>（</w:t>
      </w:r>
      <w:r>
        <w:rPr>
          <w:rFonts w:hint="eastAsia" w:ascii="宋体" w:hAnsi="宋体" w:eastAsia="宋体" w:cs="宋体"/>
          <w:b/>
          <w:bCs/>
          <w:color w:val="0000FF"/>
          <w:sz w:val="24"/>
          <w:szCs w:val="24"/>
        </w:rPr>
        <w:t>如为联合体投标，</w:t>
      </w:r>
      <w:r>
        <w:rPr>
          <w:rFonts w:hint="eastAsia" w:ascii="宋体" w:hAnsi="宋体" w:eastAsia="宋体" w:cs="宋体"/>
          <w:b/>
          <w:bCs/>
          <w:color w:val="0000FF"/>
          <w:sz w:val="24"/>
          <w:szCs w:val="24"/>
          <w:lang w:eastAsia="zh-CN"/>
        </w:rPr>
        <w:t>以下</w:t>
      </w:r>
      <w:r>
        <w:rPr>
          <w:rFonts w:hint="eastAsia" w:ascii="宋体" w:hAnsi="宋体" w:eastAsia="宋体" w:cs="宋体"/>
          <w:b/>
          <w:bCs/>
          <w:color w:val="0000FF"/>
          <w:sz w:val="24"/>
          <w:szCs w:val="24"/>
        </w:rPr>
        <w:t>文件由联合体牵头人提供。</w:t>
      </w:r>
      <w:r>
        <w:rPr>
          <w:rFonts w:hint="eastAsia" w:ascii="宋体" w:hAnsi="宋体" w:eastAsia="宋体" w:cs="宋体"/>
          <w:b/>
          <w:bCs/>
          <w:color w:val="0000FF"/>
          <w:lang w:eastAsia="zh-CN"/>
        </w:rPr>
        <w:t>）</w:t>
      </w:r>
    </w:p>
    <w:tbl>
      <w:tblPr>
        <w:tblStyle w:val="50"/>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662"/>
        <w:gridCol w:w="7303"/>
      </w:tblGrid>
      <w:tr w14:paraId="6486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blHeader/>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46EE94F3">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序号</w:t>
            </w:r>
          </w:p>
        </w:tc>
        <w:tc>
          <w:tcPr>
            <w:tcW w:w="1662" w:type="dxa"/>
            <w:tcBorders>
              <w:top w:val="single" w:color="000000" w:sz="4" w:space="0"/>
              <w:left w:val="single" w:color="000000" w:sz="4" w:space="0"/>
              <w:bottom w:val="single" w:color="000000" w:sz="4" w:space="0"/>
              <w:right w:val="single" w:color="000000" w:sz="4" w:space="0"/>
            </w:tcBorders>
            <w:vAlign w:val="center"/>
          </w:tcPr>
          <w:p w14:paraId="49D512C2">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评分项</w:t>
            </w:r>
          </w:p>
        </w:tc>
        <w:tc>
          <w:tcPr>
            <w:tcW w:w="7303" w:type="dxa"/>
            <w:tcBorders>
              <w:top w:val="single" w:color="000000" w:sz="4" w:space="0"/>
              <w:left w:val="single" w:color="000000" w:sz="4" w:space="0"/>
              <w:bottom w:val="single" w:color="000000" w:sz="4" w:space="0"/>
              <w:right w:val="single" w:color="000000" w:sz="4" w:space="0"/>
            </w:tcBorders>
            <w:vAlign w:val="center"/>
          </w:tcPr>
          <w:p w14:paraId="0E3D6636">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eastAsia="宋体"/>
                <w:b/>
                <w:bCs/>
                <w:color w:val="000000"/>
              </w:rPr>
              <w:t>评分标准</w:t>
            </w:r>
          </w:p>
        </w:tc>
      </w:tr>
      <w:tr w14:paraId="293A8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9711" w:type="dxa"/>
            <w:gridSpan w:val="3"/>
            <w:tcBorders>
              <w:top w:val="single" w:color="000000" w:sz="4" w:space="0"/>
              <w:left w:val="single" w:color="000000" w:sz="4" w:space="0"/>
              <w:bottom w:val="single" w:color="000000" w:sz="4" w:space="0"/>
              <w:right w:val="single" w:color="000000" w:sz="4" w:space="0"/>
            </w:tcBorders>
            <w:vAlign w:val="center"/>
          </w:tcPr>
          <w:p w14:paraId="48B37FCC">
            <w:pPr>
              <w:keepNext w:val="0"/>
              <w:keepLines w:val="0"/>
              <w:pageBreakBefore w:val="0"/>
              <w:kinsoku/>
              <w:wordWrap/>
              <w:overflowPunct/>
              <w:topLinePunct w:val="0"/>
              <w:autoSpaceDE/>
              <w:autoSpaceDN/>
              <w:bidi w:val="0"/>
              <w:spacing w:line="380" w:lineRule="exact"/>
              <w:textAlignment w:val="auto"/>
              <w:rPr>
                <w:rFonts w:eastAsia="宋体"/>
                <w:color w:val="000000"/>
              </w:rPr>
            </w:pPr>
            <w:r>
              <w:rPr>
                <w:rFonts w:eastAsia="宋体"/>
                <w:b/>
                <w:bCs/>
                <w:color w:val="000000"/>
              </w:rPr>
              <w:t>资质</w:t>
            </w:r>
            <w:r>
              <w:rPr>
                <w:rFonts w:hint="eastAsia" w:eastAsia="宋体"/>
                <w:b/>
                <w:bCs/>
                <w:color w:val="000000"/>
              </w:rPr>
              <w:t>经验</w:t>
            </w:r>
          </w:p>
        </w:tc>
      </w:tr>
      <w:tr w14:paraId="259D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22BC50FB">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1</w:t>
            </w:r>
          </w:p>
        </w:tc>
        <w:tc>
          <w:tcPr>
            <w:tcW w:w="1662" w:type="dxa"/>
            <w:tcBorders>
              <w:top w:val="single" w:color="000000" w:sz="4" w:space="0"/>
              <w:left w:val="single" w:color="000000" w:sz="4" w:space="0"/>
              <w:bottom w:val="single" w:color="000000" w:sz="4" w:space="0"/>
              <w:right w:val="single" w:color="000000" w:sz="4" w:space="0"/>
            </w:tcBorders>
            <w:vAlign w:val="center"/>
          </w:tcPr>
          <w:p w14:paraId="51BFCB04">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公司</w:t>
            </w:r>
            <w:r>
              <w:rPr>
                <w:rFonts w:eastAsia="宋体"/>
                <w:b/>
                <w:bCs/>
                <w:color w:val="000000"/>
              </w:rPr>
              <w:t>资质</w:t>
            </w:r>
          </w:p>
          <w:p w14:paraId="2D7B7797">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eastAsia="宋体"/>
                <w:b/>
                <w:bCs/>
                <w:color w:val="000000"/>
              </w:rPr>
              <w:t>（</w:t>
            </w:r>
            <w:r>
              <w:rPr>
                <w:rFonts w:hint="eastAsia" w:eastAsia="宋体"/>
                <w:b/>
                <w:bCs/>
                <w:color w:val="000000"/>
              </w:rPr>
              <w:t>5</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084CDFC0">
            <w:pPr>
              <w:keepNext w:val="0"/>
              <w:keepLines w:val="0"/>
              <w:pageBreakBefore w:val="0"/>
              <w:kinsoku/>
              <w:wordWrap/>
              <w:overflowPunct/>
              <w:topLinePunct w:val="0"/>
              <w:autoSpaceDE/>
              <w:autoSpaceDN/>
              <w:bidi w:val="0"/>
              <w:spacing w:line="380" w:lineRule="exact"/>
              <w:textAlignment w:val="auto"/>
              <w:rPr>
                <w:rFonts w:eastAsia="宋体"/>
                <w:spacing w:val="-8"/>
              </w:rPr>
            </w:pPr>
            <w:r>
              <w:rPr>
                <w:rFonts w:hint="eastAsia" w:eastAsia="宋体"/>
                <w:spacing w:val="-8"/>
              </w:rPr>
              <w:t>1、供应商</w:t>
            </w:r>
            <w:r>
              <w:rPr>
                <w:rFonts w:eastAsia="宋体"/>
                <w:spacing w:val="-8"/>
              </w:rPr>
              <w:t>具有质量管理体系认证证书、信息安全管理体系认证证书、信息技术服务管理体系认证证书，</w:t>
            </w:r>
            <w:r>
              <w:rPr>
                <w:rFonts w:eastAsia="宋体"/>
                <w:color w:val="000000"/>
              </w:rPr>
              <w:t>每提供一项证书得</w:t>
            </w:r>
            <w:r>
              <w:rPr>
                <w:rFonts w:hint="eastAsia" w:eastAsia="宋体"/>
                <w:color w:val="000000"/>
              </w:rPr>
              <w:t>1</w:t>
            </w:r>
            <w:r>
              <w:rPr>
                <w:rFonts w:eastAsia="宋体"/>
                <w:color w:val="000000"/>
              </w:rPr>
              <w:t>分，</w:t>
            </w:r>
            <w:r>
              <w:rPr>
                <w:rFonts w:hint="eastAsia" w:eastAsia="宋体"/>
                <w:color w:val="000000"/>
              </w:rPr>
              <w:t>最多得3</w:t>
            </w:r>
            <w:r>
              <w:rPr>
                <w:rFonts w:eastAsia="宋体"/>
                <w:color w:val="000000"/>
              </w:rPr>
              <w:t>分。</w:t>
            </w:r>
            <w:r>
              <w:rPr>
                <w:rFonts w:eastAsia="宋体"/>
                <w:spacing w:val="-8"/>
              </w:rPr>
              <w:t>未提供不得分。</w:t>
            </w:r>
          </w:p>
          <w:p w14:paraId="74A79D7D">
            <w:pPr>
              <w:keepNext w:val="0"/>
              <w:keepLines w:val="0"/>
              <w:pageBreakBefore w:val="0"/>
              <w:kinsoku/>
              <w:wordWrap/>
              <w:overflowPunct/>
              <w:topLinePunct w:val="0"/>
              <w:autoSpaceDE/>
              <w:autoSpaceDN/>
              <w:bidi w:val="0"/>
              <w:spacing w:line="380" w:lineRule="exact"/>
              <w:textAlignment w:val="auto"/>
              <w:rPr>
                <w:rFonts w:eastAsia="宋体"/>
                <w:color w:val="000000"/>
              </w:rPr>
            </w:pPr>
            <w:r>
              <w:rPr>
                <w:rFonts w:hint="eastAsia" w:eastAsia="宋体"/>
                <w:color w:val="000000"/>
              </w:rPr>
              <w:t>2、</w:t>
            </w:r>
            <w:r>
              <w:rPr>
                <w:rFonts w:hint="eastAsia" w:eastAsia="宋体"/>
                <w:spacing w:val="-8"/>
              </w:rPr>
              <w:t>供应商</w:t>
            </w:r>
            <w:r>
              <w:rPr>
                <w:rFonts w:eastAsia="宋体"/>
                <w:spacing w:val="-8"/>
              </w:rPr>
              <w:t>具有CMMI</w:t>
            </w:r>
            <w:r>
              <w:rPr>
                <w:rFonts w:hint="eastAsia" w:eastAsia="宋体"/>
                <w:spacing w:val="-8"/>
              </w:rPr>
              <w:t xml:space="preserve"> 3</w:t>
            </w:r>
            <w:r>
              <w:rPr>
                <w:rFonts w:eastAsia="宋体"/>
                <w:spacing w:val="-8"/>
              </w:rPr>
              <w:t>级及以上证书，得2分。未提供不得分</w:t>
            </w:r>
            <w:r>
              <w:rPr>
                <w:rFonts w:hint="eastAsia" w:eastAsia="宋体"/>
                <w:spacing w:val="-8"/>
              </w:rPr>
              <w:t>。</w:t>
            </w:r>
          </w:p>
          <w:p w14:paraId="5D51C91B">
            <w:pPr>
              <w:keepNext w:val="0"/>
              <w:keepLines w:val="0"/>
              <w:pageBreakBefore w:val="0"/>
              <w:kinsoku/>
              <w:wordWrap/>
              <w:overflowPunct/>
              <w:topLinePunct w:val="0"/>
              <w:autoSpaceDE/>
              <w:autoSpaceDN/>
              <w:bidi w:val="0"/>
              <w:spacing w:line="380" w:lineRule="exact"/>
              <w:textAlignment w:val="auto"/>
              <w:rPr>
                <w:rFonts w:eastAsia="宋体"/>
                <w:color w:val="000000"/>
              </w:rPr>
            </w:pPr>
            <w:r>
              <w:rPr>
                <w:rFonts w:eastAsia="宋体"/>
                <w:color w:val="000000"/>
              </w:rPr>
              <w:t>注：以上证书须提供</w:t>
            </w:r>
            <w:r>
              <w:rPr>
                <w:rFonts w:eastAsia="宋体"/>
                <w:spacing w:val="-8"/>
              </w:rPr>
              <w:t>有效期内的证书复印件</w:t>
            </w:r>
            <w:r>
              <w:rPr>
                <w:rFonts w:hint="eastAsia" w:eastAsia="宋体"/>
                <w:spacing w:val="-8"/>
              </w:rPr>
              <w:t>并</w:t>
            </w:r>
            <w:r>
              <w:rPr>
                <w:rFonts w:eastAsia="宋体"/>
                <w:spacing w:val="-8"/>
              </w:rPr>
              <w:t>加盖投标人公章</w:t>
            </w:r>
          </w:p>
        </w:tc>
      </w:tr>
      <w:tr w14:paraId="2928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3D68675">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2</w:t>
            </w:r>
          </w:p>
        </w:tc>
        <w:tc>
          <w:tcPr>
            <w:tcW w:w="1662" w:type="dxa"/>
            <w:tcBorders>
              <w:top w:val="single" w:color="000000" w:sz="4" w:space="0"/>
              <w:left w:val="single" w:color="000000" w:sz="4" w:space="0"/>
              <w:bottom w:val="single" w:color="000000" w:sz="4" w:space="0"/>
              <w:right w:val="single" w:color="000000" w:sz="4" w:space="0"/>
            </w:tcBorders>
            <w:vAlign w:val="center"/>
          </w:tcPr>
          <w:p w14:paraId="27F0F0BA">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b/>
                <w:bCs/>
                <w:color w:val="000000"/>
              </w:rPr>
              <w:t>企业</w:t>
            </w:r>
            <w:r>
              <w:rPr>
                <w:rFonts w:eastAsia="宋体"/>
                <w:b/>
                <w:bCs/>
                <w:color w:val="000000"/>
              </w:rPr>
              <w:t>综合实力（</w:t>
            </w:r>
            <w:r>
              <w:rPr>
                <w:rFonts w:hint="eastAsia" w:eastAsia="宋体"/>
                <w:b/>
                <w:bCs/>
                <w:color w:val="000000"/>
                <w:lang w:val="en-US" w:eastAsia="zh-CN"/>
              </w:rPr>
              <w:t>6</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439308D3">
            <w:pPr>
              <w:keepNext w:val="0"/>
              <w:keepLines w:val="0"/>
              <w:pageBreakBefore w:val="0"/>
              <w:kinsoku/>
              <w:wordWrap/>
              <w:overflowPunct/>
              <w:topLinePunct w:val="0"/>
              <w:autoSpaceDE/>
              <w:autoSpaceDN/>
              <w:bidi w:val="0"/>
              <w:adjustRightInd/>
              <w:snapToGrid/>
              <w:spacing w:line="380" w:lineRule="exact"/>
              <w:ind w:firstLine="448" w:firstLineChars="200"/>
              <w:jc w:val="left"/>
              <w:textAlignment w:val="auto"/>
              <w:rPr>
                <w:rFonts w:eastAsia="宋体"/>
                <w:spacing w:val="-8"/>
              </w:rPr>
            </w:pPr>
            <w:r>
              <w:rPr>
                <w:rFonts w:eastAsia="宋体"/>
                <w:spacing w:val="-8"/>
              </w:rPr>
              <w:t>根据供应商对水利水务信息化项目服务工作的熟悉程度以及相关经验、声誉和用户评价以及综合服务实力进行评价。</w:t>
            </w:r>
          </w:p>
          <w:p w14:paraId="30E7379D">
            <w:pPr>
              <w:keepNext w:val="0"/>
              <w:keepLines w:val="0"/>
              <w:pageBreakBefore w:val="0"/>
              <w:kinsoku/>
              <w:wordWrap/>
              <w:overflowPunct/>
              <w:topLinePunct w:val="0"/>
              <w:autoSpaceDE/>
              <w:autoSpaceDN/>
              <w:bidi w:val="0"/>
              <w:adjustRightInd/>
              <w:snapToGrid/>
              <w:spacing w:line="380" w:lineRule="exact"/>
              <w:ind w:firstLine="448" w:firstLineChars="200"/>
              <w:jc w:val="left"/>
              <w:textAlignment w:val="auto"/>
              <w:rPr>
                <w:rFonts w:hint="default" w:eastAsia="宋体"/>
                <w:spacing w:val="-8"/>
                <w:lang w:val="en-US" w:eastAsia="zh-CN"/>
              </w:rPr>
            </w:pPr>
            <w:r>
              <w:rPr>
                <w:rFonts w:eastAsia="宋体"/>
                <w:spacing w:val="-8"/>
              </w:rPr>
              <w:t>需提供具有水利水务行业应用方面（如河湖长制、防汛、水利工程等）项目经验并取得用户好评材料</w:t>
            </w:r>
            <w:r>
              <w:rPr>
                <w:rFonts w:hint="eastAsia" w:eastAsia="宋体"/>
                <w:spacing w:val="-8"/>
              </w:rPr>
              <w:t>（</w:t>
            </w:r>
            <w:r>
              <w:rPr>
                <w:rFonts w:eastAsia="宋体"/>
                <w:spacing w:val="-8"/>
              </w:rPr>
              <w:t>提供相应服务单位盖具公章的用户证明材料）</w:t>
            </w:r>
            <w:r>
              <w:rPr>
                <w:rFonts w:hint="eastAsia" w:eastAsia="宋体"/>
                <w:spacing w:val="-8"/>
              </w:rPr>
              <w:t>，每提供1份材料得2分，最多得</w:t>
            </w:r>
            <w:r>
              <w:rPr>
                <w:rFonts w:hint="default" w:eastAsia="宋体"/>
                <w:spacing w:val="-8"/>
                <w:lang w:val="en-US"/>
              </w:rPr>
              <w:t>6</w:t>
            </w:r>
            <w:r>
              <w:rPr>
                <w:rFonts w:hint="eastAsia" w:eastAsia="宋体"/>
                <w:spacing w:val="-8"/>
              </w:rPr>
              <w:t>分。未提供不得分。</w:t>
            </w:r>
          </w:p>
        </w:tc>
      </w:tr>
      <w:tr w14:paraId="11EE1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CEA9F27">
            <w:pPr>
              <w:keepNext w:val="0"/>
              <w:keepLines w:val="0"/>
              <w:pageBreakBefore w:val="0"/>
              <w:widowControl/>
              <w:kinsoku/>
              <w:wordWrap/>
              <w:overflowPunct/>
              <w:topLinePunct w:val="0"/>
              <w:autoSpaceDE/>
              <w:autoSpaceDN/>
              <w:bidi w:val="0"/>
              <w:spacing w:line="380" w:lineRule="exact"/>
              <w:jc w:val="center"/>
              <w:textAlignment w:val="auto"/>
              <w:rPr>
                <w:rFonts w:eastAsia="宋体"/>
                <w:bCs/>
                <w:color w:val="000000"/>
              </w:rPr>
            </w:pPr>
            <w:r>
              <w:rPr>
                <w:rFonts w:hint="eastAsia" w:eastAsia="宋体"/>
                <w:bCs/>
                <w:color w:val="000000"/>
              </w:rPr>
              <w:t>3</w:t>
            </w:r>
          </w:p>
        </w:tc>
        <w:tc>
          <w:tcPr>
            <w:tcW w:w="1662" w:type="dxa"/>
            <w:tcBorders>
              <w:top w:val="single" w:color="000000" w:sz="4" w:space="0"/>
              <w:left w:val="single" w:color="000000" w:sz="4" w:space="0"/>
              <w:bottom w:val="single" w:color="000000" w:sz="4" w:space="0"/>
              <w:right w:val="single" w:color="000000" w:sz="4" w:space="0"/>
            </w:tcBorders>
            <w:vAlign w:val="center"/>
          </w:tcPr>
          <w:p w14:paraId="5235B103">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建设</w:t>
            </w:r>
            <w:r>
              <w:rPr>
                <w:rFonts w:eastAsia="宋体"/>
                <w:b/>
                <w:bCs/>
                <w:color w:val="000000"/>
              </w:rPr>
              <w:t>经验</w:t>
            </w:r>
          </w:p>
          <w:p w14:paraId="1FE85CF5">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eastAsia="宋体"/>
                <w:b/>
                <w:bCs/>
                <w:color w:val="000000"/>
              </w:rPr>
              <w:t>（</w:t>
            </w:r>
            <w:r>
              <w:rPr>
                <w:rFonts w:hint="eastAsia" w:eastAsia="宋体"/>
                <w:b/>
                <w:bCs/>
                <w:color w:val="000000"/>
              </w:rPr>
              <w:t>10</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582EB148">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2022年1月至响应截止日期前</w:t>
            </w:r>
            <w:r>
              <w:rPr>
                <w:rFonts w:hint="eastAsia" w:eastAsia="宋体"/>
                <w:spacing w:val="-8"/>
              </w:rPr>
              <w:t>（以合同签订时间为准）</w:t>
            </w:r>
            <w:r>
              <w:rPr>
                <w:rFonts w:eastAsia="宋体"/>
                <w:spacing w:val="-8"/>
              </w:rPr>
              <w:t>具有类似水利水务行业应用（河湖长制、防汛、水利工程等）信息化项目建设经验，需提供：</w:t>
            </w:r>
          </w:p>
          <w:p w14:paraId="7715E7FA">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hint="eastAsia" w:ascii="宋体" w:hAnsi="宋体" w:eastAsia="宋体"/>
                <w:spacing w:val="-8"/>
              </w:rPr>
              <w:t>①</w:t>
            </w:r>
            <w:r>
              <w:rPr>
                <w:rFonts w:eastAsia="宋体"/>
                <w:spacing w:val="-8"/>
              </w:rPr>
              <w:t>中标（成交）通知书复印件；</w:t>
            </w:r>
            <w:r>
              <w:rPr>
                <w:rFonts w:hint="eastAsia" w:ascii="宋体" w:hAnsi="宋体" w:eastAsia="宋体"/>
                <w:spacing w:val="-8"/>
              </w:rPr>
              <w:t>②</w:t>
            </w:r>
            <w:r>
              <w:rPr>
                <w:rFonts w:eastAsia="宋体"/>
                <w:spacing w:val="-8"/>
              </w:rPr>
              <w:t>采购合同文本复印件</w:t>
            </w:r>
            <w:r>
              <w:rPr>
                <w:rFonts w:hint="eastAsia" w:eastAsia="宋体"/>
                <w:spacing w:val="-8"/>
              </w:rPr>
              <w:t>；</w:t>
            </w:r>
            <w:r>
              <w:rPr>
                <w:rFonts w:hint="eastAsia" w:ascii="宋体" w:hAnsi="宋体" w:eastAsia="宋体"/>
                <w:spacing w:val="-8"/>
              </w:rPr>
              <w:t>③</w:t>
            </w:r>
            <w:r>
              <w:rPr>
                <w:rFonts w:eastAsia="宋体"/>
                <w:spacing w:val="-8"/>
              </w:rPr>
              <w:t>首笔款发票复印件。（复印件要求字体和印章清晰</w:t>
            </w:r>
            <w:r>
              <w:rPr>
                <w:rFonts w:hint="eastAsia" w:eastAsia="宋体"/>
                <w:spacing w:val="-8"/>
              </w:rPr>
              <w:t>，</w:t>
            </w:r>
            <w:r>
              <w:rPr>
                <w:rFonts w:eastAsia="宋体"/>
                <w:spacing w:val="-8"/>
              </w:rPr>
              <w:t>部分保密内容可进行隐藏处理）</w:t>
            </w:r>
          </w:p>
          <w:p w14:paraId="3042E8EA">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每提供一份有效项目</w:t>
            </w:r>
            <w:r>
              <w:rPr>
                <w:rFonts w:hint="eastAsia" w:eastAsia="宋体"/>
                <w:spacing w:val="-8"/>
              </w:rPr>
              <w:t>资料</w:t>
            </w:r>
            <w:r>
              <w:rPr>
                <w:rFonts w:eastAsia="宋体"/>
                <w:spacing w:val="-8"/>
              </w:rPr>
              <w:t>得2分，</w:t>
            </w:r>
            <w:r>
              <w:rPr>
                <w:rFonts w:hint="eastAsia" w:eastAsia="宋体"/>
                <w:spacing w:val="-8"/>
              </w:rPr>
              <w:t>本</w:t>
            </w:r>
            <w:r>
              <w:rPr>
                <w:rFonts w:eastAsia="宋体"/>
                <w:spacing w:val="-8"/>
              </w:rPr>
              <w:t>项满分10分。未提供不得分。</w:t>
            </w:r>
          </w:p>
        </w:tc>
      </w:tr>
      <w:tr w14:paraId="40864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711" w:type="dxa"/>
            <w:gridSpan w:val="3"/>
            <w:tcBorders>
              <w:top w:val="single" w:color="000000" w:sz="4" w:space="0"/>
              <w:left w:val="single" w:color="000000" w:sz="4" w:space="0"/>
              <w:bottom w:val="single" w:color="000000" w:sz="4" w:space="0"/>
              <w:right w:val="single" w:color="000000" w:sz="4" w:space="0"/>
            </w:tcBorders>
            <w:vAlign w:val="center"/>
          </w:tcPr>
          <w:p w14:paraId="660DF53E">
            <w:pPr>
              <w:keepNext w:val="0"/>
              <w:keepLines w:val="0"/>
              <w:pageBreakBefore w:val="0"/>
              <w:widowControl/>
              <w:kinsoku/>
              <w:wordWrap/>
              <w:overflowPunct/>
              <w:topLinePunct w:val="0"/>
              <w:autoSpaceDE/>
              <w:autoSpaceDN/>
              <w:bidi w:val="0"/>
              <w:spacing w:line="380" w:lineRule="exact"/>
              <w:textAlignment w:val="auto"/>
              <w:rPr>
                <w:rFonts w:eastAsia="宋体"/>
                <w:b/>
                <w:bCs/>
                <w:color w:val="000000"/>
              </w:rPr>
            </w:pPr>
            <w:r>
              <w:rPr>
                <w:rFonts w:hint="eastAsia" w:eastAsia="宋体"/>
                <w:b/>
                <w:bCs/>
                <w:color w:val="000000"/>
              </w:rPr>
              <w:t>技术</w:t>
            </w:r>
            <w:r>
              <w:rPr>
                <w:rFonts w:eastAsia="宋体"/>
                <w:b/>
                <w:bCs/>
                <w:color w:val="000000"/>
              </w:rPr>
              <w:t>部分</w:t>
            </w:r>
          </w:p>
        </w:tc>
      </w:tr>
      <w:tr w14:paraId="45026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716838C">
            <w:pPr>
              <w:keepNext w:val="0"/>
              <w:keepLines w:val="0"/>
              <w:pageBreakBefore w:val="0"/>
              <w:widowControl/>
              <w:kinsoku/>
              <w:wordWrap/>
              <w:overflowPunct/>
              <w:topLinePunct w:val="0"/>
              <w:autoSpaceDE/>
              <w:autoSpaceDN/>
              <w:bidi w:val="0"/>
              <w:spacing w:line="380" w:lineRule="exact"/>
              <w:jc w:val="center"/>
              <w:textAlignment w:val="auto"/>
              <w:rPr>
                <w:rFonts w:eastAsia="宋体"/>
                <w:bCs/>
                <w:color w:val="000000"/>
              </w:rPr>
            </w:pPr>
            <w:r>
              <w:rPr>
                <w:rFonts w:hint="eastAsia" w:eastAsia="宋体"/>
                <w:bCs/>
                <w:color w:val="000000"/>
              </w:rPr>
              <w:t>4</w:t>
            </w:r>
          </w:p>
        </w:tc>
        <w:tc>
          <w:tcPr>
            <w:tcW w:w="1662" w:type="dxa"/>
            <w:tcBorders>
              <w:top w:val="single" w:color="000000" w:sz="4" w:space="0"/>
              <w:left w:val="single" w:color="000000" w:sz="4" w:space="0"/>
              <w:bottom w:val="single" w:color="000000" w:sz="4" w:space="0"/>
              <w:right w:val="single" w:color="000000" w:sz="4" w:space="0"/>
            </w:tcBorders>
            <w:vAlign w:val="center"/>
          </w:tcPr>
          <w:p w14:paraId="35C195E2">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eastAsia="宋体"/>
                <w:b/>
                <w:bCs/>
                <w:color w:val="000000"/>
              </w:rPr>
              <w:t>需求</w:t>
            </w:r>
            <w:r>
              <w:rPr>
                <w:rFonts w:hint="eastAsia" w:eastAsia="宋体"/>
                <w:b/>
                <w:bCs/>
                <w:color w:val="000000"/>
              </w:rPr>
              <w:t>匹配</w:t>
            </w:r>
          </w:p>
          <w:p w14:paraId="5E9FDB09">
            <w:pPr>
              <w:keepNext w:val="0"/>
              <w:keepLines w:val="0"/>
              <w:pageBreakBefore w:val="0"/>
              <w:widowControl/>
              <w:kinsoku/>
              <w:wordWrap/>
              <w:overflowPunct/>
              <w:topLinePunct w:val="0"/>
              <w:autoSpaceDE/>
              <w:autoSpaceDN/>
              <w:bidi w:val="0"/>
              <w:spacing w:line="380" w:lineRule="exact"/>
              <w:jc w:val="center"/>
              <w:textAlignment w:val="auto"/>
              <w:rPr>
                <w:rFonts w:eastAsia="宋体"/>
                <w:bCs/>
                <w:color w:val="000000"/>
              </w:rPr>
            </w:pPr>
            <w:r>
              <w:rPr>
                <w:rFonts w:eastAsia="宋体"/>
                <w:b/>
                <w:bCs/>
                <w:color w:val="000000"/>
              </w:rPr>
              <w:t>（</w:t>
            </w:r>
            <w:r>
              <w:rPr>
                <w:rFonts w:hint="eastAsia" w:eastAsia="宋体"/>
                <w:b/>
                <w:bCs/>
                <w:color w:val="000000"/>
                <w:lang w:val="en-US" w:eastAsia="zh-CN"/>
              </w:rPr>
              <w:t>6</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0B8FAEBC">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投标人方案是否满足</w:t>
            </w:r>
            <w:r>
              <w:rPr>
                <w:rFonts w:hint="eastAsia" w:eastAsia="宋体"/>
                <w:spacing w:val="-8"/>
              </w:rPr>
              <w:t>磋商</w:t>
            </w:r>
            <w:r>
              <w:rPr>
                <w:rFonts w:eastAsia="宋体"/>
                <w:spacing w:val="-8"/>
              </w:rPr>
              <w:t>文件要求。</w:t>
            </w:r>
          </w:p>
          <w:p w14:paraId="222F0B49">
            <w:pPr>
              <w:keepNext w:val="0"/>
              <w:keepLines w:val="0"/>
              <w:pageBreakBefore w:val="0"/>
              <w:numPr>
                <w:ilvl w:val="0"/>
                <w:numId w:val="4"/>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供应商对信息化现状了解充分，对业务需求理解准确，充分、全面考虑项目要求并高于要求得</w:t>
            </w:r>
            <w:r>
              <w:rPr>
                <w:rFonts w:hint="eastAsia" w:eastAsia="宋体"/>
                <w:spacing w:val="-8"/>
                <w:lang w:val="en-US" w:eastAsia="zh-CN"/>
              </w:rPr>
              <w:t>6</w:t>
            </w:r>
            <w:r>
              <w:rPr>
                <w:rFonts w:eastAsia="宋体"/>
                <w:spacing w:val="-8"/>
              </w:rPr>
              <w:t>分；</w:t>
            </w:r>
          </w:p>
          <w:p w14:paraId="01D0B0B6">
            <w:pPr>
              <w:keepNext w:val="0"/>
              <w:keepLines w:val="0"/>
              <w:pageBreakBefore w:val="0"/>
              <w:numPr>
                <w:ilvl w:val="0"/>
                <w:numId w:val="4"/>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对信息化现状了解充分，对业务需求理解准确，满足项目要求得</w:t>
            </w:r>
            <w:r>
              <w:rPr>
                <w:rFonts w:hint="eastAsia" w:eastAsia="宋体"/>
                <w:spacing w:val="-8"/>
                <w:lang w:val="en-US" w:eastAsia="zh-CN"/>
              </w:rPr>
              <w:t>4</w:t>
            </w:r>
            <w:r>
              <w:rPr>
                <w:rFonts w:eastAsia="宋体"/>
                <w:spacing w:val="-8"/>
              </w:rPr>
              <w:t>分；</w:t>
            </w:r>
          </w:p>
          <w:p w14:paraId="3E17EAA4">
            <w:pPr>
              <w:keepNext w:val="0"/>
              <w:keepLines w:val="0"/>
              <w:pageBreakBefore w:val="0"/>
              <w:numPr>
                <w:ilvl w:val="0"/>
                <w:numId w:val="4"/>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对信息化现状了解，对业务需求基本理解，基本满足项目要求</w:t>
            </w:r>
            <w:r>
              <w:rPr>
                <w:rFonts w:hint="eastAsia" w:eastAsia="宋体"/>
                <w:spacing w:val="-8"/>
                <w:lang w:val="en-US" w:eastAsia="zh-CN"/>
              </w:rPr>
              <w:t>2</w:t>
            </w:r>
            <w:r>
              <w:rPr>
                <w:rFonts w:eastAsia="宋体"/>
                <w:spacing w:val="-8"/>
              </w:rPr>
              <w:t>分；</w:t>
            </w:r>
          </w:p>
          <w:p w14:paraId="35A2E39A">
            <w:pPr>
              <w:keepNext w:val="0"/>
              <w:keepLines w:val="0"/>
              <w:pageBreakBefore w:val="0"/>
              <w:widowControl/>
              <w:kinsoku/>
              <w:wordWrap/>
              <w:overflowPunct/>
              <w:topLinePunct w:val="0"/>
              <w:autoSpaceDE/>
              <w:autoSpaceDN/>
              <w:bidi w:val="0"/>
              <w:spacing w:line="380" w:lineRule="exact"/>
              <w:textAlignment w:val="auto"/>
              <w:rPr>
                <w:rFonts w:eastAsia="宋体"/>
                <w:b/>
                <w:bCs/>
                <w:color w:val="000000"/>
              </w:rPr>
            </w:pPr>
            <w:r>
              <w:rPr>
                <w:rFonts w:hint="eastAsia" w:eastAsia="宋体"/>
                <w:spacing w:val="-8"/>
              </w:rPr>
              <w:t>4）</w:t>
            </w:r>
            <w:r>
              <w:rPr>
                <w:rFonts w:eastAsia="宋体"/>
                <w:spacing w:val="-8"/>
              </w:rPr>
              <w:t>不满足项目要求得0分。</w:t>
            </w:r>
          </w:p>
        </w:tc>
      </w:tr>
      <w:tr w14:paraId="3836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07C485FD">
            <w:pPr>
              <w:keepNext w:val="0"/>
              <w:keepLines w:val="0"/>
              <w:pageBreakBefore w:val="0"/>
              <w:widowControl/>
              <w:kinsoku/>
              <w:wordWrap/>
              <w:overflowPunct/>
              <w:topLinePunct w:val="0"/>
              <w:autoSpaceDE/>
              <w:autoSpaceDN/>
              <w:bidi w:val="0"/>
              <w:spacing w:line="380" w:lineRule="exact"/>
              <w:jc w:val="center"/>
              <w:textAlignment w:val="auto"/>
              <w:rPr>
                <w:rFonts w:eastAsia="宋体"/>
                <w:bCs/>
                <w:color w:val="000000"/>
              </w:rPr>
            </w:pPr>
            <w:r>
              <w:rPr>
                <w:rFonts w:hint="eastAsia" w:eastAsia="宋体"/>
                <w:bCs/>
                <w:color w:val="000000"/>
              </w:rPr>
              <w:t>5</w:t>
            </w:r>
          </w:p>
        </w:tc>
        <w:tc>
          <w:tcPr>
            <w:tcW w:w="1662" w:type="dxa"/>
            <w:tcBorders>
              <w:top w:val="single" w:color="000000" w:sz="4" w:space="0"/>
              <w:left w:val="single" w:color="000000" w:sz="4" w:space="0"/>
              <w:bottom w:val="single" w:color="000000" w:sz="4" w:space="0"/>
              <w:right w:val="single" w:color="000000" w:sz="4" w:space="0"/>
            </w:tcBorders>
            <w:vAlign w:val="center"/>
          </w:tcPr>
          <w:p w14:paraId="1954F0C9">
            <w:pPr>
              <w:keepNext w:val="0"/>
              <w:keepLines w:val="0"/>
              <w:pageBreakBefore w:val="0"/>
              <w:widowControl/>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总体</w:t>
            </w:r>
            <w:r>
              <w:rPr>
                <w:rFonts w:eastAsia="宋体"/>
                <w:b/>
                <w:bCs/>
                <w:color w:val="000000"/>
              </w:rPr>
              <w:t>设计</w:t>
            </w:r>
          </w:p>
          <w:p w14:paraId="6AA6197F">
            <w:pPr>
              <w:keepNext w:val="0"/>
              <w:keepLines w:val="0"/>
              <w:pageBreakBefore w:val="0"/>
              <w:widowControl/>
              <w:kinsoku/>
              <w:wordWrap/>
              <w:overflowPunct/>
              <w:topLinePunct w:val="0"/>
              <w:autoSpaceDE/>
              <w:autoSpaceDN/>
              <w:bidi w:val="0"/>
              <w:spacing w:line="380" w:lineRule="exact"/>
              <w:jc w:val="center"/>
              <w:textAlignment w:val="auto"/>
              <w:rPr>
                <w:rFonts w:eastAsia="宋体"/>
                <w:bCs/>
                <w:color w:val="000000"/>
              </w:rPr>
            </w:pPr>
            <w:r>
              <w:rPr>
                <w:rFonts w:eastAsia="宋体"/>
                <w:b/>
                <w:bCs/>
                <w:color w:val="000000"/>
              </w:rPr>
              <w:t>（</w:t>
            </w:r>
            <w:r>
              <w:rPr>
                <w:rFonts w:hint="eastAsia" w:eastAsia="宋体"/>
                <w:b/>
                <w:bCs/>
                <w:color w:val="000000"/>
                <w:lang w:val="en-US" w:eastAsia="zh-CN"/>
              </w:rPr>
              <w:t>6</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24D2E644">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投标人对项目建设总体体系框架、技术路线等策略是否合理，数据结构等是否清晰透彻，总体设计是否明确。</w:t>
            </w:r>
          </w:p>
          <w:p w14:paraId="49D8904D">
            <w:pPr>
              <w:keepNext w:val="0"/>
              <w:keepLines w:val="0"/>
              <w:pageBreakBefore w:val="0"/>
              <w:numPr>
                <w:ilvl w:val="0"/>
                <w:numId w:val="5"/>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分析透彻并具有针对性的，得</w:t>
            </w:r>
            <w:r>
              <w:rPr>
                <w:rFonts w:hint="eastAsia" w:eastAsia="宋体"/>
                <w:spacing w:val="-8"/>
                <w:lang w:val="en-US" w:eastAsia="zh-CN"/>
              </w:rPr>
              <w:t>6</w:t>
            </w:r>
            <w:r>
              <w:rPr>
                <w:rFonts w:eastAsia="宋体"/>
                <w:spacing w:val="-8"/>
              </w:rPr>
              <w:t>分；</w:t>
            </w:r>
          </w:p>
          <w:p w14:paraId="1424AC66">
            <w:pPr>
              <w:keepNext w:val="0"/>
              <w:keepLines w:val="0"/>
              <w:pageBreakBefore w:val="0"/>
              <w:numPr>
                <w:ilvl w:val="0"/>
                <w:numId w:val="5"/>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分析透彻、针对性较好的，得</w:t>
            </w:r>
            <w:r>
              <w:rPr>
                <w:rFonts w:hint="eastAsia" w:eastAsia="宋体"/>
                <w:spacing w:val="-8"/>
                <w:lang w:val="en-US" w:eastAsia="zh-CN"/>
              </w:rPr>
              <w:t>4</w:t>
            </w:r>
            <w:r>
              <w:rPr>
                <w:rFonts w:eastAsia="宋体"/>
                <w:spacing w:val="-8"/>
              </w:rPr>
              <w:t>分；</w:t>
            </w:r>
          </w:p>
          <w:p w14:paraId="5DF67109">
            <w:pPr>
              <w:keepNext w:val="0"/>
              <w:keepLines w:val="0"/>
              <w:pageBreakBefore w:val="0"/>
              <w:numPr>
                <w:ilvl w:val="0"/>
                <w:numId w:val="5"/>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分析较透彻，针对性一般，得</w:t>
            </w:r>
            <w:r>
              <w:rPr>
                <w:rFonts w:hint="eastAsia" w:eastAsia="宋体"/>
                <w:spacing w:val="-8"/>
                <w:lang w:val="en-US" w:eastAsia="zh-CN"/>
              </w:rPr>
              <w:t>2</w:t>
            </w:r>
            <w:r>
              <w:rPr>
                <w:rFonts w:eastAsia="宋体"/>
                <w:spacing w:val="-8"/>
              </w:rPr>
              <w:t>分；</w:t>
            </w:r>
          </w:p>
          <w:p w14:paraId="012D0C1C">
            <w:pPr>
              <w:keepNext w:val="0"/>
              <w:keepLines w:val="0"/>
              <w:pageBreakBefore w:val="0"/>
              <w:widowControl/>
              <w:kinsoku/>
              <w:wordWrap/>
              <w:overflowPunct/>
              <w:topLinePunct w:val="0"/>
              <w:autoSpaceDE/>
              <w:autoSpaceDN/>
              <w:bidi w:val="0"/>
              <w:spacing w:line="380" w:lineRule="exact"/>
              <w:textAlignment w:val="auto"/>
              <w:rPr>
                <w:rFonts w:eastAsia="宋体"/>
                <w:color w:val="000000"/>
              </w:rPr>
            </w:pPr>
            <w:r>
              <w:rPr>
                <w:rFonts w:hint="eastAsia" w:eastAsia="宋体"/>
                <w:spacing w:val="-8"/>
              </w:rPr>
              <w:t>4）</w:t>
            </w:r>
            <w:r>
              <w:rPr>
                <w:rFonts w:eastAsia="宋体"/>
                <w:spacing w:val="-8"/>
              </w:rPr>
              <w:t>缺乏分析或无针对性分析的，得0分。</w:t>
            </w:r>
          </w:p>
        </w:tc>
      </w:tr>
      <w:tr w14:paraId="673BE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148FAE56">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6</w:t>
            </w:r>
          </w:p>
        </w:tc>
        <w:tc>
          <w:tcPr>
            <w:tcW w:w="1662" w:type="dxa"/>
            <w:tcBorders>
              <w:top w:val="single" w:color="000000" w:sz="4" w:space="0"/>
              <w:left w:val="single" w:color="000000" w:sz="4" w:space="0"/>
              <w:bottom w:val="single" w:color="000000" w:sz="4" w:space="0"/>
              <w:right w:val="single" w:color="000000" w:sz="4" w:space="0"/>
            </w:tcBorders>
            <w:vAlign w:val="center"/>
          </w:tcPr>
          <w:p w14:paraId="671FC320">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详细设计</w:t>
            </w:r>
          </w:p>
          <w:p w14:paraId="488D9112">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eastAsia="宋体"/>
                <w:b/>
                <w:bCs/>
                <w:color w:val="000000"/>
              </w:rPr>
              <w:t>（</w:t>
            </w:r>
            <w:r>
              <w:rPr>
                <w:rFonts w:hint="default" w:eastAsia="宋体"/>
                <w:b/>
                <w:bCs/>
                <w:color w:val="000000"/>
                <w:lang w:val="en-US"/>
              </w:rPr>
              <w:t>32</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7FEC3E44">
            <w:pPr>
              <w:keepNext w:val="0"/>
              <w:keepLines w:val="0"/>
              <w:pageBreakBefore w:val="0"/>
              <w:numPr>
                <w:ilvl w:val="255"/>
                <w:numId w:val="0"/>
              </w:numPr>
              <w:kinsoku/>
              <w:wordWrap/>
              <w:overflowPunct/>
              <w:topLinePunct w:val="0"/>
              <w:autoSpaceDE/>
              <w:autoSpaceDN/>
              <w:bidi w:val="0"/>
              <w:spacing w:line="380" w:lineRule="exact"/>
              <w:textAlignment w:val="auto"/>
              <w:rPr>
                <w:rFonts w:eastAsia="宋体"/>
                <w:spacing w:val="-8"/>
              </w:rPr>
            </w:pPr>
            <w:r>
              <w:rPr>
                <w:rFonts w:eastAsia="宋体"/>
                <w:b/>
              </w:rPr>
              <w:t>河长制信息化工作项目建设：</w:t>
            </w:r>
            <w:r>
              <w:rPr>
                <w:rFonts w:eastAsia="宋体"/>
              </w:rPr>
              <w:t>河网基础信息完善包括河网矢量化、河网分级化、河段分类化、信息多元化4个子模块。针对这4个子模块分别提供相应软件设计方案，</w:t>
            </w:r>
            <w:r>
              <w:rPr>
                <w:rFonts w:eastAsia="宋体"/>
                <w:spacing w:val="-8"/>
              </w:rPr>
              <w:t>满分</w:t>
            </w:r>
            <w:r>
              <w:rPr>
                <w:rFonts w:hint="default" w:eastAsia="宋体"/>
                <w:spacing w:val="-8"/>
                <w:lang w:val="en-US"/>
              </w:rPr>
              <w:t>32</w:t>
            </w:r>
            <w:r>
              <w:rPr>
                <w:rFonts w:eastAsia="宋体"/>
                <w:spacing w:val="-8"/>
              </w:rPr>
              <w:t>分。</w:t>
            </w:r>
          </w:p>
          <w:p w14:paraId="7AC939FE">
            <w:pPr>
              <w:keepNext w:val="0"/>
              <w:keepLines w:val="0"/>
              <w:pageBreakBefore w:val="0"/>
              <w:numPr>
                <w:ilvl w:val="255"/>
                <w:numId w:val="0"/>
              </w:numPr>
              <w:kinsoku/>
              <w:wordWrap/>
              <w:overflowPunct/>
              <w:topLinePunct w:val="0"/>
              <w:autoSpaceDE/>
              <w:autoSpaceDN/>
              <w:bidi w:val="0"/>
              <w:spacing w:line="380" w:lineRule="exact"/>
              <w:textAlignment w:val="auto"/>
              <w:rPr>
                <w:rFonts w:eastAsia="宋体"/>
              </w:rPr>
            </w:pPr>
            <w:r>
              <w:rPr>
                <w:rFonts w:eastAsia="宋体"/>
                <w:spacing w:val="-8"/>
              </w:rPr>
              <w:t>每个子模块评分如下：</w:t>
            </w:r>
          </w:p>
          <w:p w14:paraId="14C2BBE3">
            <w:pPr>
              <w:keepNext w:val="0"/>
              <w:keepLines w:val="0"/>
              <w:pageBreakBefore w:val="0"/>
              <w:numPr>
                <w:ilvl w:val="0"/>
                <w:numId w:val="6"/>
              </w:numPr>
              <w:kinsoku/>
              <w:wordWrap/>
              <w:overflowPunct/>
              <w:topLinePunct w:val="0"/>
              <w:autoSpaceDE/>
              <w:autoSpaceDN/>
              <w:bidi w:val="0"/>
              <w:spacing w:line="380" w:lineRule="exact"/>
              <w:textAlignment w:val="auto"/>
              <w:rPr>
                <w:rFonts w:eastAsia="宋体"/>
                <w:spacing w:val="-8"/>
              </w:rPr>
            </w:pPr>
            <w:r>
              <w:rPr>
                <w:rFonts w:eastAsia="宋体"/>
              </w:rPr>
              <w:t>方案条理清晰，重点突出，可读性强，具有很强的针对性和可行性；规划合理，关键技术描述非常清晰</w:t>
            </w:r>
            <w:r>
              <w:rPr>
                <w:rFonts w:eastAsia="宋体"/>
                <w:spacing w:val="-8"/>
              </w:rPr>
              <w:t>的，得</w:t>
            </w:r>
            <w:r>
              <w:rPr>
                <w:rFonts w:hint="default" w:eastAsia="宋体"/>
                <w:spacing w:val="-8"/>
                <w:lang w:val="en-US"/>
              </w:rPr>
              <w:t>8</w:t>
            </w:r>
            <w:r>
              <w:rPr>
                <w:rFonts w:eastAsia="宋体"/>
                <w:spacing w:val="-8"/>
              </w:rPr>
              <w:t>分；</w:t>
            </w:r>
          </w:p>
          <w:p w14:paraId="0DAEBBA0">
            <w:pPr>
              <w:keepNext w:val="0"/>
              <w:keepLines w:val="0"/>
              <w:pageBreakBefore w:val="0"/>
              <w:numPr>
                <w:ilvl w:val="0"/>
                <w:numId w:val="6"/>
              </w:numPr>
              <w:kinsoku/>
              <w:wordWrap/>
              <w:overflowPunct/>
              <w:topLinePunct w:val="0"/>
              <w:autoSpaceDE/>
              <w:autoSpaceDN/>
              <w:bidi w:val="0"/>
              <w:spacing w:line="380" w:lineRule="exact"/>
              <w:textAlignment w:val="auto"/>
              <w:rPr>
                <w:rFonts w:eastAsia="宋体"/>
              </w:rPr>
            </w:pPr>
            <w:r>
              <w:rPr>
                <w:rFonts w:eastAsia="宋体"/>
              </w:rPr>
              <w:t>方案条理清晰，重点突出，可读性较强，具有较强的针对性和可行性；规划较合理，关键技术描述较清晰</w:t>
            </w:r>
            <w:r>
              <w:rPr>
                <w:rFonts w:eastAsia="宋体"/>
                <w:spacing w:val="-8"/>
              </w:rPr>
              <w:t>的，得4分；</w:t>
            </w:r>
          </w:p>
          <w:p w14:paraId="03609988">
            <w:pPr>
              <w:keepNext w:val="0"/>
              <w:keepLines w:val="0"/>
              <w:pageBreakBefore w:val="0"/>
              <w:numPr>
                <w:ilvl w:val="0"/>
                <w:numId w:val="6"/>
              </w:numPr>
              <w:kinsoku/>
              <w:wordWrap/>
              <w:overflowPunct/>
              <w:topLinePunct w:val="0"/>
              <w:autoSpaceDE/>
              <w:autoSpaceDN/>
              <w:bidi w:val="0"/>
              <w:spacing w:line="380" w:lineRule="exact"/>
              <w:textAlignment w:val="auto"/>
              <w:rPr>
                <w:rFonts w:eastAsia="宋体"/>
              </w:rPr>
            </w:pPr>
            <w:r>
              <w:rPr>
                <w:rFonts w:eastAsia="宋体"/>
              </w:rPr>
              <w:t>方案条理较清晰，重点较突出，可读性一般，具有一般的针对性和可行性；规划合理性一般，关键技术描述较清晰</w:t>
            </w:r>
            <w:r>
              <w:rPr>
                <w:rFonts w:eastAsia="宋体"/>
                <w:spacing w:val="-8"/>
              </w:rPr>
              <w:t>的，得2分；</w:t>
            </w:r>
          </w:p>
          <w:p w14:paraId="7A032F56">
            <w:pPr>
              <w:keepNext w:val="0"/>
              <w:keepLines w:val="0"/>
              <w:pageBreakBefore w:val="0"/>
              <w:kinsoku/>
              <w:wordWrap/>
              <w:overflowPunct/>
              <w:topLinePunct w:val="0"/>
              <w:autoSpaceDE/>
              <w:autoSpaceDN/>
              <w:bidi w:val="0"/>
              <w:spacing w:line="380" w:lineRule="exact"/>
              <w:textAlignment w:val="auto"/>
              <w:rPr>
                <w:rFonts w:eastAsia="宋体"/>
                <w:b/>
                <w:color w:val="000000"/>
              </w:rPr>
            </w:pPr>
            <w:r>
              <w:rPr>
                <w:rFonts w:hint="eastAsia" w:eastAsia="宋体"/>
              </w:rPr>
              <w:t>4）</w:t>
            </w:r>
            <w:r>
              <w:rPr>
                <w:rFonts w:eastAsia="宋体"/>
              </w:rPr>
              <w:t>方案条理模糊、重点不突出、可读性差，不太有针对性和可行性；规划合理性差或关键技术描述模糊</w:t>
            </w:r>
            <w:r>
              <w:rPr>
                <w:rFonts w:eastAsia="宋体"/>
                <w:spacing w:val="-8"/>
              </w:rPr>
              <w:t>或未提供方案，不得分。</w:t>
            </w:r>
          </w:p>
        </w:tc>
      </w:tr>
      <w:tr w14:paraId="3FD7B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F3CC9AE">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7</w:t>
            </w:r>
          </w:p>
        </w:tc>
        <w:tc>
          <w:tcPr>
            <w:tcW w:w="1662" w:type="dxa"/>
            <w:tcBorders>
              <w:top w:val="single" w:color="000000" w:sz="4" w:space="0"/>
              <w:left w:val="single" w:color="000000" w:sz="4" w:space="0"/>
              <w:bottom w:val="single" w:color="000000" w:sz="4" w:space="0"/>
              <w:right w:val="single" w:color="000000" w:sz="4" w:space="0"/>
            </w:tcBorders>
            <w:vAlign w:val="center"/>
          </w:tcPr>
          <w:p w14:paraId="5A122753">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实施</w:t>
            </w:r>
            <w:r>
              <w:rPr>
                <w:rFonts w:eastAsia="宋体"/>
                <w:b/>
                <w:bCs/>
                <w:color w:val="000000"/>
              </w:rPr>
              <w:t>方案</w:t>
            </w:r>
          </w:p>
          <w:p w14:paraId="057B7299">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eastAsia="宋体"/>
                <w:b/>
                <w:bCs/>
                <w:color w:val="000000"/>
              </w:rPr>
              <w:t>（</w:t>
            </w:r>
            <w:r>
              <w:rPr>
                <w:rFonts w:hint="eastAsia" w:eastAsia="宋体"/>
                <w:b/>
                <w:bCs/>
                <w:color w:val="000000"/>
                <w:lang w:val="en-US" w:eastAsia="zh-CN"/>
              </w:rPr>
              <w:t>6</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13680327">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投标人的实施方案的完整性与合理性；进度安排是否合理，项目管理措施是否得当等。</w:t>
            </w:r>
          </w:p>
          <w:p w14:paraId="184D9CCD">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1）实施方案完整、进度安排合理，项目管理措施得当的，得</w:t>
            </w:r>
            <w:r>
              <w:rPr>
                <w:rFonts w:hint="eastAsia" w:eastAsia="宋体"/>
                <w:spacing w:val="-8"/>
                <w:lang w:val="en-US" w:eastAsia="zh-CN"/>
              </w:rPr>
              <w:t>6</w:t>
            </w:r>
            <w:r>
              <w:rPr>
                <w:rFonts w:eastAsia="宋体"/>
                <w:spacing w:val="-8"/>
              </w:rPr>
              <w:t>分；</w:t>
            </w:r>
          </w:p>
          <w:p w14:paraId="74852FB3">
            <w:pPr>
              <w:keepNext w:val="0"/>
              <w:keepLines w:val="0"/>
              <w:pageBreakBefore w:val="0"/>
              <w:numPr>
                <w:ilvl w:val="0"/>
                <w:numId w:val="7"/>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实施方案较完整、进度安排较合理，项目管理措施较恰当，得</w:t>
            </w:r>
            <w:r>
              <w:rPr>
                <w:rFonts w:hint="eastAsia" w:eastAsia="宋体"/>
                <w:spacing w:val="-8"/>
                <w:lang w:val="en-US" w:eastAsia="zh-CN"/>
              </w:rPr>
              <w:t>4</w:t>
            </w:r>
            <w:r>
              <w:rPr>
                <w:rFonts w:eastAsia="宋体"/>
                <w:spacing w:val="-8"/>
              </w:rPr>
              <w:t>分；</w:t>
            </w:r>
          </w:p>
          <w:p w14:paraId="3483CDF4">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hint="eastAsia" w:eastAsia="宋体"/>
                <w:spacing w:val="-8"/>
              </w:rPr>
              <w:t>3）</w:t>
            </w:r>
            <w:r>
              <w:rPr>
                <w:rFonts w:eastAsia="宋体"/>
                <w:spacing w:val="-8"/>
              </w:rPr>
              <w:t>实施方案完整性、进度安排合理性一般，项目管理措施一般，得</w:t>
            </w:r>
            <w:r>
              <w:rPr>
                <w:rFonts w:hint="eastAsia" w:eastAsia="宋体"/>
                <w:spacing w:val="-8"/>
                <w:lang w:val="en-US" w:eastAsia="zh-CN"/>
              </w:rPr>
              <w:t>2</w:t>
            </w:r>
            <w:r>
              <w:rPr>
                <w:rFonts w:eastAsia="宋体"/>
                <w:spacing w:val="-8"/>
              </w:rPr>
              <w:t>分；</w:t>
            </w:r>
          </w:p>
          <w:p w14:paraId="6BE80A15">
            <w:pPr>
              <w:keepNext w:val="0"/>
              <w:keepLines w:val="0"/>
              <w:pageBreakBefore w:val="0"/>
              <w:kinsoku/>
              <w:wordWrap/>
              <w:overflowPunct/>
              <w:topLinePunct w:val="0"/>
              <w:autoSpaceDE/>
              <w:autoSpaceDN/>
              <w:bidi w:val="0"/>
              <w:spacing w:line="380" w:lineRule="exact"/>
              <w:textAlignment w:val="auto"/>
              <w:rPr>
                <w:rFonts w:eastAsia="宋体"/>
                <w:color w:val="000000"/>
              </w:rPr>
            </w:pPr>
            <w:r>
              <w:rPr>
                <w:rFonts w:hint="eastAsia" w:eastAsia="宋体"/>
                <w:spacing w:val="-8"/>
              </w:rPr>
              <w:t>4）</w:t>
            </w:r>
            <w:r>
              <w:rPr>
                <w:rFonts w:eastAsia="宋体"/>
                <w:spacing w:val="-8"/>
              </w:rPr>
              <w:t>实施方案完整性、进度安排合理性较差，项目管理措施不当或未提供方案的，得0分。</w:t>
            </w:r>
          </w:p>
        </w:tc>
      </w:tr>
      <w:tr w14:paraId="0FBE2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9711" w:type="dxa"/>
            <w:gridSpan w:val="3"/>
            <w:tcBorders>
              <w:top w:val="single" w:color="000000" w:sz="4" w:space="0"/>
              <w:left w:val="single" w:color="000000" w:sz="4" w:space="0"/>
              <w:bottom w:val="single" w:color="000000" w:sz="4" w:space="0"/>
              <w:right w:val="single" w:color="000000" w:sz="4" w:space="0"/>
            </w:tcBorders>
            <w:vAlign w:val="center"/>
          </w:tcPr>
          <w:p w14:paraId="1659D7F2">
            <w:pPr>
              <w:keepNext w:val="0"/>
              <w:keepLines w:val="0"/>
              <w:pageBreakBefore w:val="0"/>
              <w:widowControl/>
              <w:kinsoku/>
              <w:wordWrap/>
              <w:overflowPunct/>
              <w:topLinePunct w:val="0"/>
              <w:autoSpaceDE/>
              <w:autoSpaceDN/>
              <w:bidi w:val="0"/>
              <w:spacing w:line="380" w:lineRule="exact"/>
              <w:textAlignment w:val="auto"/>
              <w:rPr>
                <w:rFonts w:eastAsia="宋体"/>
                <w:color w:val="000000"/>
              </w:rPr>
            </w:pPr>
            <w:r>
              <w:rPr>
                <w:rFonts w:hint="eastAsia" w:eastAsia="宋体"/>
                <w:b/>
                <w:bCs/>
                <w:color w:val="000000"/>
              </w:rPr>
              <w:t>服务质量</w:t>
            </w:r>
          </w:p>
        </w:tc>
      </w:tr>
      <w:tr w14:paraId="40608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0CCEE26">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8</w:t>
            </w:r>
          </w:p>
        </w:tc>
        <w:tc>
          <w:tcPr>
            <w:tcW w:w="1662" w:type="dxa"/>
            <w:tcBorders>
              <w:top w:val="single" w:color="000000" w:sz="4" w:space="0"/>
              <w:left w:val="single" w:color="000000" w:sz="4" w:space="0"/>
              <w:bottom w:val="single" w:color="000000" w:sz="4" w:space="0"/>
              <w:right w:val="single" w:color="000000" w:sz="4" w:space="0"/>
            </w:tcBorders>
            <w:vAlign w:val="center"/>
          </w:tcPr>
          <w:p w14:paraId="76C0AEC8">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eastAsia="宋体"/>
                <w:b/>
                <w:bCs/>
                <w:color w:val="000000"/>
              </w:rPr>
              <w:t>人员投入</w:t>
            </w:r>
          </w:p>
          <w:p w14:paraId="60D8F820">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eastAsia="宋体"/>
                <w:b/>
                <w:bCs/>
                <w:color w:val="000000"/>
              </w:rPr>
              <w:t>（</w:t>
            </w:r>
            <w:r>
              <w:rPr>
                <w:rFonts w:hint="eastAsia" w:eastAsia="宋体"/>
                <w:b/>
                <w:bCs/>
                <w:color w:val="000000"/>
              </w:rPr>
              <w:t>9</w:t>
            </w:r>
            <w:r>
              <w:rPr>
                <w:rFonts w:eastAsia="宋体"/>
                <w:b/>
                <w:bCs/>
                <w:color w:val="000000"/>
              </w:rPr>
              <w:t>分）</w:t>
            </w:r>
          </w:p>
        </w:tc>
        <w:tc>
          <w:tcPr>
            <w:tcW w:w="7303" w:type="dxa"/>
            <w:tcBorders>
              <w:top w:val="single" w:color="000000" w:sz="4" w:space="0"/>
              <w:left w:val="single" w:color="000000" w:sz="4" w:space="0"/>
              <w:bottom w:val="single" w:color="000000" w:sz="4" w:space="0"/>
              <w:right w:val="single" w:color="000000" w:sz="4" w:space="0"/>
            </w:tcBorders>
            <w:vAlign w:val="center"/>
          </w:tcPr>
          <w:p w14:paraId="3A6924E0">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hint="eastAsia" w:eastAsia="宋体"/>
                <w:spacing w:val="-8"/>
              </w:rPr>
              <w:t>1、</w:t>
            </w:r>
            <w:r>
              <w:rPr>
                <w:rFonts w:eastAsia="宋体"/>
                <w:spacing w:val="-8"/>
              </w:rPr>
              <w:t>项目经理资质情况（</w:t>
            </w:r>
            <w:r>
              <w:rPr>
                <w:rFonts w:hint="eastAsia" w:eastAsia="宋体"/>
                <w:spacing w:val="-8"/>
              </w:rPr>
              <w:t>3分</w:t>
            </w:r>
            <w:r>
              <w:rPr>
                <w:rFonts w:eastAsia="宋体"/>
                <w:spacing w:val="-8"/>
              </w:rPr>
              <w:t>）：</w:t>
            </w:r>
          </w:p>
          <w:p w14:paraId="6EB87ADE">
            <w:pPr>
              <w:keepNext w:val="0"/>
              <w:keepLines w:val="0"/>
              <w:pageBreakBefore w:val="0"/>
              <w:numPr>
                <w:ilvl w:val="255"/>
                <w:numId w:val="0"/>
              </w:numPr>
              <w:kinsoku/>
              <w:wordWrap/>
              <w:overflowPunct/>
              <w:topLinePunct w:val="0"/>
              <w:autoSpaceDE/>
              <w:autoSpaceDN/>
              <w:bidi w:val="0"/>
              <w:adjustRightInd w:val="0"/>
              <w:snapToGrid w:val="0"/>
              <w:spacing w:line="380" w:lineRule="exact"/>
              <w:jc w:val="left"/>
              <w:textAlignment w:val="auto"/>
              <w:rPr>
                <w:rFonts w:eastAsia="宋体"/>
              </w:rPr>
            </w:pPr>
            <w:r>
              <w:rPr>
                <w:rFonts w:eastAsia="宋体"/>
                <w:spacing w:val="-8"/>
              </w:rPr>
              <w:t>1）具有计算机或信息化类高级职称的，得</w:t>
            </w:r>
            <w:r>
              <w:rPr>
                <w:rFonts w:hint="eastAsia" w:eastAsia="宋体"/>
                <w:spacing w:val="-8"/>
              </w:rPr>
              <w:t>3</w:t>
            </w:r>
            <w:r>
              <w:rPr>
                <w:rFonts w:eastAsia="宋体"/>
                <w:spacing w:val="-8"/>
              </w:rPr>
              <w:t>分。</w:t>
            </w:r>
            <w:r>
              <w:rPr>
                <w:rFonts w:hint="eastAsia" w:eastAsia="宋体"/>
                <w:spacing w:val="-8"/>
              </w:rPr>
              <w:t>未</w:t>
            </w:r>
            <w:r>
              <w:rPr>
                <w:rFonts w:eastAsia="宋体"/>
                <w:spacing w:val="-8"/>
              </w:rPr>
              <w:t>提供不得分。</w:t>
            </w:r>
          </w:p>
          <w:p w14:paraId="364E7A27">
            <w:pPr>
              <w:keepNext w:val="0"/>
              <w:keepLines w:val="0"/>
              <w:pageBreakBefore w:val="0"/>
              <w:numPr>
                <w:ilvl w:val="255"/>
                <w:numId w:val="0"/>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hint="eastAsia" w:eastAsia="宋体"/>
                <w:spacing w:val="-8"/>
              </w:rPr>
              <w:t>2、</w:t>
            </w:r>
            <w:r>
              <w:rPr>
                <w:rFonts w:eastAsia="宋体"/>
                <w:spacing w:val="-8"/>
              </w:rPr>
              <w:t>项目成员资质情况</w:t>
            </w:r>
            <w:r>
              <w:rPr>
                <w:rFonts w:hint="eastAsia" w:eastAsia="宋体"/>
                <w:spacing w:val="-8"/>
              </w:rPr>
              <w:t>（6分）</w:t>
            </w:r>
          </w:p>
          <w:p w14:paraId="7BB10C65">
            <w:pPr>
              <w:keepNext w:val="0"/>
              <w:keepLines w:val="0"/>
              <w:pageBreakBefore w:val="0"/>
              <w:numPr>
                <w:ilvl w:val="255"/>
                <w:numId w:val="0"/>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1）相关参与成员（不包含</w:t>
            </w:r>
            <w:r>
              <w:rPr>
                <w:rFonts w:hint="eastAsia" w:eastAsia="宋体"/>
                <w:spacing w:val="-8"/>
              </w:rPr>
              <w:t>项目</w:t>
            </w:r>
            <w:r>
              <w:rPr>
                <w:rFonts w:eastAsia="宋体"/>
                <w:spacing w:val="-8"/>
              </w:rPr>
              <w:t>经理）具有信息系统项目管理工程师（中级）或软件设计师（中级）及以上职称的，每有一名得1分，满分3分。</w:t>
            </w:r>
            <w:r>
              <w:rPr>
                <w:rFonts w:hint="eastAsia" w:eastAsia="宋体"/>
                <w:spacing w:val="-8"/>
              </w:rPr>
              <w:t>未</w:t>
            </w:r>
            <w:r>
              <w:rPr>
                <w:rFonts w:eastAsia="宋体"/>
                <w:spacing w:val="-8"/>
              </w:rPr>
              <w:t>提供不得分。</w:t>
            </w:r>
          </w:p>
          <w:p w14:paraId="523583EA">
            <w:pPr>
              <w:keepNext w:val="0"/>
              <w:keepLines w:val="0"/>
              <w:pageBreakBefore w:val="0"/>
              <w:numPr>
                <w:ilvl w:val="255"/>
                <w:numId w:val="0"/>
              </w:numPr>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2）项目成员具有地理或水利硕士学历的，每有一名得1分，满分3分；</w:t>
            </w:r>
            <w:r>
              <w:rPr>
                <w:rFonts w:hint="eastAsia" w:eastAsia="宋体"/>
                <w:spacing w:val="-8"/>
              </w:rPr>
              <w:t>未</w:t>
            </w:r>
            <w:r>
              <w:rPr>
                <w:rFonts w:eastAsia="宋体"/>
                <w:spacing w:val="-8"/>
              </w:rPr>
              <w:t>提供不得分。</w:t>
            </w:r>
          </w:p>
          <w:p w14:paraId="586F496C">
            <w:pPr>
              <w:keepNext w:val="0"/>
              <w:keepLines w:val="0"/>
              <w:pageBreakBefore w:val="0"/>
              <w:kinsoku/>
              <w:wordWrap/>
              <w:overflowPunct/>
              <w:topLinePunct w:val="0"/>
              <w:autoSpaceDE/>
              <w:autoSpaceDN/>
              <w:bidi w:val="0"/>
              <w:spacing w:line="380" w:lineRule="exact"/>
              <w:ind w:firstLine="480"/>
              <w:textAlignment w:val="auto"/>
              <w:rPr>
                <w:rFonts w:eastAsia="宋体"/>
                <w:color w:val="000000"/>
              </w:rPr>
            </w:pPr>
            <w:r>
              <w:rPr>
                <w:rFonts w:eastAsia="宋体"/>
                <w:spacing w:val="-8"/>
              </w:rPr>
              <w:t>注：以上人员需提供人员资质证书复印件和投标截止日前三个月的</w:t>
            </w:r>
            <w:r>
              <w:rPr>
                <w:rFonts w:eastAsia="宋体"/>
                <w:color w:val="000000"/>
              </w:rPr>
              <w:t>社保缴纳证明材料并加盖投标人公章</w:t>
            </w:r>
            <w:r>
              <w:rPr>
                <w:rFonts w:eastAsia="宋体"/>
                <w:spacing w:val="-8"/>
              </w:rPr>
              <w:t>或相关在职证明。</w:t>
            </w:r>
          </w:p>
        </w:tc>
      </w:tr>
      <w:tr w14:paraId="45EA8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533A2072">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9</w:t>
            </w:r>
          </w:p>
        </w:tc>
        <w:tc>
          <w:tcPr>
            <w:tcW w:w="1662" w:type="dxa"/>
            <w:tcBorders>
              <w:top w:val="single" w:color="000000" w:sz="4" w:space="0"/>
              <w:left w:val="single" w:color="000000" w:sz="4" w:space="0"/>
              <w:bottom w:val="single" w:color="000000" w:sz="4" w:space="0"/>
              <w:right w:val="single" w:color="000000" w:sz="4" w:space="0"/>
            </w:tcBorders>
            <w:vAlign w:val="center"/>
          </w:tcPr>
          <w:p w14:paraId="0255DB65">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eastAsia="宋体"/>
                <w:b/>
                <w:bCs/>
                <w:color w:val="000000"/>
              </w:rPr>
              <w:t>售后服务</w:t>
            </w:r>
          </w:p>
          <w:p w14:paraId="77FB8AAE">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eastAsia="宋体"/>
                <w:b/>
                <w:bCs/>
                <w:color w:val="000000"/>
              </w:rPr>
              <w:t>（</w:t>
            </w:r>
            <w:r>
              <w:rPr>
                <w:rFonts w:hint="eastAsia" w:eastAsia="宋体"/>
                <w:b/>
                <w:bCs/>
                <w:color w:val="000000"/>
              </w:rPr>
              <w:t>6分</w:t>
            </w:r>
            <w:r>
              <w:rPr>
                <w:rFonts w:eastAsia="宋体"/>
                <w:b/>
                <w:bCs/>
                <w:color w:val="000000"/>
              </w:rPr>
              <w:t>）</w:t>
            </w:r>
          </w:p>
        </w:tc>
        <w:tc>
          <w:tcPr>
            <w:tcW w:w="7303" w:type="dxa"/>
            <w:tcBorders>
              <w:top w:val="single" w:color="000000" w:sz="4" w:space="0"/>
              <w:left w:val="single" w:color="000000" w:sz="4" w:space="0"/>
              <w:bottom w:val="single" w:color="000000" w:sz="4" w:space="0"/>
              <w:right w:val="single" w:color="000000" w:sz="4" w:space="0"/>
            </w:tcBorders>
            <w:vAlign w:val="center"/>
          </w:tcPr>
          <w:p w14:paraId="0E1A9D95">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b/>
                <w:bCs/>
                <w:spacing w:val="-8"/>
              </w:rPr>
            </w:pPr>
            <w:r>
              <w:rPr>
                <w:rFonts w:hint="eastAsia" w:eastAsia="宋体"/>
                <w:b/>
                <w:bCs/>
                <w:color w:val="000000"/>
              </w:rPr>
              <w:t>1、投标人</w:t>
            </w:r>
            <w:r>
              <w:rPr>
                <w:rFonts w:hint="eastAsia" w:eastAsia="宋体"/>
                <w:b/>
                <w:bCs/>
                <w:spacing w:val="-8"/>
              </w:rPr>
              <w:t>培训及其他售后服务项目是否齐全、计划是否完善。</w:t>
            </w:r>
          </w:p>
          <w:p w14:paraId="2E1C2609">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1）服务方案齐全、计划完善，得3分；</w:t>
            </w:r>
          </w:p>
          <w:p w14:paraId="08EBF6FF">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2）服务方案较齐全、计划较完善，得2分</w:t>
            </w:r>
          </w:p>
          <w:p w14:paraId="5F6F524D">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3）服务方案普通、计划简略，得1分</w:t>
            </w:r>
          </w:p>
          <w:p w14:paraId="1925E854">
            <w:pPr>
              <w:keepNext w:val="0"/>
              <w:keepLines w:val="0"/>
              <w:pageBreakBefore w:val="0"/>
              <w:kinsoku/>
              <w:wordWrap/>
              <w:overflowPunct/>
              <w:topLinePunct w:val="0"/>
              <w:autoSpaceDE/>
              <w:autoSpaceDN/>
              <w:bidi w:val="0"/>
              <w:spacing w:line="380" w:lineRule="exact"/>
              <w:textAlignment w:val="auto"/>
              <w:rPr>
                <w:rFonts w:eastAsia="宋体"/>
                <w:spacing w:val="-8"/>
              </w:rPr>
            </w:pPr>
            <w:r>
              <w:rPr>
                <w:rFonts w:eastAsia="宋体"/>
                <w:spacing w:val="-8"/>
              </w:rPr>
              <w:t>4）未提供服务方案，得0分。</w:t>
            </w:r>
          </w:p>
          <w:p w14:paraId="07C25653">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b/>
                <w:bCs/>
                <w:spacing w:val="-8"/>
              </w:rPr>
            </w:pPr>
            <w:r>
              <w:rPr>
                <w:rFonts w:hint="eastAsia" w:eastAsia="宋体"/>
                <w:b/>
                <w:bCs/>
                <w:spacing w:val="-8"/>
              </w:rPr>
              <w:t>2、投标人应急响应情况是否完善。</w:t>
            </w:r>
          </w:p>
          <w:p w14:paraId="45765BB5">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1）应急响应方案齐全、计划完善，得3分；</w:t>
            </w:r>
          </w:p>
          <w:p w14:paraId="68A91960">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2）应急响应方案较齐全、计划较完善，得2分</w:t>
            </w:r>
          </w:p>
          <w:p w14:paraId="3A3F63EC">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3）应急响应方案普通、计划简略，得1分</w:t>
            </w:r>
          </w:p>
          <w:p w14:paraId="0B689360">
            <w:pPr>
              <w:pStyle w:val="49"/>
              <w:keepNext w:val="0"/>
              <w:keepLines w:val="0"/>
              <w:pageBreakBefore w:val="0"/>
              <w:kinsoku/>
              <w:wordWrap/>
              <w:overflowPunct/>
              <w:topLinePunct w:val="0"/>
              <w:autoSpaceDE/>
              <w:autoSpaceDN/>
              <w:bidi w:val="0"/>
              <w:spacing w:line="380" w:lineRule="exact"/>
              <w:ind w:left="0" w:firstLine="0" w:firstLineChars="0"/>
              <w:textAlignment w:val="auto"/>
            </w:pPr>
            <w:r>
              <w:rPr>
                <w:rFonts w:ascii="Times New Roman" w:hAnsi="Times New Roman" w:eastAsia="宋体"/>
                <w:spacing w:val="-8"/>
                <w:kern w:val="2"/>
              </w:rPr>
              <w:t>4）未提供方案，得0分</w:t>
            </w:r>
            <w:r>
              <w:rPr>
                <w:rFonts w:ascii="Times New Roman" w:hAnsi="Times New Roman" w:eastAsia="宋体"/>
                <w:spacing w:val="-8"/>
              </w:rPr>
              <w:t>。</w:t>
            </w:r>
          </w:p>
        </w:tc>
      </w:tr>
      <w:tr w14:paraId="3BA18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14:paraId="7450660C">
            <w:pPr>
              <w:keepNext w:val="0"/>
              <w:keepLines w:val="0"/>
              <w:pageBreakBefore w:val="0"/>
              <w:kinsoku/>
              <w:wordWrap/>
              <w:overflowPunct/>
              <w:topLinePunct w:val="0"/>
              <w:autoSpaceDE/>
              <w:autoSpaceDN/>
              <w:bidi w:val="0"/>
              <w:spacing w:line="380" w:lineRule="exact"/>
              <w:jc w:val="center"/>
              <w:textAlignment w:val="auto"/>
              <w:rPr>
                <w:rFonts w:eastAsia="宋体"/>
                <w:color w:val="000000"/>
              </w:rPr>
            </w:pPr>
            <w:r>
              <w:rPr>
                <w:rFonts w:hint="eastAsia" w:eastAsia="宋体"/>
                <w:color w:val="000000"/>
              </w:rPr>
              <w:t>10</w:t>
            </w:r>
          </w:p>
        </w:tc>
        <w:tc>
          <w:tcPr>
            <w:tcW w:w="1662" w:type="dxa"/>
            <w:tcBorders>
              <w:top w:val="single" w:color="000000" w:sz="4" w:space="0"/>
              <w:left w:val="single" w:color="000000" w:sz="4" w:space="0"/>
              <w:bottom w:val="single" w:color="000000" w:sz="4" w:space="0"/>
              <w:right w:val="single" w:color="000000" w:sz="4" w:space="0"/>
            </w:tcBorders>
            <w:vAlign w:val="center"/>
          </w:tcPr>
          <w:p w14:paraId="69F9150D">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hint="eastAsia" w:eastAsia="宋体"/>
                <w:b/>
                <w:bCs/>
                <w:color w:val="000000"/>
              </w:rPr>
              <w:t>维保条件</w:t>
            </w:r>
          </w:p>
          <w:p w14:paraId="4B67DA69">
            <w:pPr>
              <w:keepNext w:val="0"/>
              <w:keepLines w:val="0"/>
              <w:pageBreakBefore w:val="0"/>
              <w:kinsoku/>
              <w:wordWrap/>
              <w:overflowPunct/>
              <w:topLinePunct w:val="0"/>
              <w:autoSpaceDE/>
              <w:autoSpaceDN/>
              <w:bidi w:val="0"/>
              <w:spacing w:line="380" w:lineRule="exact"/>
              <w:jc w:val="center"/>
              <w:textAlignment w:val="auto"/>
              <w:rPr>
                <w:rFonts w:eastAsia="宋体"/>
                <w:b/>
                <w:bCs/>
                <w:color w:val="000000"/>
              </w:rPr>
            </w:pPr>
            <w:r>
              <w:rPr>
                <w:rFonts w:eastAsia="宋体"/>
                <w:b/>
                <w:bCs/>
                <w:color w:val="000000"/>
              </w:rPr>
              <w:t>（</w:t>
            </w:r>
            <w:r>
              <w:rPr>
                <w:rFonts w:hint="eastAsia" w:eastAsia="宋体"/>
                <w:b/>
                <w:bCs/>
                <w:color w:val="000000"/>
                <w:lang w:val="en-US" w:eastAsia="zh-CN"/>
              </w:rPr>
              <w:t>4</w:t>
            </w:r>
            <w:r>
              <w:rPr>
                <w:rFonts w:hint="eastAsia" w:eastAsia="宋体"/>
                <w:b/>
                <w:bCs/>
                <w:color w:val="000000"/>
              </w:rPr>
              <w:t>分</w:t>
            </w:r>
            <w:r>
              <w:rPr>
                <w:rFonts w:eastAsia="宋体"/>
                <w:b/>
                <w:bCs/>
                <w:color w:val="000000"/>
              </w:rPr>
              <w:t>）</w:t>
            </w:r>
          </w:p>
        </w:tc>
        <w:tc>
          <w:tcPr>
            <w:tcW w:w="7303" w:type="dxa"/>
            <w:tcBorders>
              <w:top w:val="single" w:color="000000" w:sz="4" w:space="0"/>
              <w:left w:val="single" w:color="000000" w:sz="4" w:space="0"/>
              <w:bottom w:val="single" w:color="000000" w:sz="4" w:space="0"/>
              <w:right w:val="single" w:color="000000" w:sz="4" w:space="0"/>
            </w:tcBorders>
            <w:vAlign w:val="center"/>
          </w:tcPr>
          <w:p w14:paraId="6DE4D382">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维保条件、免费维护期限，按优惠程度酌情打分。</w:t>
            </w:r>
          </w:p>
          <w:p w14:paraId="7E93062D">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1）优惠程度高，得</w:t>
            </w:r>
            <w:r>
              <w:rPr>
                <w:rFonts w:hint="eastAsia" w:eastAsia="宋体"/>
                <w:spacing w:val="-8"/>
                <w:lang w:val="en-US" w:eastAsia="zh-CN"/>
              </w:rPr>
              <w:t>4</w:t>
            </w:r>
            <w:r>
              <w:rPr>
                <w:rFonts w:eastAsia="宋体"/>
                <w:spacing w:val="-8"/>
              </w:rPr>
              <w:t>分；</w:t>
            </w:r>
          </w:p>
          <w:p w14:paraId="6960F863">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2）优惠程度一般，得2分；</w:t>
            </w:r>
          </w:p>
          <w:p w14:paraId="4825DA89">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spacing w:val="-8"/>
              </w:rPr>
            </w:pPr>
            <w:r>
              <w:rPr>
                <w:rFonts w:eastAsia="宋体"/>
                <w:spacing w:val="-8"/>
              </w:rPr>
              <w:t>3）优惠程度低，得1分；</w:t>
            </w:r>
          </w:p>
          <w:p w14:paraId="6A32D851">
            <w:pPr>
              <w:keepNext w:val="0"/>
              <w:keepLines w:val="0"/>
              <w:pageBreakBefore w:val="0"/>
              <w:kinsoku/>
              <w:wordWrap/>
              <w:overflowPunct/>
              <w:topLinePunct w:val="0"/>
              <w:autoSpaceDE/>
              <w:autoSpaceDN/>
              <w:bidi w:val="0"/>
              <w:adjustRightInd w:val="0"/>
              <w:snapToGrid w:val="0"/>
              <w:spacing w:line="380" w:lineRule="exact"/>
              <w:jc w:val="left"/>
              <w:textAlignment w:val="auto"/>
              <w:rPr>
                <w:rFonts w:eastAsia="宋体"/>
                <w:color w:val="000000"/>
              </w:rPr>
            </w:pPr>
            <w:r>
              <w:rPr>
                <w:rFonts w:eastAsia="宋体"/>
                <w:spacing w:val="-8"/>
              </w:rPr>
              <w:t>4）无优惠得0分。</w:t>
            </w:r>
          </w:p>
        </w:tc>
      </w:tr>
    </w:tbl>
    <w:p w14:paraId="25774267">
      <w:pPr>
        <w:adjustRightInd w:val="0"/>
        <w:snapToGrid w:val="0"/>
        <w:spacing w:before="240" w:line="360" w:lineRule="auto"/>
        <w:ind w:firstLine="482" w:firstLineChars="200"/>
        <w:outlineLvl w:val="1"/>
        <w:rPr>
          <w:rFonts w:eastAsia="宋体"/>
        </w:rPr>
      </w:pPr>
      <w:r>
        <w:rPr>
          <w:rFonts w:eastAsia="宋体"/>
          <w:b/>
          <w:bCs/>
          <w:u w:val="thick"/>
        </w:rPr>
        <w:t>特别提醒：技术标评分中所涉及相关资料等证明材料均须提供原件复印件或扫描件并加盖公章，同时将原件带至开标现场备查，</w:t>
      </w:r>
      <w:r>
        <w:rPr>
          <w:rFonts w:eastAsia="宋体"/>
          <w:b/>
          <w:bCs/>
          <w:u w:val="thick"/>
          <w:lang w:val="zh-TW"/>
        </w:rPr>
        <w:t>所提供的相关材料缺失、不符或不提供者，有关评分内容不得分，材料原件可用公证件原件替代，不需密封。</w:t>
      </w:r>
      <w:r>
        <w:rPr>
          <w:rFonts w:eastAsia="宋体"/>
          <w:b/>
          <w:bCs/>
          <w:u w:val="thick"/>
        </w:rPr>
        <w:t>未携带原件或因携带原件不全所引起的后果由</w:t>
      </w:r>
      <w:r>
        <w:rPr>
          <w:rFonts w:hint="eastAsia" w:eastAsia="宋体"/>
          <w:b/>
          <w:bCs/>
          <w:u w:val="thick"/>
        </w:rPr>
        <w:t>供应商</w:t>
      </w:r>
      <w:r>
        <w:rPr>
          <w:rFonts w:eastAsia="宋体"/>
          <w:b/>
          <w:bCs/>
          <w:u w:val="thick"/>
        </w:rPr>
        <w:t>自行承担。</w:t>
      </w:r>
      <w:r>
        <w:rPr>
          <w:rFonts w:eastAsia="宋体"/>
          <w:b/>
          <w:bCs/>
          <w:u w:val="thick"/>
          <w:lang w:val="zh-TW"/>
        </w:rPr>
        <w:t>评标未尽事宜由评标委员会根据有关规定讨论决定。</w:t>
      </w:r>
    </w:p>
    <w:p w14:paraId="333CE38B">
      <w:pPr>
        <w:snapToGrid w:val="0"/>
        <w:spacing w:line="360" w:lineRule="auto"/>
        <w:ind w:firstLine="480" w:firstLineChars="200"/>
        <w:rPr>
          <w:rFonts w:eastAsia="宋体"/>
        </w:rPr>
      </w:pPr>
      <w:r>
        <w:rPr>
          <w:rFonts w:eastAsia="宋体"/>
        </w:rPr>
        <w:t>（二）报价响应评分：（</w:t>
      </w:r>
      <w:r>
        <w:rPr>
          <w:rFonts w:hint="eastAsia" w:eastAsia="宋体"/>
        </w:rPr>
        <w:t>10</w:t>
      </w:r>
      <w:r>
        <w:rPr>
          <w:rFonts w:eastAsia="宋体"/>
        </w:rPr>
        <w:t>分）</w:t>
      </w:r>
    </w:p>
    <w:p w14:paraId="41F20B56">
      <w:pPr>
        <w:snapToGrid w:val="0"/>
        <w:spacing w:line="360" w:lineRule="auto"/>
        <w:ind w:firstLine="482" w:firstLineChars="200"/>
        <w:rPr>
          <w:rFonts w:eastAsia="宋体"/>
          <w:b/>
        </w:rPr>
      </w:pPr>
      <w:r>
        <w:rPr>
          <w:rFonts w:eastAsia="宋体"/>
          <w:b/>
        </w:rPr>
        <w:t>1、本次项目最高限价为40万元，报价不得超过限价，否则做无效投标处理。</w:t>
      </w:r>
    </w:p>
    <w:p w14:paraId="7DA9B2C9">
      <w:pPr>
        <w:snapToGrid w:val="0"/>
        <w:spacing w:line="360" w:lineRule="auto"/>
        <w:ind w:firstLine="480" w:firstLineChars="200"/>
        <w:rPr>
          <w:rFonts w:eastAsia="宋体"/>
        </w:rPr>
      </w:pPr>
      <w:r>
        <w:rPr>
          <w:rFonts w:eastAsia="宋体"/>
        </w:rPr>
        <w:t>2、满足磋商文件要求且最后报价最低的供应商的价格为磋商基准价，其报价</w:t>
      </w:r>
      <w:r>
        <w:rPr>
          <w:rFonts w:eastAsia="宋体"/>
          <w:kern w:val="0"/>
        </w:rPr>
        <w:t>响应</w:t>
      </w:r>
      <w:r>
        <w:rPr>
          <w:rFonts w:hint="eastAsia" w:eastAsia="宋体"/>
          <w:kern w:val="0"/>
        </w:rPr>
        <w:t>得</w:t>
      </w:r>
      <w:r>
        <w:rPr>
          <w:rFonts w:eastAsia="宋体"/>
        </w:rPr>
        <w:t>分为满分。其他供应商的报价</w:t>
      </w:r>
      <w:r>
        <w:rPr>
          <w:rFonts w:eastAsia="宋体"/>
          <w:kern w:val="0"/>
        </w:rPr>
        <w:t>响应</w:t>
      </w:r>
      <w:r>
        <w:rPr>
          <w:rFonts w:hint="eastAsia" w:eastAsia="宋体"/>
          <w:kern w:val="0"/>
        </w:rPr>
        <w:t>得</w:t>
      </w:r>
      <w:r>
        <w:rPr>
          <w:rFonts w:eastAsia="宋体"/>
        </w:rPr>
        <w:t>分统一按照下列公式计算：</w:t>
      </w:r>
    </w:p>
    <w:p w14:paraId="723CD356">
      <w:pPr>
        <w:snapToGrid w:val="0"/>
        <w:spacing w:line="360" w:lineRule="auto"/>
        <w:ind w:firstLine="482" w:firstLineChars="200"/>
        <w:rPr>
          <w:rFonts w:eastAsia="宋体"/>
          <w:b/>
        </w:rPr>
      </w:pPr>
      <w:r>
        <w:rPr>
          <w:rFonts w:eastAsia="宋体"/>
          <w:b/>
        </w:rPr>
        <w:t>报价</w:t>
      </w:r>
      <w:r>
        <w:rPr>
          <w:rFonts w:eastAsia="宋体"/>
          <w:b/>
          <w:kern w:val="0"/>
        </w:rPr>
        <w:t>响应</w:t>
      </w:r>
      <w:r>
        <w:rPr>
          <w:rFonts w:hint="eastAsia" w:eastAsia="宋体"/>
          <w:b/>
          <w:kern w:val="0"/>
        </w:rPr>
        <w:t>得</w:t>
      </w:r>
      <w:r>
        <w:rPr>
          <w:rFonts w:eastAsia="宋体"/>
          <w:b/>
        </w:rPr>
        <w:t>分 =（磋商基准价/最后磋商报价）×</w:t>
      </w:r>
      <w:r>
        <w:rPr>
          <w:rFonts w:hint="eastAsia" w:eastAsia="宋体"/>
          <w:b/>
        </w:rPr>
        <w:t>10</w:t>
      </w:r>
      <w:r>
        <w:rPr>
          <w:rFonts w:eastAsia="宋体"/>
          <w:b/>
        </w:rPr>
        <w:t>%×100</w:t>
      </w:r>
    </w:p>
    <w:p w14:paraId="22847012">
      <w:pPr>
        <w:snapToGrid w:val="0"/>
        <w:spacing w:line="360" w:lineRule="auto"/>
        <w:ind w:firstLine="482" w:firstLineChars="200"/>
        <w:rPr>
          <w:rFonts w:eastAsia="宋体"/>
          <w:b/>
        </w:rPr>
      </w:pPr>
      <w:r>
        <w:rPr>
          <w:rFonts w:eastAsia="宋体"/>
          <w:b/>
        </w:rPr>
        <w:t>六、出现下列情形之一的，作无效响应处理</w:t>
      </w:r>
    </w:p>
    <w:p w14:paraId="4DCC36AF">
      <w:pPr>
        <w:snapToGrid w:val="0"/>
        <w:spacing w:line="360" w:lineRule="auto"/>
        <w:ind w:firstLine="480" w:firstLineChars="200"/>
        <w:rPr>
          <w:rFonts w:eastAsia="宋体"/>
        </w:rPr>
      </w:pPr>
      <w:r>
        <w:rPr>
          <w:rFonts w:eastAsia="宋体"/>
        </w:rPr>
        <w:t>1、响应文件未按磋商文件要求装订、密封、签署、盖章及主要资料不齐全的；</w:t>
      </w:r>
    </w:p>
    <w:p w14:paraId="2E5AB0BE">
      <w:pPr>
        <w:snapToGrid w:val="0"/>
        <w:spacing w:line="360" w:lineRule="auto"/>
        <w:ind w:firstLine="480" w:firstLineChars="200"/>
        <w:rPr>
          <w:rFonts w:eastAsia="宋体"/>
        </w:rPr>
      </w:pPr>
      <w:r>
        <w:rPr>
          <w:rFonts w:eastAsia="宋体"/>
        </w:rPr>
        <w:t>2、响应文件的资料有虚报或者谎报的；</w:t>
      </w:r>
    </w:p>
    <w:p w14:paraId="683B2257">
      <w:pPr>
        <w:snapToGrid w:val="0"/>
        <w:spacing w:line="360" w:lineRule="auto"/>
        <w:ind w:firstLine="480" w:firstLineChars="200"/>
        <w:rPr>
          <w:rFonts w:eastAsia="宋体"/>
        </w:rPr>
      </w:pPr>
      <w:r>
        <w:rPr>
          <w:rFonts w:eastAsia="宋体"/>
        </w:rPr>
        <w:t>3、响应文件中资格审查文件及技术响应文件出现磋商报价的内容；</w:t>
      </w:r>
    </w:p>
    <w:p w14:paraId="3FA16216">
      <w:pPr>
        <w:snapToGrid w:val="0"/>
        <w:spacing w:line="360" w:lineRule="auto"/>
        <w:ind w:firstLine="480" w:firstLineChars="200"/>
        <w:rPr>
          <w:rFonts w:eastAsia="宋体"/>
        </w:rPr>
      </w:pPr>
      <w:r>
        <w:rPr>
          <w:rFonts w:eastAsia="宋体"/>
        </w:rPr>
        <w:t>4、不具备磋商文件规定的资格要求的；</w:t>
      </w:r>
    </w:p>
    <w:p w14:paraId="2D3CB0D9">
      <w:pPr>
        <w:snapToGrid w:val="0"/>
        <w:spacing w:line="360" w:lineRule="auto"/>
        <w:ind w:firstLine="480" w:firstLineChars="200"/>
        <w:rPr>
          <w:rFonts w:eastAsia="宋体"/>
        </w:rPr>
      </w:pPr>
      <w:r>
        <w:rPr>
          <w:rFonts w:eastAsia="宋体"/>
        </w:rPr>
        <w:t>5、响应文件有重大漏项或重大不合理的；</w:t>
      </w:r>
    </w:p>
    <w:p w14:paraId="0C5939EB">
      <w:pPr>
        <w:snapToGrid w:val="0"/>
        <w:spacing w:line="360" w:lineRule="auto"/>
        <w:ind w:firstLine="480" w:firstLineChars="200"/>
        <w:rPr>
          <w:rFonts w:eastAsia="宋体"/>
        </w:rPr>
      </w:pPr>
      <w:r>
        <w:rPr>
          <w:rFonts w:eastAsia="宋体"/>
        </w:rPr>
        <w:t>6、项目技术、方案不满足项目需求中的要求，有重大偏离或保留的；</w:t>
      </w:r>
    </w:p>
    <w:p w14:paraId="560FB1FA">
      <w:pPr>
        <w:snapToGrid w:val="0"/>
        <w:spacing w:line="360" w:lineRule="auto"/>
        <w:ind w:firstLine="480" w:firstLineChars="200"/>
        <w:rPr>
          <w:rFonts w:eastAsia="宋体"/>
        </w:rPr>
      </w:pPr>
      <w:r>
        <w:rPr>
          <w:rFonts w:eastAsia="宋体"/>
        </w:rPr>
        <w:t>7、磋商响应报价超出项目预算的；</w:t>
      </w:r>
    </w:p>
    <w:p w14:paraId="332BBA35">
      <w:pPr>
        <w:snapToGrid w:val="0"/>
        <w:spacing w:line="360" w:lineRule="auto"/>
        <w:ind w:firstLine="480" w:firstLineChars="200"/>
        <w:rPr>
          <w:rFonts w:eastAsia="宋体"/>
        </w:rPr>
      </w:pPr>
      <w:r>
        <w:rPr>
          <w:rFonts w:eastAsia="宋体"/>
        </w:rPr>
        <w:t>8、被认定为低于成本报价磋商竞标的；</w:t>
      </w:r>
    </w:p>
    <w:p w14:paraId="2F935CCB">
      <w:pPr>
        <w:snapToGrid w:val="0"/>
        <w:spacing w:line="360" w:lineRule="auto"/>
        <w:ind w:firstLine="480" w:firstLineChars="200"/>
        <w:rPr>
          <w:rFonts w:eastAsia="宋体"/>
        </w:rPr>
      </w:pPr>
      <w:r>
        <w:rPr>
          <w:rFonts w:eastAsia="宋体"/>
        </w:rPr>
        <w:t>9、供应商的磋商报价高于自己前一轮的；</w:t>
      </w:r>
    </w:p>
    <w:p w14:paraId="435BB3E8">
      <w:pPr>
        <w:snapToGrid w:val="0"/>
        <w:spacing w:line="360" w:lineRule="auto"/>
        <w:ind w:firstLine="480" w:firstLineChars="200"/>
        <w:rPr>
          <w:rFonts w:eastAsia="宋体"/>
        </w:rPr>
      </w:pPr>
      <w:r>
        <w:rPr>
          <w:rFonts w:eastAsia="宋体"/>
        </w:rPr>
        <w:t>10、不符合法律、法规和磋商文件中规定的其他实质性响应要求的；</w:t>
      </w:r>
    </w:p>
    <w:p w14:paraId="0E310194">
      <w:pPr>
        <w:snapToGrid w:val="0"/>
        <w:spacing w:line="360" w:lineRule="auto"/>
        <w:ind w:firstLine="480" w:firstLineChars="200"/>
        <w:rPr>
          <w:rFonts w:hint="default" w:ascii="Times New Roman" w:hAnsi="Times New Roman" w:eastAsia="宋体" w:cs="Times New Roman"/>
          <w:b w:val="0"/>
          <w:bCs w:val="0"/>
          <w:sz w:val="24"/>
        </w:rPr>
      </w:pPr>
      <w:r>
        <w:rPr>
          <w:rFonts w:hint="default" w:ascii="Times New Roman" w:hAnsi="Times New Roman" w:eastAsia="宋体" w:cs="Times New Roman"/>
          <w:b w:val="0"/>
          <w:bCs w:val="0"/>
          <w:lang w:val="en-US" w:eastAsia="zh-CN"/>
        </w:rPr>
        <w:t>11、</w:t>
      </w:r>
      <w:r>
        <w:rPr>
          <w:rFonts w:hint="default" w:ascii="Times New Roman" w:hAnsi="Times New Roman" w:eastAsia="宋体" w:cs="Times New Roman"/>
          <w:b w:val="0"/>
          <w:bCs w:val="0"/>
          <w:sz w:val="24"/>
        </w:rPr>
        <w:t xml:space="preserve"> 组成联合体投标未提供联合体协议的；</w:t>
      </w:r>
    </w:p>
    <w:p w14:paraId="35A0F020">
      <w:pPr>
        <w:snapToGrid w:val="0"/>
        <w:spacing w:line="360" w:lineRule="auto"/>
        <w:ind w:firstLine="480" w:firstLineChars="200"/>
        <w:rPr>
          <w:rFonts w:eastAsia="宋体"/>
        </w:rPr>
      </w:pPr>
      <w:r>
        <w:rPr>
          <w:rFonts w:hint="default" w:eastAsia="宋体"/>
          <w:b w:val="0"/>
          <w:bCs w:val="0"/>
          <w:sz w:val="24"/>
          <w:lang w:val="en-US" w:eastAsia="zh-CN"/>
        </w:rPr>
        <w:t>12、</w:t>
      </w:r>
      <w:r>
        <w:rPr>
          <w:rFonts w:eastAsia="宋体"/>
          <w:b w:val="0"/>
          <w:bCs w:val="0"/>
          <w:sz w:val="24"/>
        </w:rPr>
        <w:t>在同一</w:t>
      </w:r>
      <w:r>
        <w:rPr>
          <w:rFonts w:hint="default" w:eastAsia="宋体"/>
          <w:b w:val="0"/>
          <w:bCs w:val="0"/>
          <w:sz w:val="24"/>
          <w:lang w:eastAsia="zh-CN"/>
        </w:rPr>
        <w:t>采购</w:t>
      </w:r>
      <w:r>
        <w:rPr>
          <w:rFonts w:eastAsia="宋体"/>
          <w:b w:val="0"/>
          <w:bCs w:val="0"/>
          <w:sz w:val="24"/>
        </w:rPr>
        <w:t>项目中，联合体成员以自己名义单独</w:t>
      </w:r>
      <w:r>
        <w:rPr>
          <w:rFonts w:hint="default" w:eastAsia="宋体"/>
          <w:b w:val="0"/>
          <w:bCs w:val="0"/>
          <w:sz w:val="24"/>
          <w:lang w:eastAsia="zh-CN"/>
        </w:rPr>
        <w:t>参与磋商</w:t>
      </w:r>
      <w:r>
        <w:rPr>
          <w:rFonts w:eastAsia="宋体"/>
          <w:b w:val="0"/>
          <w:bCs w:val="0"/>
          <w:sz w:val="24"/>
        </w:rPr>
        <w:t>或者参加其他联合体</w:t>
      </w:r>
      <w:r>
        <w:rPr>
          <w:rFonts w:hint="default" w:eastAsia="宋体"/>
          <w:b w:val="0"/>
          <w:bCs w:val="0"/>
          <w:sz w:val="24"/>
          <w:lang w:eastAsia="zh-CN"/>
        </w:rPr>
        <w:t>磋商</w:t>
      </w:r>
      <w:r>
        <w:rPr>
          <w:rFonts w:eastAsia="宋体"/>
          <w:b w:val="0"/>
          <w:bCs w:val="0"/>
          <w:sz w:val="24"/>
        </w:rPr>
        <w:t>的；</w:t>
      </w:r>
    </w:p>
    <w:p w14:paraId="3011B528">
      <w:pPr>
        <w:snapToGrid w:val="0"/>
        <w:spacing w:line="360" w:lineRule="auto"/>
        <w:ind w:firstLine="480" w:firstLineChars="200"/>
        <w:rPr>
          <w:rFonts w:eastAsia="宋体"/>
        </w:rPr>
      </w:pPr>
      <w:r>
        <w:rPr>
          <w:rFonts w:eastAsia="宋体"/>
        </w:rPr>
        <w:t>1</w:t>
      </w:r>
      <w:r>
        <w:rPr>
          <w:rFonts w:hint="eastAsia" w:eastAsia="宋体"/>
          <w:lang w:val="en-US" w:eastAsia="zh-CN"/>
        </w:rPr>
        <w:t>3</w:t>
      </w:r>
      <w:r>
        <w:rPr>
          <w:rFonts w:eastAsia="宋体"/>
        </w:rPr>
        <w:t>、磋商小组依据法律法规可以认定为无效投标的其他情况。</w:t>
      </w:r>
    </w:p>
    <w:p w14:paraId="325F8C42">
      <w:pPr>
        <w:snapToGrid w:val="0"/>
        <w:spacing w:line="360" w:lineRule="auto"/>
        <w:ind w:firstLine="482" w:firstLineChars="200"/>
        <w:outlineLvl w:val="1"/>
        <w:rPr>
          <w:rFonts w:eastAsia="宋体"/>
          <w:b/>
        </w:rPr>
      </w:pPr>
      <w:r>
        <w:rPr>
          <w:rFonts w:eastAsia="宋体"/>
          <w:b/>
        </w:rPr>
        <w:t>七、出现下列情形之一的，作废标处理</w:t>
      </w:r>
    </w:p>
    <w:p w14:paraId="169499D2">
      <w:pPr>
        <w:snapToGrid w:val="0"/>
        <w:spacing w:line="360" w:lineRule="auto"/>
        <w:ind w:firstLine="480" w:firstLineChars="200"/>
        <w:rPr>
          <w:rFonts w:eastAsia="宋体"/>
        </w:rPr>
      </w:pPr>
      <w:r>
        <w:rPr>
          <w:rFonts w:eastAsia="宋体"/>
        </w:rPr>
        <w:t>1、供应商的报价均超出了采购预算，采购单位不能支付的；</w:t>
      </w:r>
    </w:p>
    <w:p w14:paraId="5DDDB899">
      <w:pPr>
        <w:snapToGrid w:val="0"/>
        <w:spacing w:line="360" w:lineRule="auto"/>
        <w:ind w:firstLine="480" w:firstLineChars="200"/>
        <w:rPr>
          <w:rFonts w:eastAsia="宋体"/>
        </w:rPr>
      </w:pPr>
      <w:r>
        <w:rPr>
          <w:rFonts w:eastAsia="宋体"/>
        </w:rPr>
        <w:t>2、因情况变化，不再符合规定的竞争性磋商采购方式所适用情形的；</w:t>
      </w:r>
    </w:p>
    <w:p w14:paraId="1DFF9EF9">
      <w:pPr>
        <w:snapToGrid w:val="0"/>
        <w:spacing w:line="360" w:lineRule="auto"/>
        <w:ind w:firstLine="480" w:firstLineChars="200"/>
        <w:rPr>
          <w:rFonts w:eastAsia="宋体"/>
        </w:rPr>
      </w:pPr>
      <w:r>
        <w:rPr>
          <w:rFonts w:eastAsia="宋体"/>
        </w:rPr>
        <w:t>3、出现影响采购公正的违法、违规行为的；</w:t>
      </w:r>
    </w:p>
    <w:p w14:paraId="728284AE">
      <w:pPr>
        <w:snapToGrid w:val="0"/>
        <w:spacing w:line="360" w:lineRule="auto"/>
        <w:ind w:firstLine="480" w:firstLineChars="200"/>
        <w:rPr>
          <w:rFonts w:eastAsia="宋体"/>
        </w:rPr>
      </w:pPr>
      <w:r>
        <w:rPr>
          <w:rFonts w:eastAsia="宋体"/>
        </w:rPr>
        <w:t>4、因重大变故，采购任务取消的；</w:t>
      </w:r>
    </w:p>
    <w:p w14:paraId="1428F954">
      <w:pPr>
        <w:snapToGrid w:val="0"/>
        <w:spacing w:line="360" w:lineRule="auto"/>
        <w:ind w:firstLine="480" w:firstLineChars="200"/>
        <w:rPr>
          <w:rFonts w:eastAsia="宋体"/>
        </w:rPr>
      </w:pPr>
      <w:r>
        <w:rPr>
          <w:rFonts w:eastAsia="宋体"/>
        </w:rPr>
        <w:t>5、符合资格条件或者对磋商文件作实质响应的投标供应商不足3家的；</w:t>
      </w:r>
    </w:p>
    <w:p w14:paraId="02F1D792">
      <w:pPr>
        <w:snapToGrid w:val="0"/>
        <w:spacing w:line="360" w:lineRule="auto"/>
        <w:ind w:firstLine="480" w:firstLineChars="200"/>
        <w:rPr>
          <w:rFonts w:eastAsia="宋体"/>
        </w:rPr>
      </w:pPr>
      <w:r>
        <w:rPr>
          <w:rFonts w:eastAsia="宋体"/>
        </w:rPr>
        <w:t>6、磋商小组依据法律法规可以认定为废标的其他情况。</w:t>
      </w:r>
    </w:p>
    <w:p w14:paraId="12E7BD88">
      <w:pPr>
        <w:snapToGrid w:val="0"/>
        <w:spacing w:line="360" w:lineRule="auto"/>
        <w:ind w:firstLine="482" w:firstLineChars="200"/>
        <w:outlineLvl w:val="1"/>
        <w:rPr>
          <w:rFonts w:eastAsia="宋体"/>
          <w:b/>
        </w:rPr>
      </w:pPr>
      <w:r>
        <w:rPr>
          <w:rFonts w:eastAsia="宋体"/>
          <w:b/>
        </w:rPr>
        <w:t>八、成交通知</w:t>
      </w:r>
    </w:p>
    <w:p w14:paraId="5F5EB471">
      <w:pPr>
        <w:spacing w:line="360" w:lineRule="auto"/>
        <w:ind w:firstLine="484" w:firstLineChars="202"/>
        <w:rPr>
          <w:rFonts w:eastAsia="宋体"/>
          <w:b/>
          <w:bCs/>
        </w:rPr>
      </w:pPr>
      <w:r>
        <w:rPr>
          <w:rFonts w:eastAsia="宋体"/>
          <w:kern w:val="0"/>
        </w:rPr>
        <w:t>成交结果在</w:t>
      </w:r>
      <w:r>
        <w:rPr>
          <w:rFonts w:eastAsia="宋体"/>
        </w:rPr>
        <w:t>南通市水利局网</w:t>
      </w:r>
      <w:r>
        <w:rPr>
          <w:rFonts w:eastAsia="宋体"/>
          <w:kern w:val="0"/>
        </w:rPr>
        <w:t>公示</w:t>
      </w:r>
      <w:r>
        <w:rPr>
          <w:rFonts w:eastAsia="宋体"/>
          <w:b/>
          <w:kern w:val="0"/>
        </w:rPr>
        <w:t>1</w:t>
      </w:r>
      <w:r>
        <w:rPr>
          <w:rFonts w:eastAsia="宋体"/>
          <w:kern w:val="0"/>
        </w:rPr>
        <w:t>个工作日。《成交通知书》一经发出，采购单位改变成交结果，或者成交人放弃成交的，各自承担相应的法律责任。《成交通知书》是采购合同的组成部分。</w:t>
      </w:r>
    </w:p>
    <w:p w14:paraId="4F3D4012">
      <w:pPr>
        <w:spacing w:line="360" w:lineRule="auto"/>
        <w:ind w:firstLine="487" w:firstLineChars="202"/>
        <w:rPr>
          <w:rFonts w:eastAsia="宋体"/>
          <w:b/>
          <w:bCs/>
        </w:rPr>
      </w:pPr>
    </w:p>
    <w:p w14:paraId="7BCFD764">
      <w:pPr>
        <w:pStyle w:val="18"/>
        <w:spacing w:line="360" w:lineRule="auto"/>
        <w:rPr>
          <w:rFonts w:ascii="Times New Roman" w:eastAsia="宋体"/>
        </w:rPr>
      </w:pPr>
    </w:p>
    <w:p w14:paraId="6F8703E6">
      <w:pPr>
        <w:tabs>
          <w:tab w:val="left" w:pos="1050"/>
          <w:tab w:val="right" w:leader="dot" w:pos="9402"/>
        </w:tabs>
        <w:spacing w:line="360" w:lineRule="auto"/>
        <w:jc w:val="center"/>
        <w:outlineLvl w:val="0"/>
        <w:rPr>
          <w:rFonts w:eastAsia="宋体"/>
          <w:b/>
          <w:bCs/>
          <w:w w:val="80"/>
          <w:sz w:val="36"/>
          <w:szCs w:val="36"/>
        </w:rPr>
      </w:pPr>
      <w:r>
        <w:rPr>
          <w:rFonts w:eastAsia="宋体"/>
          <w:b/>
          <w:bCs/>
          <w:w w:val="80"/>
          <w:sz w:val="36"/>
          <w:szCs w:val="36"/>
        </w:rPr>
        <w:br w:type="page"/>
      </w:r>
      <w:r>
        <w:rPr>
          <w:rFonts w:eastAsia="宋体"/>
          <w:b/>
          <w:bCs/>
          <w:w w:val="80"/>
          <w:sz w:val="36"/>
          <w:szCs w:val="36"/>
        </w:rPr>
        <w:t>第五章  合同主要条款</w:t>
      </w:r>
    </w:p>
    <w:p w14:paraId="29AD700A">
      <w:pPr>
        <w:snapToGrid w:val="0"/>
        <w:spacing w:line="480" w:lineRule="exact"/>
        <w:ind w:firstLine="573"/>
        <w:jc w:val="center"/>
        <w:rPr>
          <w:rFonts w:eastAsia="黑体"/>
          <w:kern w:val="0"/>
          <w:sz w:val="32"/>
          <w:szCs w:val="32"/>
        </w:rPr>
      </w:pPr>
      <w:bookmarkStart w:id="33" w:name="_Toc94585343"/>
      <w:bookmarkStart w:id="34" w:name="_Toc363573858"/>
      <w:r>
        <w:rPr>
          <w:rFonts w:eastAsia="黑体"/>
          <w:kern w:val="0"/>
          <w:sz w:val="32"/>
          <w:szCs w:val="32"/>
        </w:rPr>
        <w:t>协 议 书</w:t>
      </w:r>
    </w:p>
    <w:p w14:paraId="7DAFEF3E">
      <w:pPr>
        <w:spacing w:line="480" w:lineRule="auto"/>
        <w:rPr>
          <w:rFonts w:eastAsia="宋体"/>
          <w:b/>
        </w:rPr>
      </w:pPr>
      <w:r>
        <w:rPr>
          <w:rFonts w:eastAsia="宋体"/>
          <w:b/>
        </w:rPr>
        <w:t>甲方：南通市水利局</w:t>
      </w:r>
    </w:p>
    <w:p w14:paraId="617A25E4">
      <w:pPr>
        <w:spacing w:line="480" w:lineRule="auto"/>
        <w:rPr>
          <w:rFonts w:eastAsia="宋体"/>
          <w:b/>
        </w:rPr>
      </w:pPr>
      <w:r>
        <w:rPr>
          <w:rFonts w:eastAsia="宋体"/>
          <w:b/>
        </w:rPr>
        <w:t>乙方：</w:t>
      </w:r>
      <w:r>
        <w:rPr>
          <w:rFonts w:hint="eastAsia" w:eastAsia="宋体"/>
          <w:b/>
        </w:rPr>
        <w:t xml:space="preserve"> </w:t>
      </w:r>
    </w:p>
    <w:p w14:paraId="2547A345">
      <w:pPr>
        <w:spacing w:line="460" w:lineRule="exact"/>
        <w:ind w:firstLine="480" w:firstLineChars="200"/>
        <w:jc w:val="left"/>
        <w:rPr>
          <w:rFonts w:eastAsia="宋体"/>
          <w:lang w:val="zh-CN" w:bidi="ar"/>
        </w:rPr>
      </w:pPr>
      <w:bookmarkStart w:id="35" w:name="_Toc54705286"/>
      <w:r>
        <w:rPr>
          <w:rFonts w:eastAsia="宋体"/>
          <w:lang w:val="zh-CN" w:bidi="ar"/>
        </w:rPr>
        <w:t xml:space="preserve">根据《中华人民共和国民法典》及其他有关法律、法规规定，在平等、自愿、协商一致的基础上，就 </w:t>
      </w:r>
      <w:r>
        <w:rPr>
          <w:rFonts w:eastAsia="宋体"/>
          <w:u w:val="single"/>
          <w:lang w:val="zh-CN" w:bidi="ar"/>
        </w:rPr>
        <w:t xml:space="preserve">                 </w:t>
      </w:r>
      <w:r>
        <w:rPr>
          <w:rFonts w:eastAsia="宋体"/>
          <w:lang w:val="zh-CN" w:bidi="ar"/>
        </w:rPr>
        <w:t>（项目名称）（项目编号：</w:t>
      </w:r>
      <w:r>
        <w:rPr>
          <w:rFonts w:eastAsia="宋体"/>
          <w:u w:val="single"/>
          <w:lang w:val="zh-CN" w:bidi="ar"/>
        </w:rPr>
        <w:t xml:space="preserve">          </w:t>
      </w:r>
      <w:r>
        <w:rPr>
          <w:rFonts w:eastAsia="宋体"/>
          <w:lang w:val="zh-CN" w:bidi="ar"/>
        </w:rPr>
        <w:t>），经双方协商一致签订本合同。</w:t>
      </w:r>
    </w:p>
    <w:bookmarkEnd w:id="35"/>
    <w:p w14:paraId="45ABD9C2">
      <w:pPr>
        <w:spacing w:line="460" w:lineRule="exact"/>
        <w:ind w:firstLine="482" w:firstLineChars="200"/>
        <w:rPr>
          <w:rFonts w:eastAsia="宋体"/>
          <w:b/>
          <w:iCs/>
          <w:color w:val="000000"/>
        </w:rPr>
      </w:pPr>
      <w:r>
        <w:rPr>
          <w:rFonts w:ascii="宋体" w:hAnsi="宋体" w:eastAsia="宋体"/>
          <w:b/>
        </w:rPr>
        <w:t xml:space="preserve">第一条 </w:t>
      </w:r>
      <w:r>
        <w:rPr>
          <w:rFonts w:hint="eastAsia" w:eastAsia="宋体"/>
          <w:b/>
          <w:iCs/>
          <w:color w:val="000000"/>
        </w:rPr>
        <w:t>项目概述</w:t>
      </w:r>
    </w:p>
    <w:p w14:paraId="7271477D">
      <w:pPr>
        <w:spacing w:line="360" w:lineRule="auto"/>
        <w:ind w:firstLine="480" w:firstLineChars="200"/>
        <w:jc w:val="left"/>
        <w:rPr>
          <w:rFonts w:eastAsia="宋体"/>
          <w:snapToGrid w:val="0"/>
          <w:lang w:bidi="ar"/>
        </w:rPr>
      </w:pPr>
      <w:r>
        <w:rPr>
          <w:rFonts w:eastAsia="宋体"/>
          <w:lang w:val="zh-CN" w:bidi="ar"/>
        </w:rPr>
        <w:t>本项目旨在进一步提升南通市河长制信息化管理水平，应用基于“GIS一张图”，将全市17000余条河道水系矢量化、分类化、分级化和信息多元化，完善涉河、涉水数据信息数据，实现对河网水系的精细化管理，为全市河长制工作提供信息化的支撑手段，为河道管理保护提供高效、便捷的数据库平台。</w:t>
      </w:r>
    </w:p>
    <w:p w14:paraId="2E6F5BBA">
      <w:pPr>
        <w:spacing w:line="460" w:lineRule="exact"/>
        <w:ind w:firstLine="482" w:firstLineChars="200"/>
        <w:jc w:val="left"/>
        <w:rPr>
          <w:rFonts w:ascii="宋体" w:hAnsi="宋体" w:eastAsia="宋体"/>
          <w:b/>
        </w:rPr>
      </w:pPr>
      <w:r>
        <w:rPr>
          <w:rFonts w:ascii="宋体" w:hAnsi="宋体" w:eastAsia="宋体"/>
          <w:b/>
        </w:rPr>
        <w:t xml:space="preserve">第二条  </w:t>
      </w:r>
      <w:r>
        <w:rPr>
          <w:rFonts w:hint="eastAsia" w:ascii="宋体" w:hAnsi="宋体" w:eastAsia="宋体"/>
          <w:b/>
        </w:rPr>
        <w:t>服务内容</w:t>
      </w:r>
    </w:p>
    <w:p w14:paraId="1013F857">
      <w:pPr>
        <w:spacing w:line="360" w:lineRule="auto"/>
        <w:ind w:left="-77" w:firstLine="482" w:firstLineChars="200"/>
        <w:rPr>
          <w:rFonts w:eastAsia="宋体"/>
          <w:b/>
          <w:lang w:bidi="ar"/>
        </w:rPr>
      </w:pPr>
      <w:r>
        <w:rPr>
          <w:rFonts w:eastAsia="宋体"/>
          <w:b/>
          <w:lang w:bidi="ar"/>
        </w:rPr>
        <w:t>河网基础信息完善</w:t>
      </w:r>
      <w:r>
        <w:rPr>
          <w:rFonts w:hint="eastAsia" w:eastAsia="宋体"/>
          <w:b/>
          <w:lang w:bidi="ar"/>
        </w:rPr>
        <w:t>：</w:t>
      </w:r>
    </w:p>
    <w:p w14:paraId="692ADD9F">
      <w:pPr>
        <w:spacing w:line="360" w:lineRule="auto"/>
        <w:ind w:left="-77" w:firstLine="482" w:firstLineChars="200"/>
        <w:rPr>
          <w:rFonts w:eastAsia="宋体"/>
          <w:lang w:val="zh-CN" w:bidi="ar"/>
        </w:rPr>
      </w:pPr>
      <w:r>
        <w:rPr>
          <w:rFonts w:hint="eastAsia" w:eastAsia="宋体"/>
          <w:b/>
          <w:lang w:val="zh-CN" w:bidi="ar"/>
        </w:rPr>
        <w:t>1、</w:t>
      </w:r>
      <w:r>
        <w:rPr>
          <w:rFonts w:eastAsia="宋体"/>
          <w:b/>
          <w:lang w:val="zh-CN" w:bidi="ar"/>
        </w:rPr>
        <w:t>河网矢量化</w:t>
      </w:r>
      <w:r>
        <w:rPr>
          <w:rFonts w:eastAsia="宋体"/>
          <w:lang w:val="zh-CN" w:bidi="ar"/>
        </w:rPr>
        <w:t>。</w:t>
      </w:r>
    </w:p>
    <w:p w14:paraId="2C85098F">
      <w:pPr>
        <w:spacing w:line="360" w:lineRule="auto"/>
        <w:ind w:left="-77" w:firstLine="480" w:firstLineChars="200"/>
        <w:rPr>
          <w:rFonts w:eastAsia="宋体"/>
          <w:lang w:val="zh-CN" w:bidi="ar"/>
        </w:rPr>
      </w:pPr>
      <w:r>
        <w:rPr>
          <w:rFonts w:eastAsia="宋体"/>
          <w:lang w:val="zh-CN" w:bidi="ar"/>
        </w:rPr>
        <w:t>对全市河网基础资料进行整理入库，根据档案资料和已有河网矢量数据（其他项目对接的数据基础），进行标绘上图为河网空间数据，形成河网基础数据档案和具有地理空间坐标的水系图。</w:t>
      </w:r>
    </w:p>
    <w:p w14:paraId="06CC82E7">
      <w:pPr>
        <w:spacing w:line="360" w:lineRule="auto"/>
        <w:ind w:left="-77" w:firstLine="480" w:firstLineChars="200"/>
        <w:rPr>
          <w:rFonts w:eastAsia="宋体"/>
          <w:lang w:val="zh-CN" w:bidi="ar"/>
        </w:rPr>
      </w:pPr>
      <w:r>
        <w:rPr>
          <w:rFonts w:eastAsia="宋体"/>
          <w:lang w:val="zh-CN" w:bidi="ar"/>
        </w:rPr>
        <w:t>要求：确保水系图的准确性、完整性和可编辑性，为后续图层管理及信息标注提供数据化的河网水系底图。</w:t>
      </w:r>
    </w:p>
    <w:p w14:paraId="6EC68420">
      <w:pPr>
        <w:spacing w:line="360" w:lineRule="auto"/>
        <w:ind w:left="-77" w:firstLine="482" w:firstLineChars="200"/>
        <w:rPr>
          <w:rFonts w:eastAsia="宋体"/>
          <w:b/>
          <w:lang w:val="zh-CN" w:bidi="ar"/>
        </w:rPr>
      </w:pPr>
      <w:r>
        <w:rPr>
          <w:rFonts w:hint="eastAsia" w:eastAsia="宋体"/>
          <w:b/>
          <w:lang w:val="zh-CN" w:bidi="ar"/>
        </w:rPr>
        <w:t>2、</w:t>
      </w:r>
      <w:r>
        <w:rPr>
          <w:rFonts w:eastAsia="宋体"/>
          <w:b/>
          <w:lang w:val="zh-CN" w:bidi="ar"/>
        </w:rPr>
        <w:t>河网分级化</w:t>
      </w:r>
    </w:p>
    <w:p w14:paraId="50C79FE8">
      <w:pPr>
        <w:spacing w:line="360" w:lineRule="auto"/>
        <w:ind w:left="-77" w:firstLine="480" w:firstLineChars="200"/>
        <w:rPr>
          <w:rFonts w:eastAsia="宋体"/>
          <w:lang w:val="zh-CN" w:bidi="ar"/>
        </w:rPr>
      </w:pPr>
      <w:r>
        <w:rPr>
          <w:rFonts w:eastAsia="宋体"/>
          <w:lang w:val="zh-CN" w:bidi="ar"/>
        </w:rPr>
        <w:t>按照河长制的管理要求，对河网分级化处理，即市级河长责任河道和县级河长责任河道的河段划分到镇一级，镇级河长责任河道和村级河长责任河道的河段划分到村一级，建立对应的图层分级管理机制。</w:t>
      </w:r>
    </w:p>
    <w:p w14:paraId="154E70DC">
      <w:pPr>
        <w:spacing w:line="360" w:lineRule="auto"/>
        <w:ind w:left="-77" w:firstLine="482" w:firstLineChars="200"/>
        <w:rPr>
          <w:rFonts w:eastAsia="宋体"/>
          <w:b/>
          <w:lang w:val="zh-CN" w:bidi="ar"/>
        </w:rPr>
      </w:pPr>
      <w:r>
        <w:rPr>
          <w:rFonts w:hint="eastAsia" w:eastAsia="宋体"/>
          <w:b/>
          <w:lang w:val="zh-CN" w:bidi="ar"/>
        </w:rPr>
        <w:t>3、</w:t>
      </w:r>
      <w:r>
        <w:rPr>
          <w:rFonts w:eastAsia="宋体"/>
          <w:b/>
          <w:lang w:val="zh-CN" w:bidi="ar"/>
        </w:rPr>
        <w:t>河段分类化</w:t>
      </w:r>
    </w:p>
    <w:p w14:paraId="7D4C58C6">
      <w:pPr>
        <w:spacing w:line="360" w:lineRule="auto"/>
        <w:ind w:left="-77" w:firstLine="480" w:firstLineChars="200"/>
        <w:rPr>
          <w:rFonts w:eastAsia="宋体"/>
          <w:lang w:val="zh-CN" w:bidi="ar"/>
        </w:rPr>
      </w:pPr>
      <w:r>
        <w:rPr>
          <w:rFonts w:eastAsia="宋体"/>
          <w:lang w:val="zh-CN" w:bidi="ar"/>
        </w:rPr>
        <w:t>对跨界河道、幸福河道、农村生态河道等特殊类型的河道进行分类。后台录入信息需详细反映河道类型、管理要求、特色亮点等，为相关政策的制定和执行提供依据。</w:t>
      </w:r>
    </w:p>
    <w:p w14:paraId="74F68E40">
      <w:pPr>
        <w:numPr>
          <w:ilvl w:val="0"/>
          <w:numId w:val="8"/>
        </w:numPr>
        <w:spacing w:line="360" w:lineRule="auto"/>
        <w:rPr>
          <w:rFonts w:eastAsia="宋体"/>
          <w:b/>
          <w:lang w:val="zh-CN" w:bidi="ar"/>
        </w:rPr>
      </w:pPr>
      <w:r>
        <w:rPr>
          <w:rFonts w:eastAsia="宋体"/>
          <w:b/>
          <w:lang w:val="zh-CN" w:bidi="ar"/>
        </w:rPr>
        <w:t>信息多元化</w:t>
      </w:r>
    </w:p>
    <w:p w14:paraId="400373FD">
      <w:pPr>
        <w:adjustRightInd w:val="0"/>
        <w:snapToGrid w:val="0"/>
        <w:spacing w:line="460" w:lineRule="exact"/>
        <w:ind w:firstLine="480" w:firstLineChars="200"/>
        <w:jc w:val="left"/>
        <w:rPr>
          <w:rFonts w:eastAsia="宋体"/>
        </w:rPr>
      </w:pPr>
      <w:r>
        <w:rPr>
          <w:rFonts w:eastAsia="宋体"/>
          <w:lang w:val="zh-CN" w:bidi="ar"/>
        </w:rPr>
        <w:t>关联河道管理的相关附属信息，比如河长信息以及公示牌位置。标注信息应准确无误，包括但不限于河段名称、长度、起止点、河长姓名、联系方式、公示牌照片及位置坐标等。</w:t>
      </w:r>
    </w:p>
    <w:p w14:paraId="767444C7">
      <w:pPr>
        <w:spacing w:line="460" w:lineRule="exact"/>
        <w:ind w:firstLine="482" w:firstLineChars="200"/>
        <w:rPr>
          <w:rFonts w:ascii="宋体" w:hAnsi="宋体" w:eastAsia="宋体"/>
          <w:b/>
        </w:rPr>
      </w:pPr>
      <w:r>
        <w:rPr>
          <w:rFonts w:hint="eastAsia" w:eastAsia="宋体"/>
          <w:b/>
          <w:bCs w:val="0"/>
          <w:lang w:val="en-US" w:eastAsia="zh-CN" w:bidi="ar"/>
        </w:rPr>
        <w:t>5、</w:t>
      </w:r>
      <w:r>
        <w:rPr>
          <w:rFonts w:hint="default" w:eastAsia="宋体"/>
          <w:b/>
          <w:bCs w:val="0"/>
          <w:lang w:val="zh-CN" w:eastAsia="zh-CN" w:bidi="ar"/>
        </w:rPr>
        <w:t>本项目全域河网矢量化到三级河道，</w:t>
      </w:r>
      <w:r>
        <w:rPr>
          <w:rFonts w:hint="eastAsia" w:eastAsia="宋体"/>
          <w:b/>
          <w:bCs w:val="0"/>
          <w:lang w:val="zh-CN" w:eastAsia="zh-CN" w:bidi="ar"/>
        </w:rPr>
        <w:t>并</w:t>
      </w:r>
      <w:r>
        <w:rPr>
          <w:rFonts w:hint="default" w:eastAsia="宋体"/>
          <w:b/>
          <w:bCs w:val="0"/>
          <w:lang w:val="zh-CN" w:eastAsia="zh-CN" w:bidi="ar"/>
        </w:rPr>
        <w:t>选取一个县（市）区的四级河矢量化作为先行试点。</w:t>
      </w:r>
    </w:p>
    <w:p w14:paraId="5F8590E4">
      <w:pPr>
        <w:spacing w:line="460" w:lineRule="exact"/>
        <w:ind w:firstLine="482" w:firstLineChars="200"/>
        <w:rPr>
          <w:rFonts w:ascii="宋体" w:hAnsi="宋体" w:eastAsia="宋体"/>
          <w:b/>
        </w:rPr>
      </w:pPr>
      <w:r>
        <w:rPr>
          <w:rFonts w:ascii="宋体" w:hAnsi="宋体" w:eastAsia="宋体"/>
          <w:b/>
        </w:rPr>
        <w:t xml:space="preserve">第三条  </w:t>
      </w:r>
      <w:r>
        <w:rPr>
          <w:rFonts w:hint="eastAsia" w:ascii="宋体" w:hAnsi="宋体" w:eastAsia="宋体"/>
          <w:b/>
        </w:rPr>
        <w:t>服务要求</w:t>
      </w:r>
    </w:p>
    <w:p w14:paraId="340BFE49">
      <w:pPr>
        <w:spacing w:line="480" w:lineRule="exact"/>
        <w:ind w:left="480"/>
        <w:rPr>
          <w:rFonts w:eastAsia="宋体"/>
          <w:bCs/>
          <w:iCs/>
          <w:color w:val="000000"/>
        </w:rPr>
      </w:pPr>
      <w:r>
        <w:rPr>
          <w:rFonts w:hint="eastAsia" w:eastAsia="宋体"/>
          <w:bCs/>
          <w:iCs/>
          <w:color w:val="000000"/>
        </w:rPr>
        <w:t>1、服务时间：乙方应在签订合同后六个月内完成本项目所有服务内容。</w:t>
      </w:r>
    </w:p>
    <w:p w14:paraId="4B270E8F">
      <w:pPr>
        <w:spacing w:line="480" w:lineRule="exact"/>
        <w:ind w:firstLine="480" w:firstLineChars="200"/>
        <w:rPr>
          <w:rFonts w:eastAsia="宋体"/>
          <w:bCs/>
          <w:iCs/>
          <w:color w:val="000000"/>
        </w:rPr>
      </w:pPr>
      <w:r>
        <w:rPr>
          <w:rFonts w:hint="eastAsia" w:eastAsia="宋体"/>
          <w:bCs/>
          <w:iCs/>
          <w:color w:val="000000"/>
        </w:rPr>
        <w:t>2、技术保障：乙方需</w:t>
      </w:r>
      <w:r>
        <w:rPr>
          <w:rFonts w:eastAsia="宋体"/>
          <w:bCs/>
          <w:iCs/>
          <w:color w:val="000000"/>
        </w:rPr>
        <w:t>提供先进的技术支持，确保数据的准确性、完整性和可编辑性。及时解决用户在使用过程中遇到的问题</w:t>
      </w:r>
      <w:r>
        <w:rPr>
          <w:rFonts w:hint="eastAsia" w:eastAsia="宋体"/>
          <w:bCs/>
          <w:iCs/>
          <w:color w:val="000000"/>
        </w:rPr>
        <w:t>。</w:t>
      </w:r>
    </w:p>
    <w:p w14:paraId="32B02323">
      <w:pPr>
        <w:spacing w:line="460" w:lineRule="exact"/>
        <w:ind w:firstLine="480" w:firstLineChars="200"/>
        <w:jc w:val="left"/>
        <w:rPr>
          <w:rFonts w:eastAsia="宋体"/>
          <w:bCs/>
          <w:iCs/>
          <w:color w:val="000000"/>
        </w:rPr>
      </w:pPr>
      <w:r>
        <w:rPr>
          <w:rFonts w:hint="eastAsia" w:eastAsia="宋体"/>
          <w:bCs/>
          <w:iCs/>
          <w:color w:val="000000"/>
        </w:rPr>
        <w:t>3、7*24小时服务：乙方需提供7*24小时客户服务，确保及时解决用户在使用过程中遇到的问题。</w:t>
      </w:r>
    </w:p>
    <w:p w14:paraId="6F0CB891">
      <w:pPr>
        <w:spacing w:line="360" w:lineRule="auto"/>
        <w:ind w:firstLine="482" w:firstLineChars="200"/>
        <w:jc w:val="left"/>
        <w:rPr>
          <w:rFonts w:eastAsia="宋体"/>
          <w:b/>
          <w:lang w:bidi="ar"/>
        </w:rPr>
      </w:pPr>
      <w:r>
        <w:rPr>
          <w:rFonts w:hint="eastAsia" w:eastAsia="宋体"/>
          <w:b/>
          <w:lang w:bidi="ar"/>
        </w:rPr>
        <w:t xml:space="preserve">第四条  </w:t>
      </w:r>
      <w:r>
        <w:rPr>
          <w:rFonts w:eastAsia="宋体"/>
          <w:b/>
          <w:lang w:bidi="ar"/>
        </w:rPr>
        <w:t>验收标准</w:t>
      </w:r>
    </w:p>
    <w:p w14:paraId="56118B76">
      <w:pPr>
        <w:spacing w:line="360" w:lineRule="auto"/>
        <w:ind w:firstLine="480" w:firstLineChars="200"/>
        <w:jc w:val="left"/>
        <w:rPr>
          <w:rFonts w:eastAsia="宋体"/>
          <w:lang w:bidi="ar"/>
        </w:rPr>
      </w:pPr>
      <w:r>
        <w:rPr>
          <w:rFonts w:eastAsia="宋体"/>
          <w:lang w:bidi="ar"/>
        </w:rPr>
        <w:t>在应用系统建成后，由相关专家组成验收小组对</w:t>
      </w:r>
      <w:r>
        <w:rPr>
          <w:rFonts w:hint="eastAsia" w:eastAsia="宋体"/>
          <w:lang w:bidi="ar"/>
        </w:rPr>
        <w:t>本</w:t>
      </w:r>
      <w:r>
        <w:rPr>
          <w:rFonts w:eastAsia="宋体"/>
          <w:lang w:bidi="ar"/>
        </w:rPr>
        <w:t>项目进行验收。验收内容包括但不限于系统功能的实现情况、数据的准确性和完整性、用户满意度等。验收合格后，项目正式交付使用。</w:t>
      </w:r>
    </w:p>
    <w:p w14:paraId="2EB2D1B5">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五</w:t>
      </w:r>
      <w:r>
        <w:rPr>
          <w:rFonts w:ascii="宋体" w:hAnsi="宋体" w:eastAsia="宋体"/>
          <w:b/>
        </w:rPr>
        <w:t xml:space="preserve">条  </w:t>
      </w:r>
      <w:r>
        <w:rPr>
          <w:rFonts w:hint="eastAsia" w:ascii="宋体" w:hAnsi="宋体" w:eastAsia="宋体"/>
          <w:b/>
        </w:rPr>
        <w:t>合同</w:t>
      </w:r>
      <w:r>
        <w:rPr>
          <w:rFonts w:ascii="宋体" w:hAnsi="宋体" w:eastAsia="宋体"/>
          <w:b/>
        </w:rPr>
        <w:t>费用及其支付</w:t>
      </w:r>
    </w:p>
    <w:p w14:paraId="1D23D729">
      <w:pPr>
        <w:widowControl/>
        <w:spacing w:line="460" w:lineRule="exact"/>
        <w:ind w:firstLine="480" w:firstLineChars="200"/>
        <w:jc w:val="left"/>
        <w:rPr>
          <w:u w:val="single"/>
        </w:rPr>
      </w:pPr>
      <w:r>
        <w:t>1</w:t>
      </w:r>
      <w:r>
        <w:rPr>
          <w:rFonts w:hint="eastAsia"/>
        </w:rPr>
        <w:t>、</w:t>
      </w:r>
      <w:r>
        <w:rPr>
          <w:rFonts w:hint="eastAsia" w:eastAsia="宋体"/>
          <w:bCs/>
          <w:iCs/>
          <w:color w:val="000000"/>
        </w:rPr>
        <w:t>合同</w:t>
      </w:r>
      <w:r>
        <w:rPr>
          <w:rFonts w:eastAsia="宋体"/>
          <w:bCs/>
          <w:iCs/>
          <w:color w:val="000000"/>
        </w:rPr>
        <w:t>费用：人民币</w:t>
      </w:r>
      <w:r>
        <w:rPr>
          <w:rFonts w:eastAsia="宋体"/>
          <w:bCs/>
          <w:iCs/>
          <w:color w:val="000000"/>
          <w:u w:val="single"/>
        </w:rPr>
        <w:t xml:space="preserve">        </w:t>
      </w:r>
      <w:r>
        <w:rPr>
          <w:rFonts w:eastAsia="宋体"/>
          <w:bCs/>
          <w:iCs/>
          <w:color w:val="000000"/>
        </w:rPr>
        <w:t>整 (¥</w:t>
      </w:r>
      <w:r>
        <w:rPr>
          <w:rFonts w:eastAsia="宋体"/>
          <w:bCs/>
          <w:iCs/>
          <w:color w:val="000000"/>
          <w:u w:val="single"/>
        </w:rPr>
        <w:t xml:space="preserve">          </w:t>
      </w:r>
      <w:r>
        <w:rPr>
          <w:rFonts w:eastAsia="宋体"/>
          <w:bCs/>
          <w:iCs/>
          <w:color w:val="000000"/>
        </w:rPr>
        <w:t>元 )。</w:t>
      </w:r>
    </w:p>
    <w:p w14:paraId="40981E00">
      <w:pPr>
        <w:spacing w:line="480" w:lineRule="exact"/>
        <w:ind w:firstLine="480" w:firstLineChars="200"/>
        <w:rPr>
          <w:rFonts w:eastAsia="宋体"/>
          <w:lang w:bidi="ar"/>
        </w:rPr>
      </w:pPr>
      <w:r>
        <w:rPr>
          <w:rFonts w:hint="eastAsia"/>
        </w:rPr>
        <w:t>2、</w:t>
      </w:r>
      <w:r>
        <w:rPr>
          <w:rFonts w:eastAsia="宋体"/>
          <w:bCs/>
          <w:iCs/>
          <w:color w:val="000000"/>
        </w:rPr>
        <w:t>支付时间：</w:t>
      </w:r>
      <w:r>
        <w:rPr>
          <w:rFonts w:hint="eastAsia" w:eastAsia="宋体"/>
          <w:highlight w:val="none"/>
          <w:lang w:eastAsia="zh-CN" w:bidi="ar"/>
        </w:rPr>
        <w:t>合同签订后，支付合同价的40%，完成服务内容的80%，支付至合同款的80%，剩余合同款待项目验收合格后一次性付清</w:t>
      </w:r>
      <w:r>
        <w:rPr>
          <w:rFonts w:eastAsia="宋体"/>
          <w:highlight w:val="none"/>
          <w:lang w:bidi="ar"/>
        </w:rPr>
        <w:t>。</w:t>
      </w:r>
    </w:p>
    <w:p w14:paraId="7F019CBD">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六</w:t>
      </w:r>
      <w:r>
        <w:rPr>
          <w:rFonts w:ascii="宋体" w:hAnsi="宋体" w:eastAsia="宋体"/>
          <w:b/>
        </w:rPr>
        <w:t>条  违约责任</w:t>
      </w:r>
    </w:p>
    <w:p w14:paraId="7BE6F2CC">
      <w:pPr>
        <w:spacing w:line="460" w:lineRule="exact"/>
        <w:ind w:firstLine="480" w:firstLineChars="200"/>
        <w:jc w:val="left"/>
        <w:rPr>
          <w:rFonts w:eastAsia="宋体"/>
          <w:bCs/>
          <w:iCs/>
          <w:color w:val="000000"/>
        </w:rPr>
      </w:pPr>
      <w:r>
        <w:rPr>
          <w:rFonts w:hint="eastAsia" w:eastAsia="宋体"/>
          <w:bCs/>
          <w:iCs/>
          <w:color w:val="000000"/>
        </w:rPr>
        <w:t>1、</w:t>
      </w:r>
      <w:r>
        <w:rPr>
          <w:rFonts w:eastAsia="宋体"/>
          <w:bCs/>
          <w:iCs/>
          <w:color w:val="000000"/>
        </w:rPr>
        <w:t>乙方未能按甲方要求</w:t>
      </w:r>
      <w:r>
        <w:rPr>
          <w:rFonts w:hint="eastAsia" w:eastAsia="宋体"/>
          <w:bCs/>
          <w:iCs/>
          <w:color w:val="000000"/>
        </w:rPr>
        <w:t>完成服务</w:t>
      </w:r>
      <w:r>
        <w:rPr>
          <w:rFonts w:eastAsia="宋体"/>
          <w:bCs/>
          <w:iCs/>
          <w:color w:val="000000"/>
        </w:rPr>
        <w:t>，应向甲方偿付延期损失费，每延期一天罚款500元。</w:t>
      </w:r>
    </w:p>
    <w:p w14:paraId="65FD81B4">
      <w:pPr>
        <w:spacing w:line="460" w:lineRule="exact"/>
        <w:ind w:firstLine="480" w:firstLineChars="200"/>
        <w:jc w:val="left"/>
      </w:pPr>
      <w:r>
        <w:rPr>
          <w:rFonts w:hint="eastAsia" w:eastAsia="宋体"/>
          <w:bCs/>
          <w:iCs/>
          <w:color w:val="000000"/>
        </w:rPr>
        <w:t>2、</w:t>
      </w:r>
      <w:r>
        <w:rPr>
          <w:rFonts w:eastAsia="宋体"/>
          <w:bCs/>
          <w:iCs/>
          <w:color w:val="000000"/>
        </w:rPr>
        <w:t>乙方提供的成果不符合要求，乙方应负责无偿给予重新</w:t>
      </w:r>
      <w:r>
        <w:rPr>
          <w:rFonts w:hint="eastAsia" w:eastAsia="宋体"/>
          <w:bCs/>
          <w:iCs/>
          <w:color w:val="000000"/>
        </w:rPr>
        <w:t>标注</w:t>
      </w:r>
      <w:r>
        <w:rPr>
          <w:rFonts w:eastAsia="宋体"/>
          <w:bCs/>
          <w:iCs/>
          <w:color w:val="000000"/>
        </w:rPr>
        <w:t>或采取补救措施，以达到甲方要求。在成果不符合合同约定的要求造成后果时，乙方应对因此造成的损失负赔偿责任</w:t>
      </w:r>
      <w:r>
        <w:t>。</w:t>
      </w:r>
    </w:p>
    <w:p w14:paraId="4965D17F">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七</w:t>
      </w:r>
      <w:r>
        <w:rPr>
          <w:rFonts w:ascii="宋体" w:hAnsi="宋体" w:eastAsia="宋体"/>
          <w:b/>
        </w:rPr>
        <w:t>条  争议解决</w:t>
      </w:r>
    </w:p>
    <w:p w14:paraId="6222DFAF">
      <w:pPr>
        <w:spacing w:line="460" w:lineRule="exact"/>
        <w:ind w:firstLine="480" w:firstLineChars="200"/>
        <w:jc w:val="left"/>
        <w:rPr>
          <w:rFonts w:eastAsia="宋体"/>
          <w:bCs/>
          <w:iCs/>
          <w:color w:val="000000"/>
        </w:rPr>
      </w:pPr>
      <w:r>
        <w:rPr>
          <w:rFonts w:eastAsia="宋体"/>
          <w:bCs/>
          <w:iCs/>
          <w:color w:val="000000"/>
        </w:rPr>
        <w:t>合同在履行过程中如果发生争议，先由双方协商解决，协商不成时，任何一方均可向合同履行地即甲方所在地有管辖权的人民法院起诉。</w:t>
      </w:r>
    </w:p>
    <w:p w14:paraId="6EEC21A6">
      <w:pPr>
        <w:spacing w:line="460" w:lineRule="exact"/>
        <w:ind w:firstLine="482" w:firstLineChars="200"/>
        <w:jc w:val="left"/>
        <w:rPr>
          <w:rFonts w:ascii="宋体" w:hAnsi="宋体" w:eastAsia="宋体"/>
          <w:b/>
        </w:rPr>
      </w:pPr>
      <w:r>
        <w:rPr>
          <w:rFonts w:ascii="宋体" w:hAnsi="宋体" w:eastAsia="宋体"/>
          <w:b/>
        </w:rPr>
        <w:t>第</w:t>
      </w:r>
      <w:r>
        <w:rPr>
          <w:rFonts w:hint="eastAsia" w:ascii="宋体" w:hAnsi="宋体" w:eastAsia="宋体"/>
          <w:b/>
        </w:rPr>
        <w:t>八</w:t>
      </w:r>
      <w:r>
        <w:rPr>
          <w:rFonts w:ascii="宋体" w:hAnsi="宋体" w:eastAsia="宋体"/>
          <w:b/>
        </w:rPr>
        <w:t xml:space="preserve">条  </w:t>
      </w:r>
      <w:r>
        <w:rPr>
          <w:rFonts w:hint="eastAsia" w:ascii="宋体" w:hAnsi="宋体" w:eastAsia="宋体"/>
          <w:b/>
        </w:rPr>
        <w:t>其他</w:t>
      </w:r>
    </w:p>
    <w:p w14:paraId="73D3DEC7">
      <w:pPr>
        <w:snapToGrid w:val="0"/>
        <w:spacing w:line="460" w:lineRule="exact"/>
        <w:ind w:firstLine="480" w:firstLineChars="200"/>
        <w:outlineLvl w:val="1"/>
        <w:rPr>
          <w:rFonts w:eastAsia="宋体"/>
          <w:bCs/>
          <w:iCs/>
          <w:color w:val="000000"/>
        </w:rPr>
      </w:pPr>
      <w:r>
        <w:rPr>
          <w:rFonts w:hint="eastAsia"/>
        </w:rPr>
        <w:t>1、</w:t>
      </w:r>
      <w:r>
        <w:rPr>
          <w:rFonts w:eastAsia="宋体"/>
          <w:bCs/>
          <w:iCs/>
          <w:color w:val="000000"/>
        </w:rPr>
        <w:t>履约保证金：本项目中标后的履约保证金为项目中标价的10%</w:t>
      </w:r>
      <w:r>
        <w:rPr>
          <w:rFonts w:hint="eastAsia" w:eastAsia="宋体"/>
          <w:bCs/>
          <w:iCs/>
          <w:color w:val="000000"/>
        </w:rPr>
        <w:t>，即人民币</w:t>
      </w:r>
      <w:r>
        <w:rPr>
          <w:rFonts w:hint="eastAsia" w:eastAsia="宋体"/>
          <w:bCs/>
          <w:iCs/>
          <w:color w:val="000000"/>
          <w:u w:val="single"/>
        </w:rPr>
        <w:t xml:space="preserve">      </w:t>
      </w:r>
      <w:r>
        <w:rPr>
          <w:rFonts w:hint="eastAsia" w:eastAsia="宋体"/>
          <w:bCs/>
          <w:iCs/>
          <w:color w:val="000000"/>
        </w:rPr>
        <w:t>元</w:t>
      </w:r>
      <w:r>
        <w:rPr>
          <w:rFonts w:eastAsia="宋体"/>
          <w:bCs/>
          <w:iCs/>
          <w:color w:val="000000"/>
        </w:rPr>
        <w:t>。</w:t>
      </w:r>
      <w:r>
        <w:rPr>
          <w:rFonts w:hint="eastAsia" w:eastAsia="宋体"/>
          <w:bCs/>
          <w:iCs/>
          <w:color w:val="000000"/>
        </w:rPr>
        <w:t>乙方</w:t>
      </w:r>
      <w:r>
        <w:rPr>
          <w:rFonts w:eastAsia="宋体"/>
          <w:bCs/>
          <w:iCs/>
          <w:color w:val="000000"/>
        </w:rPr>
        <w:t>在按要求保质保量</w:t>
      </w:r>
      <w:r>
        <w:rPr>
          <w:rFonts w:hint="eastAsia" w:eastAsia="宋体"/>
          <w:bCs/>
          <w:iCs/>
          <w:color w:val="000000"/>
        </w:rPr>
        <w:t>地</w:t>
      </w:r>
      <w:r>
        <w:rPr>
          <w:rFonts w:eastAsia="宋体"/>
          <w:bCs/>
          <w:iCs/>
          <w:color w:val="000000"/>
        </w:rPr>
        <w:t>完成该项目合同并通过验收后，</w:t>
      </w:r>
      <w:r>
        <w:rPr>
          <w:rFonts w:hint="eastAsia" w:eastAsia="宋体"/>
          <w:bCs/>
          <w:iCs/>
          <w:color w:val="000000"/>
        </w:rPr>
        <w:t>甲方</w:t>
      </w:r>
      <w:r>
        <w:rPr>
          <w:rFonts w:eastAsia="宋体"/>
          <w:bCs/>
          <w:iCs/>
          <w:color w:val="000000"/>
        </w:rPr>
        <w:t>凭</w:t>
      </w:r>
      <w:r>
        <w:rPr>
          <w:rFonts w:hint="eastAsia" w:eastAsia="宋体"/>
          <w:bCs/>
          <w:iCs/>
          <w:color w:val="000000"/>
        </w:rPr>
        <w:t>乙方</w:t>
      </w:r>
      <w:r>
        <w:rPr>
          <w:rFonts w:eastAsia="宋体"/>
          <w:bCs/>
          <w:iCs/>
          <w:color w:val="000000"/>
        </w:rPr>
        <w:t>提交的申请，一次性无息退还该合同项目的履约保证金。由于</w:t>
      </w:r>
      <w:r>
        <w:rPr>
          <w:rFonts w:hint="eastAsia" w:eastAsia="宋体"/>
          <w:bCs/>
          <w:iCs/>
          <w:color w:val="000000"/>
        </w:rPr>
        <w:t>乙方</w:t>
      </w:r>
      <w:r>
        <w:rPr>
          <w:rFonts w:eastAsia="宋体"/>
          <w:bCs/>
          <w:iCs/>
          <w:color w:val="000000"/>
        </w:rPr>
        <w:t>原因，在签订合同后出现不按合同履行的情况，</w:t>
      </w:r>
      <w:r>
        <w:rPr>
          <w:rFonts w:hint="eastAsia" w:eastAsia="宋体"/>
          <w:bCs/>
          <w:iCs/>
          <w:color w:val="000000"/>
        </w:rPr>
        <w:t>甲方</w:t>
      </w:r>
      <w:r>
        <w:rPr>
          <w:rFonts w:eastAsia="宋体"/>
          <w:bCs/>
          <w:iCs/>
          <w:color w:val="000000"/>
        </w:rPr>
        <w:t>有权将履约保证金作为违约金，全额不予退还，同时</w:t>
      </w:r>
      <w:r>
        <w:rPr>
          <w:rFonts w:hint="eastAsia" w:eastAsia="宋体"/>
          <w:bCs/>
          <w:iCs/>
          <w:color w:val="000000"/>
        </w:rPr>
        <w:t>甲方</w:t>
      </w:r>
      <w:r>
        <w:rPr>
          <w:rFonts w:eastAsia="宋体"/>
          <w:bCs/>
          <w:iCs/>
          <w:color w:val="000000"/>
        </w:rPr>
        <w:t>亦有权终止合同，</w:t>
      </w:r>
      <w:r>
        <w:rPr>
          <w:rFonts w:hint="eastAsia" w:eastAsia="宋体"/>
          <w:bCs/>
          <w:iCs/>
          <w:color w:val="000000"/>
        </w:rPr>
        <w:t>乙方</w:t>
      </w:r>
      <w:r>
        <w:rPr>
          <w:rFonts w:eastAsia="宋体"/>
          <w:bCs/>
          <w:iCs/>
          <w:color w:val="000000"/>
        </w:rPr>
        <w:t>还须承担相应的法律赔偿责任。</w:t>
      </w:r>
    </w:p>
    <w:p w14:paraId="221673B4">
      <w:pPr>
        <w:spacing w:line="460" w:lineRule="exact"/>
        <w:ind w:firstLine="480" w:firstLineChars="200"/>
        <w:jc w:val="left"/>
        <w:rPr>
          <w:rFonts w:eastAsia="宋体"/>
          <w:bCs/>
          <w:iCs/>
          <w:color w:val="000000"/>
        </w:rPr>
      </w:pPr>
      <w:r>
        <w:rPr>
          <w:rFonts w:hint="eastAsia" w:eastAsia="宋体"/>
          <w:bCs/>
          <w:iCs/>
          <w:color w:val="000000"/>
        </w:rPr>
        <w:t>2、</w:t>
      </w:r>
      <w:r>
        <w:rPr>
          <w:rFonts w:eastAsia="宋体"/>
          <w:bCs/>
          <w:iCs/>
          <w:color w:val="000000"/>
        </w:rPr>
        <w:t>乙方应做好工作人员的安全等教育工作，合同履行期间工作人员的安全等由乙方负责。</w:t>
      </w:r>
    </w:p>
    <w:p w14:paraId="52617A29">
      <w:pPr>
        <w:spacing w:line="460" w:lineRule="exact"/>
        <w:ind w:firstLine="480" w:firstLineChars="200"/>
        <w:jc w:val="left"/>
        <w:rPr>
          <w:rFonts w:eastAsia="宋体"/>
          <w:bCs/>
          <w:iCs/>
          <w:color w:val="000000"/>
        </w:rPr>
      </w:pPr>
      <w:r>
        <w:rPr>
          <w:rFonts w:hint="eastAsia"/>
        </w:rPr>
        <w:t>3、</w:t>
      </w:r>
      <w:r>
        <w:rPr>
          <w:rFonts w:eastAsia="宋体"/>
          <w:bCs/>
          <w:iCs/>
          <w:color w:val="000000"/>
        </w:rPr>
        <w:t>本合同执行过程中的未尽事宜，双方协商解决。</w:t>
      </w:r>
    </w:p>
    <w:p w14:paraId="00985276">
      <w:pPr>
        <w:spacing w:line="460" w:lineRule="exact"/>
        <w:ind w:firstLine="480" w:firstLineChars="200"/>
        <w:jc w:val="left"/>
        <w:rPr>
          <w:rFonts w:eastAsia="宋体"/>
          <w:bCs/>
          <w:iCs/>
          <w:color w:val="000000"/>
        </w:rPr>
      </w:pPr>
      <w:r>
        <w:rPr>
          <w:rFonts w:hint="eastAsia" w:eastAsia="宋体"/>
          <w:bCs/>
          <w:iCs/>
          <w:color w:val="000000"/>
        </w:rPr>
        <w:t>4、</w:t>
      </w:r>
      <w:r>
        <w:rPr>
          <w:rFonts w:eastAsia="宋体"/>
          <w:bCs/>
          <w:iCs/>
          <w:color w:val="000000"/>
        </w:rPr>
        <w:t>本协议经双方签章后生效，壹式陆份，甲乙双方各执叁份。</w:t>
      </w:r>
    </w:p>
    <w:p w14:paraId="6EA02AFE">
      <w:pPr>
        <w:snapToGrid w:val="0"/>
        <w:spacing w:line="460" w:lineRule="exact"/>
        <w:ind w:firstLine="480" w:firstLineChars="200"/>
        <w:jc w:val="left"/>
        <w:rPr>
          <w:rFonts w:eastAsia="宋体"/>
          <w:bCs/>
          <w:iCs/>
          <w:color w:val="000000"/>
        </w:rPr>
      </w:pPr>
    </w:p>
    <w:p w14:paraId="119E3FF9">
      <w:pPr>
        <w:snapToGrid w:val="0"/>
        <w:spacing w:line="460" w:lineRule="exact"/>
        <w:ind w:firstLine="480" w:firstLineChars="200"/>
        <w:jc w:val="left"/>
        <w:rPr>
          <w:rFonts w:eastAsia="宋体"/>
          <w:bCs/>
          <w:iCs/>
          <w:color w:val="000000"/>
        </w:rPr>
      </w:pPr>
      <w:r>
        <w:rPr>
          <w:rFonts w:eastAsia="宋体"/>
          <w:bCs/>
          <w:iCs/>
          <w:color w:val="000000"/>
        </w:rPr>
        <w:t>甲方：                                    乙方：</w:t>
      </w:r>
    </w:p>
    <w:p w14:paraId="7F08EF79">
      <w:pPr>
        <w:snapToGrid w:val="0"/>
        <w:spacing w:line="460" w:lineRule="exact"/>
        <w:ind w:firstLine="480" w:firstLineChars="200"/>
        <w:jc w:val="left"/>
        <w:rPr>
          <w:rFonts w:eastAsia="宋体"/>
          <w:bCs/>
          <w:iCs/>
          <w:color w:val="000000"/>
        </w:rPr>
      </w:pPr>
      <w:r>
        <w:rPr>
          <w:rFonts w:eastAsia="宋体"/>
          <w:bCs/>
          <w:iCs/>
          <w:color w:val="000000"/>
        </w:rPr>
        <w:t>地址：                                    地址：</w:t>
      </w:r>
    </w:p>
    <w:p w14:paraId="14D7E1C2">
      <w:pPr>
        <w:snapToGrid w:val="0"/>
        <w:spacing w:line="460" w:lineRule="exact"/>
        <w:ind w:firstLine="480" w:firstLineChars="200"/>
        <w:jc w:val="left"/>
        <w:rPr>
          <w:rFonts w:eastAsia="宋体"/>
          <w:bCs/>
          <w:iCs/>
          <w:color w:val="000000"/>
        </w:rPr>
      </w:pPr>
      <w:r>
        <w:rPr>
          <w:rFonts w:eastAsia="宋体"/>
          <w:bCs/>
          <w:iCs/>
          <w:color w:val="000000"/>
        </w:rPr>
        <w:t>法定代表人或授权代表：                    法定代表人或授权代表：</w:t>
      </w:r>
    </w:p>
    <w:p w14:paraId="38FC7910">
      <w:pPr>
        <w:snapToGrid w:val="0"/>
        <w:spacing w:line="460" w:lineRule="exact"/>
        <w:ind w:firstLine="480" w:firstLineChars="200"/>
        <w:jc w:val="left"/>
        <w:rPr>
          <w:rFonts w:eastAsia="宋体"/>
          <w:bCs/>
          <w:iCs/>
          <w:color w:val="000000"/>
        </w:rPr>
      </w:pPr>
      <w:r>
        <w:rPr>
          <w:rFonts w:eastAsia="宋体"/>
          <w:bCs/>
          <w:iCs/>
          <w:color w:val="000000"/>
        </w:rPr>
        <w:t>联系电话：                                联系电话：</w:t>
      </w:r>
    </w:p>
    <w:p w14:paraId="48BD2D62">
      <w:pPr>
        <w:snapToGrid w:val="0"/>
        <w:spacing w:line="460" w:lineRule="exact"/>
        <w:outlineLvl w:val="0"/>
        <w:rPr>
          <w:rFonts w:eastAsia="宋体"/>
          <w:bCs/>
          <w:iCs/>
          <w:color w:val="000000"/>
        </w:rPr>
      </w:pPr>
      <w:r>
        <w:rPr>
          <w:rFonts w:eastAsia="宋体"/>
          <w:bCs/>
          <w:iCs/>
          <w:color w:val="000000"/>
        </w:rPr>
        <w:t xml:space="preserve">    年   月   日                              年   月   日</w:t>
      </w:r>
    </w:p>
    <w:p w14:paraId="09859660">
      <w:pPr>
        <w:spacing w:line="360" w:lineRule="auto"/>
        <w:jc w:val="center"/>
        <w:rPr>
          <w:rFonts w:eastAsia="宋体"/>
          <w:b/>
          <w:bCs/>
          <w:w w:val="80"/>
          <w:sz w:val="36"/>
          <w:szCs w:val="36"/>
        </w:rPr>
      </w:pPr>
    </w:p>
    <w:p w14:paraId="64E6A07D">
      <w:pPr>
        <w:spacing w:line="360" w:lineRule="auto"/>
        <w:jc w:val="center"/>
        <w:rPr>
          <w:rFonts w:eastAsia="宋体"/>
          <w:b/>
          <w:bCs/>
          <w:w w:val="80"/>
          <w:sz w:val="36"/>
          <w:szCs w:val="36"/>
        </w:rPr>
      </w:pPr>
    </w:p>
    <w:p w14:paraId="7EA7BD6A">
      <w:pPr>
        <w:spacing w:line="360" w:lineRule="auto"/>
        <w:jc w:val="center"/>
        <w:rPr>
          <w:rFonts w:eastAsia="宋体"/>
          <w:b/>
          <w:bCs/>
          <w:w w:val="80"/>
          <w:sz w:val="36"/>
          <w:szCs w:val="36"/>
        </w:rPr>
      </w:pPr>
    </w:p>
    <w:p w14:paraId="041A7BD4">
      <w:pPr>
        <w:spacing w:line="360" w:lineRule="auto"/>
        <w:jc w:val="center"/>
        <w:rPr>
          <w:rFonts w:eastAsia="宋体"/>
          <w:b/>
          <w:bCs/>
          <w:w w:val="80"/>
          <w:sz w:val="36"/>
          <w:szCs w:val="36"/>
        </w:rPr>
      </w:pPr>
    </w:p>
    <w:p w14:paraId="070D3249">
      <w:pPr>
        <w:spacing w:line="360" w:lineRule="auto"/>
        <w:jc w:val="center"/>
        <w:rPr>
          <w:rFonts w:eastAsia="宋体"/>
          <w:b/>
          <w:bCs/>
          <w:w w:val="80"/>
          <w:sz w:val="36"/>
          <w:szCs w:val="36"/>
        </w:rPr>
      </w:pPr>
    </w:p>
    <w:p w14:paraId="204ECBD3">
      <w:pPr>
        <w:spacing w:line="360" w:lineRule="auto"/>
        <w:jc w:val="center"/>
        <w:rPr>
          <w:rFonts w:eastAsia="宋体"/>
          <w:b/>
          <w:bCs/>
          <w:w w:val="80"/>
          <w:sz w:val="36"/>
          <w:szCs w:val="36"/>
        </w:rPr>
      </w:pPr>
    </w:p>
    <w:p w14:paraId="09EE2510">
      <w:pPr>
        <w:spacing w:line="360" w:lineRule="auto"/>
        <w:jc w:val="center"/>
        <w:rPr>
          <w:rFonts w:eastAsia="宋体"/>
          <w:b/>
          <w:bCs/>
          <w:w w:val="80"/>
          <w:sz w:val="36"/>
          <w:szCs w:val="36"/>
        </w:rPr>
      </w:pPr>
    </w:p>
    <w:p w14:paraId="10108E43">
      <w:pPr>
        <w:spacing w:line="360" w:lineRule="auto"/>
        <w:jc w:val="center"/>
        <w:rPr>
          <w:rFonts w:eastAsia="宋体"/>
          <w:b/>
          <w:bCs/>
          <w:w w:val="80"/>
          <w:sz w:val="36"/>
          <w:szCs w:val="36"/>
        </w:rPr>
      </w:pPr>
    </w:p>
    <w:p w14:paraId="662E63B3">
      <w:pPr>
        <w:spacing w:line="360" w:lineRule="auto"/>
        <w:jc w:val="center"/>
        <w:rPr>
          <w:rFonts w:eastAsia="宋体"/>
          <w:b/>
          <w:bCs/>
          <w:w w:val="80"/>
          <w:sz w:val="36"/>
          <w:szCs w:val="36"/>
        </w:rPr>
      </w:pPr>
    </w:p>
    <w:p w14:paraId="1CB3AF2F">
      <w:pPr>
        <w:spacing w:line="360" w:lineRule="auto"/>
        <w:jc w:val="center"/>
        <w:rPr>
          <w:rFonts w:eastAsia="宋体"/>
          <w:b/>
          <w:bCs/>
          <w:w w:val="80"/>
          <w:sz w:val="36"/>
          <w:szCs w:val="36"/>
        </w:rPr>
      </w:pPr>
    </w:p>
    <w:p w14:paraId="345459CB">
      <w:pPr>
        <w:spacing w:line="360" w:lineRule="auto"/>
        <w:jc w:val="center"/>
        <w:rPr>
          <w:rFonts w:eastAsia="宋体"/>
          <w:b/>
          <w:bCs/>
          <w:w w:val="80"/>
          <w:sz w:val="36"/>
          <w:szCs w:val="36"/>
        </w:rPr>
      </w:pPr>
    </w:p>
    <w:p w14:paraId="5CC73B06">
      <w:pPr>
        <w:spacing w:line="360" w:lineRule="auto"/>
        <w:jc w:val="center"/>
        <w:rPr>
          <w:rFonts w:eastAsia="宋体"/>
          <w:b/>
          <w:bCs/>
          <w:w w:val="80"/>
          <w:sz w:val="36"/>
          <w:szCs w:val="36"/>
        </w:rPr>
      </w:pPr>
      <w:r>
        <w:rPr>
          <w:rFonts w:eastAsia="宋体"/>
          <w:b/>
          <w:bCs/>
          <w:w w:val="80"/>
          <w:sz w:val="36"/>
          <w:szCs w:val="36"/>
        </w:rPr>
        <w:t>第六章</w:t>
      </w:r>
      <w:bookmarkEnd w:id="33"/>
      <w:bookmarkEnd w:id="34"/>
      <w:r>
        <w:rPr>
          <w:rFonts w:eastAsia="宋体"/>
          <w:b/>
          <w:bCs/>
          <w:w w:val="80"/>
          <w:sz w:val="36"/>
          <w:szCs w:val="36"/>
        </w:rPr>
        <w:t xml:space="preserve">  合同授予</w:t>
      </w:r>
    </w:p>
    <w:p w14:paraId="623046D8">
      <w:pPr>
        <w:spacing w:line="360" w:lineRule="auto"/>
        <w:ind w:firstLine="484" w:firstLineChars="202"/>
        <w:rPr>
          <w:rFonts w:eastAsia="宋体"/>
          <w:kern w:val="0"/>
        </w:rPr>
      </w:pPr>
      <w:bookmarkStart w:id="36" w:name="_Toc363573859"/>
    </w:p>
    <w:p w14:paraId="711ABB5C">
      <w:pPr>
        <w:spacing w:line="360" w:lineRule="auto"/>
        <w:ind w:firstLine="484" w:firstLineChars="202"/>
        <w:rPr>
          <w:rFonts w:eastAsia="宋体"/>
          <w:kern w:val="0"/>
        </w:rPr>
      </w:pPr>
      <w:r>
        <w:rPr>
          <w:rFonts w:eastAsia="宋体"/>
          <w:kern w:val="0"/>
        </w:rPr>
        <w:t>一、成交人在接到代理机构发出送达的《成交通知书》后</w:t>
      </w:r>
      <w:r>
        <w:rPr>
          <w:rFonts w:hint="eastAsia" w:eastAsia="宋体"/>
          <w:kern w:val="0"/>
          <w:lang w:val="en-US" w:eastAsia="zh-CN"/>
        </w:rPr>
        <w:t>30</w:t>
      </w:r>
      <w:r>
        <w:rPr>
          <w:rFonts w:eastAsia="宋体"/>
          <w:kern w:val="0"/>
        </w:rPr>
        <w:t>日内与采购人签订采购合同。合同一式陆份，采购人、成交供应商各叁份。所签合同不得对磋商文件作实质性修改。采购单位不得向成交供应商提出不合理的要求作为签订合同的条件，不得与成交供应商私下订立背离磋商文件实质性内容的协议。</w:t>
      </w:r>
    </w:p>
    <w:p w14:paraId="2992B208">
      <w:pPr>
        <w:snapToGrid w:val="0"/>
        <w:spacing w:line="360" w:lineRule="auto"/>
        <w:ind w:firstLine="573"/>
        <w:rPr>
          <w:rFonts w:eastAsia="宋体"/>
        </w:rPr>
      </w:pPr>
      <w:r>
        <w:rPr>
          <w:rFonts w:eastAsia="宋体"/>
        </w:rPr>
        <w:t>二、成交人出现违约情形，应当及时纠正或补偿；造成损失的，按合同约定追究违约责任；发现有假冒、伪劣、走私产品、商业贿赂等违法情形的，应由采购单位移交工商、质监、公安等行政执法部门依法查处。</w:t>
      </w:r>
    </w:p>
    <w:p w14:paraId="7BC4AF40">
      <w:pPr>
        <w:snapToGrid w:val="0"/>
        <w:spacing w:line="360" w:lineRule="auto"/>
        <w:ind w:firstLine="573"/>
        <w:rPr>
          <w:rFonts w:eastAsia="宋体"/>
        </w:rPr>
      </w:pPr>
      <w:r>
        <w:rPr>
          <w:rFonts w:eastAsia="宋体"/>
        </w:rPr>
        <w:t>三、按政府采购合同约定支付的货款，</w:t>
      </w:r>
      <w:r>
        <w:rPr>
          <w:rFonts w:hint="eastAsia" w:eastAsia="宋体"/>
        </w:rPr>
        <w:t>采购人</w:t>
      </w:r>
      <w:r>
        <w:rPr>
          <w:rFonts w:eastAsia="宋体"/>
        </w:rPr>
        <w:t>直接支付。</w:t>
      </w:r>
    </w:p>
    <w:p w14:paraId="43841BFE">
      <w:pPr>
        <w:snapToGrid w:val="0"/>
        <w:spacing w:line="360" w:lineRule="auto"/>
        <w:ind w:firstLine="573"/>
        <w:rPr>
          <w:rFonts w:eastAsia="宋体"/>
        </w:rPr>
      </w:pPr>
      <w:r>
        <w:rPr>
          <w:rFonts w:eastAsia="宋体"/>
        </w:rPr>
        <w:t>四、不响应付款方式的，视同响应文件无效，按无效响应文件处理。</w:t>
      </w:r>
    </w:p>
    <w:p w14:paraId="3E32AEEC">
      <w:pPr>
        <w:snapToGrid w:val="0"/>
        <w:spacing w:line="360" w:lineRule="auto"/>
        <w:ind w:firstLine="573"/>
        <w:rPr>
          <w:rFonts w:eastAsia="宋体"/>
        </w:rPr>
      </w:pPr>
      <w:r>
        <w:rPr>
          <w:rFonts w:eastAsia="宋体"/>
        </w:rPr>
        <w:t>五、付款方式详见磋商文件第五章。</w:t>
      </w:r>
    </w:p>
    <w:p w14:paraId="396D70CC">
      <w:pPr>
        <w:snapToGrid w:val="0"/>
        <w:spacing w:line="360" w:lineRule="auto"/>
        <w:ind w:firstLine="573"/>
        <w:rPr>
          <w:rFonts w:eastAsia="宋体"/>
        </w:rPr>
      </w:pPr>
      <w:r>
        <w:rPr>
          <w:rFonts w:eastAsia="宋体"/>
        </w:rPr>
        <w:t>六、以上项目款的支付不计息。</w:t>
      </w:r>
    </w:p>
    <w:p w14:paraId="368D0C84">
      <w:pPr>
        <w:pStyle w:val="18"/>
        <w:spacing w:line="360" w:lineRule="auto"/>
        <w:rPr>
          <w:rFonts w:ascii="Times New Roman" w:eastAsia="宋体"/>
        </w:rPr>
      </w:pPr>
    </w:p>
    <w:p w14:paraId="5C25E597">
      <w:pPr>
        <w:pStyle w:val="18"/>
        <w:spacing w:line="360" w:lineRule="auto"/>
        <w:rPr>
          <w:rFonts w:ascii="Times New Roman" w:eastAsia="宋体"/>
        </w:rPr>
      </w:pPr>
    </w:p>
    <w:p w14:paraId="34E5B031">
      <w:pPr>
        <w:pStyle w:val="3"/>
        <w:keepNext w:val="0"/>
        <w:keepLines w:val="0"/>
        <w:snapToGrid w:val="0"/>
        <w:spacing w:before="0" w:after="0" w:line="360" w:lineRule="auto"/>
        <w:jc w:val="center"/>
        <w:rPr>
          <w:rFonts w:eastAsia="宋体"/>
          <w:b w:val="0"/>
          <w:bCs/>
          <w:sz w:val="24"/>
          <w:szCs w:val="24"/>
        </w:rPr>
      </w:pPr>
      <w:r>
        <w:rPr>
          <w:rFonts w:eastAsia="宋体"/>
          <w:w w:val="80"/>
          <w:kern w:val="2"/>
          <w:sz w:val="44"/>
          <w:szCs w:val="44"/>
        </w:rPr>
        <w:br w:type="page"/>
      </w:r>
      <w:r>
        <w:rPr>
          <w:rFonts w:eastAsia="宋体"/>
          <w:w w:val="80"/>
          <w:kern w:val="2"/>
          <w:sz w:val="44"/>
          <w:szCs w:val="44"/>
        </w:rPr>
        <w:t>第七章</w:t>
      </w:r>
      <w:bookmarkEnd w:id="36"/>
      <w:r>
        <w:rPr>
          <w:rFonts w:eastAsia="宋体"/>
          <w:w w:val="80"/>
          <w:kern w:val="2"/>
          <w:sz w:val="44"/>
          <w:szCs w:val="44"/>
        </w:rPr>
        <w:t xml:space="preserve">  质疑提出和处理</w:t>
      </w:r>
    </w:p>
    <w:p w14:paraId="6AA51593">
      <w:pPr>
        <w:adjustRightInd w:val="0"/>
        <w:snapToGrid w:val="0"/>
        <w:spacing w:line="360" w:lineRule="auto"/>
        <w:ind w:firstLine="480" w:firstLineChars="200"/>
        <w:rPr>
          <w:rFonts w:eastAsia="宋体"/>
        </w:rPr>
      </w:pPr>
      <w:r>
        <w:rPr>
          <w:rFonts w:eastAsia="宋体"/>
        </w:rPr>
        <w:t>一、质疑的提出</w:t>
      </w:r>
    </w:p>
    <w:p w14:paraId="5A399712">
      <w:pPr>
        <w:adjustRightInd w:val="0"/>
        <w:snapToGrid w:val="0"/>
        <w:spacing w:line="360" w:lineRule="auto"/>
        <w:ind w:firstLine="480" w:firstLineChars="200"/>
        <w:rPr>
          <w:rFonts w:eastAsia="宋体"/>
        </w:rPr>
      </w:pPr>
      <w:r>
        <w:rPr>
          <w:rFonts w:eastAsia="宋体"/>
        </w:rPr>
        <w:t>1、质疑人必须是直接参加本次磋商活动的当事人。</w:t>
      </w:r>
    </w:p>
    <w:p w14:paraId="6E65723D">
      <w:pPr>
        <w:adjustRightInd w:val="0"/>
        <w:snapToGrid w:val="0"/>
        <w:spacing w:line="360" w:lineRule="auto"/>
        <w:ind w:firstLine="480" w:firstLineChars="200"/>
        <w:rPr>
          <w:rFonts w:eastAsia="宋体"/>
        </w:rPr>
      </w:pPr>
      <w:r>
        <w:rPr>
          <w:rFonts w:eastAsia="宋体"/>
        </w:rPr>
        <w:t>2、下载磋商文件的供应商应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14:paraId="44DC9328">
      <w:pPr>
        <w:adjustRightInd w:val="0"/>
        <w:snapToGrid w:val="0"/>
        <w:spacing w:line="360" w:lineRule="auto"/>
        <w:ind w:firstLine="480" w:firstLineChars="200"/>
        <w:rPr>
          <w:rFonts w:eastAsia="宋体"/>
        </w:rPr>
      </w:pPr>
      <w:r>
        <w:rPr>
          <w:rFonts w:eastAsia="宋体"/>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5D064F41">
      <w:pPr>
        <w:adjustRightInd w:val="0"/>
        <w:snapToGrid w:val="0"/>
        <w:spacing w:line="360" w:lineRule="auto"/>
        <w:ind w:firstLine="480" w:firstLineChars="200"/>
        <w:rPr>
          <w:rFonts w:eastAsia="宋体"/>
        </w:rPr>
      </w:pPr>
      <w:r>
        <w:rPr>
          <w:rFonts w:eastAsia="宋体"/>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561B55C4">
      <w:pPr>
        <w:adjustRightInd w:val="0"/>
        <w:snapToGrid w:val="0"/>
        <w:spacing w:line="360" w:lineRule="auto"/>
        <w:ind w:firstLine="600" w:firstLineChars="250"/>
        <w:rPr>
          <w:rFonts w:eastAsia="宋体"/>
        </w:rPr>
      </w:pPr>
      <w:r>
        <w:rPr>
          <w:rFonts w:eastAsia="宋体"/>
        </w:rPr>
        <w:t>对不能提供相关佐证材料的、涉及商业秘密的、非书面形式的、非送达的、匿名的《质疑函》将不予受理。</w:t>
      </w:r>
    </w:p>
    <w:p w14:paraId="71B62248">
      <w:pPr>
        <w:adjustRightInd w:val="0"/>
        <w:snapToGrid w:val="0"/>
        <w:spacing w:line="360" w:lineRule="auto"/>
        <w:ind w:firstLine="600" w:firstLineChars="250"/>
        <w:rPr>
          <w:rFonts w:eastAsia="宋体"/>
        </w:rPr>
      </w:pPr>
      <w:r>
        <w:rPr>
          <w:rFonts w:eastAsia="宋体"/>
        </w:rPr>
        <w:t>相关佐证材料要具备客观性、关联性、合法性，无法查实的（如宣传册、媒体报道、猜测、推理等）不能作为佐证材料。</w:t>
      </w:r>
    </w:p>
    <w:p w14:paraId="734E1B70">
      <w:pPr>
        <w:adjustRightInd w:val="0"/>
        <w:snapToGrid w:val="0"/>
        <w:spacing w:line="360" w:lineRule="auto"/>
        <w:ind w:firstLine="600" w:firstLineChars="250"/>
        <w:rPr>
          <w:rFonts w:eastAsia="宋体"/>
        </w:rPr>
      </w:pPr>
      <w:r>
        <w:rPr>
          <w:rFonts w:eastAsia="宋体"/>
        </w:rPr>
        <w:t>采购单位或采购代理机构不负责搜集相关佐证材料等工作。</w:t>
      </w:r>
    </w:p>
    <w:p w14:paraId="167F9E7D">
      <w:pPr>
        <w:adjustRightInd w:val="0"/>
        <w:snapToGrid w:val="0"/>
        <w:spacing w:line="360" w:lineRule="auto"/>
        <w:ind w:firstLine="480" w:firstLineChars="200"/>
        <w:rPr>
          <w:rFonts w:eastAsia="宋体"/>
        </w:rPr>
      </w:pPr>
      <w:r>
        <w:rPr>
          <w:rFonts w:eastAsia="宋体"/>
        </w:rPr>
        <w:t>二、《质疑函》的受理和回复</w:t>
      </w:r>
    </w:p>
    <w:p w14:paraId="38EFCC32">
      <w:pPr>
        <w:adjustRightInd w:val="0"/>
        <w:snapToGrid w:val="0"/>
        <w:spacing w:line="360" w:lineRule="auto"/>
        <w:ind w:firstLine="480" w:firstLineChars="200"/>
        <w:rPr>
          <w:rFonts w:eastAsia="宋体"/>
        </w:rPr>
      </w:pPr>
      <w:r>
        <w:rPr>
          <w:rFonts w:eastAsia="宋体"/>
        </w:rPr>
        <w:t>1、《质疑函》须由质疑人的法定代表人或参加本次磋商被授权人送达采购单位和采购代理机构。</w:t>
      </w:r>
    </w:p>
    <w:p w14:paraId="62796923">
      <w:pPr>
        <w:adjustRightInd w:val="0"/>
        <w:snapToGrid w:val="0"/>
        <w:spacing w:line="360" w:lineRule="auto"/>
        <w:ind w:firstLine="480" w:firstLineChars="200"/>
        <w:rPr>
          <w:rFonts w:eastAsia="宋体"/>
        </w:rPr>
      </w:pPr>
      <w:r>
        <w:rPr>
          <w:rFonts w:eastAsia="宋体"/>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66C34EC9">
      <w:pPr>
        <w:adjustRightInd w:val="0"/>
        <w:snapToGrid w:val="0"/>
        <w:spacing w:line="360" w:lineRule="auto"/>
        <w:ind w:firstLine="480" w:firstLineChars="200"/>
        <w:rPr>
          <w:rFonts w:eastAsia="宋体"/>
        </w:rPr>
      </w:pPr>
      <w:r>
        <w:rPr>
          <w:rFonts w:eastAsia="宋体"/>
        </w:rPr>
        <w:t>3、对不符合提出质疑要求的，出具《质疑退回通知书》并提出相关补充材料要求，质疑人未在规定的时间内提供补充佐证材料的，视同放弃质疑。</w:t>
      </w:r>
    </w:p>
    <w:p w14:paraId="6DB26483">
      <w:pPr>
        <w:adjustRightInd w:val="0"/>
        <w:snapToGrid w:val="0"/>
        <w:spacing w:line="360" w:lineRule="auto"/>
        <w:ind w:firstLine="480" w:firstLineChars="200"/>
        <w:rPr>
          <w:rFonts w:eastAsia="宋体"/>
        </w:rPr>
      </w:pPr>
      <w:r>
        <w:rPr>
          <w:rFonts w:eastAsia="宋体"/>
        </w:rPr>
        <w:t>4、采购单位、采购代理机构负责将质疑人提出的质疑相关材料提供给相关专家或评审小组审核，并将审核意见回复质疑人。</w:t>
      </w:r>
    </w:p>
    <w:p w14:paraId="6FC6DA37">
      <w:pPr>
        <w:adjustRightInd w:val="0"/>
        <w:snapToGrid w:val="0"/>
        <w:spacing w:line="360" w:lineRule="auto"/>
        <w:ind w:firstLine="480" w:firstLineChars="200"/>
        <w:rPr>
          <w:rFonts w:eastAsia="宋体"/>
        </w:rPr>
      </w:pPr>
      <w:r>
        <w:rPr>
          <w:rFonts w:eastAsia="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3AAE6E16">
      <w:pPr>
        <w:adjustRightInd w:val="0"/>
        <w:snapToGrid w:val="0"/>
        <w:spacing w:line="360" w:lineRule="auto"/>
        <w:ind w:firstLine="480" w:firstLineChars="200"/>
        <w:rPr>
          <w:rFonts w:eastAsia="宋体"/>
        </w:rPr>
      </w:pPr>
      <w:r>
        <w:rPr>
          <w:rFonts w:eastAsia="宋体"/>
        </w:rPr>
        <w:t>5、因质疑情况复杂，组织论证或审查时间较长的，采购单位、采购代理机构以书面形式通知质疑人，可适当延长质疑回复处理时间。</w:t>
      </w:r>
    </w:p>
    <w:p w14:paraId="50C21071">
      <w:pPr>
        <w:adjustRightInd w:val="0"/>
        <w:snapToGrid w:val="0"/>
        <w:spacing w:line="360" w:lineRule="auto"/>
        <w:ind w:firstLine="480" w:firstLineChars="200"/>
        <w:rPr>
          <w:rFonts w:eastAsia="宋体"/>
        </w:rPr>
      </w:pPr>
      <w:r>
        <w:rPr>
          <w:rFonts w:eastAsia="宋体"/>
        </w:rPr>
        <w:t>三、质疑处理</w:t>
      </w:r>
    </w:p>
    <w:p w14:paraId="3FFD9FB5">
      <w:pPr>
        <w:adjustRightInd w:val="0"/>
        <w:snapToGrid w:val="0"/>
        <w:spacing w:line="360" w:lineRule="auto"/>
        <w:ind w:firstLine="480" w:firstLineChars="200"/>
        <w:rPr>
          <w:rFonts w:eastAsia="宋体"/>
        </w:rPr>
      </w:pPr>
      <w:r>
        <w:rPr>
          <w:rFonts w:eastAsia="宋体"/>
        </w:rPr>
        <w:t>1、质疑成立的处理。采购单位或采购代理机构终止采购，并建议有关部门给相关当事人予以处理。</w:t>
      </w:r>
    </w:p>
    <w:p w14:paraId="7FE4C8BA">
      <w:pPr>
        <w:adjustRightInd w:val="0"/>
        <w:snapToGrid w:val="0"/>
        <w:spacing w:line="360" w:lineRule="auto"/>
        <w:ind w:firstLine="480" w:firstLineChars="200"/>
        <w:rPr>
          <w:rFonts w:eastAsia="宋体"/>
        </w:rPr>
      </w:pPr>
      <w:r>
        <w:rPr>
          <w:rFonts w:eastAsia="宋体"/>
        </w:rPr>
        <w:t>2、质疑不成立的处理。</w:t>
      </w:r>
    </w:p>
    <w:p w14:paraId="06F58FF2">
      <w:pPr>
        <w:adjustRightInd w:val="0"/>
        <w:snapToGrid w:val="0"/>
        <w:spacing w:line="360" w:lineRule="auto"/>
        <w:ind w:firstLine="480" w:firstLineChars="200"/>
        <w:rPr>
          <w:rFonts w:eastAsia="宋体"/>
        </w:rPr>
      </w:pPr>
      <w:r>
        <w:rPr>
          <w:rFonts w:eastAsia="宋体"/>
        </w:rPr>
        <w:t>1）质疑人书面《申请撤回质疑函》的，不作违约处理。</w:t>
      </w:r>
    </w:p>
    <w:p w14:paraId="159FDA82">
      <w:pPr>
        <w:adjustRightInd w:val="0"/>
        <w:snapToGrid w:val="0"/>
        <w:spacing w:line="360" w:lineRule="auto"/>
        <w:ind w:firstLine="480" w:firstLineChars="200"/>
        <w:rPr>
          <w:rFonts w:eastAsia="宋体"/>
        </w:rPr>
      </w:pPr>
      <w:r>
        <w:rPr>
          <w:rFonts w:eastAsia="宋体"/>
        </w:rPr>
        <w:t>2）质疑人在规定的时间内不配合进行质疑调查处理的，按自动撤回《质疑函》处理。</w:t>
      </w:r>
    </w:p>
    <w:p w14:paraId="308E6B6B">
      <w:pPr>
        <w:adjustRightInd w:val="0"/>
        <w:snapToGrid w:val="0"/>
        <w:spacing w:line="360" w:lineRule="auto"/>
        <w:ind w:firstLine="480" w:firstLineChars="200"/>
        <w:rPr>
          <w:rFonts w:eastAsia="宋体"/>
        </w:rPr>
      </w:pPr>
      <w:r>
        <w:rPr>
          <w:rFonts w:eastAsia="宋体"/>
        </w:rPr>
        <w:t>3）质疑人不按《质疑函》格式就提出质疑的，作违约处理。同时，视情列入不良供应商名单。</w:t>
      </w:r>
    </w:p>
    <w:p w14:paraId="62BBB891">
      <w:pPr>
        <w:adjustRightInd w:val="0"/>
        <w:snapToGrid w:val="0"/>
        <w:spacing w:line="360" w:lineRule="auto"/>
        <w:ind w:firstLine="480" w:firstLineChars="200"/>
        <w:rPr>
          <w:rFonts w:eastAsia="宋体"/>
        </w:rPr>
      </w:pPr>
      <w:r>
        <w:rPr>
          <w:rFonts w:eastAsia="宋体"/>
        </w:rPr>
        <w:t>4）质疑人虽提供了相关佐证材料，但不能证明其质疑成立的，采购单位或采购代理机构请质疑人补充相关佐证材料，仍不能证明其质疑成立的，作违约处理。并将其列入不良供应商名单。</w:t>
      </w:r>
    </w:p>
    <w:p w14:paraId="56A48491">
      <w:pPr>
        <w:adjustRightInd w:val="0"/>
        <w:snapToGrid w:val="0"/>
        <w:spacing w:line="360" w:lineRule="auto"/>
        <w:ind w:firstLine="480" w:firstLineChars="200"/>
        <w:rPr>
          <w:rFonts w:eastAsia="宋体"/>
        </w:rPr>
      </w:pPr>
      <w:r>
        <w:rPr>
          <w:rFonts w:eastAsia="宋体"/>
        </w:rPr>
        <w:t>5）质疑人不能提供相关佐证材料的，采购单位、采购代理机构已指出，质疑人仍然坚持提出质疑的，作违约处理。同时，列入不良供应商名单。</w:t>
      </w:r>
    </w:p>
    <w:p w14:paraId="007E8C1E">
      <w:pPr>
        <w:adjustRightInd w:val="0"/>
        <w:snapToGrid w:val="0"/>
        <w:spacing w:line="360" w:lineRule="auto"/>
        <w:ind w:firstLine="480" w:firstLineChars="200"/>
        <w:rPr>
          <w:rFonts w:eastAsia="宋体"/>
        </w:rPr>
      </w:pPr>
      <w:r>
        <w:rPr>
          <w:rFonts w:eastAsia="宋体"/>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w:t>
      </w:r>
      <w:r>
        <w:rPr>
          <w:rFonts w:hint="eastAsia" w:eastAsia="宋体"/>
        </w:rPr>
        <w:t>此</w:t>
      </w:r>
      <w:r>
        <w:rPr>
          <w:rFonts w:eastAsia="宋体"/>
        </w:rPr>
        <w:t>类推；视情在南通政府采购网、省、国家级相关媒体予以披露。</w:t>
      </w:r>
    </w:p>
    <w:p w14:paraId="11D1FB6C">
      <w:pPr>
        <w:adjustRightInd w:val="0"/>
        <w:snapToGrid w:val="0"/>
        <w:spacing w:line="360" w:lineRule="auto"/>
        <w:ind w:firstLine="480" w:firstLineChars="200"/>
        <w:rPr>
          <w:rFonts w:eastAsia="宋体"/>
        </w:rPr>
      </w:pPr>
      <w:r>
        <w:rPr>
          <w:rFonts w:eastAsia="宋体"/>
        </w:rPr>
        <w:t>7）质疑人承担使用虚假材料或恶意方式质疑的法律责任。</w:t>
      </w:r>
    </w:p>
    <w:p w14:paraId="3FA70B45">
      <w:pPr>
        <w:adjustRightInd w:val="0"/>
        <w:snapToGrid w:val="0"/>
        <w:spacing w:line="360" w:lineRule="auto"/>
        <w:ind w:firstLine="480" w:firstLineChars="200"/>
        <w:rPr>
          <w:rFonts w:eastAsia="宋体"/>
        </w:rPr>
      </w:pPr>
      <w:r>
        <w:rPr>
          <w:rFonts w:eastAsia="宋体"/>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14:paraId="06681B6B">
      <w:pPr>
        <w:adjustRightInd w:val="0"/>
        <w:snapToGrid w:val="0"/>
        <w:spacing w:line="360" w:lineRule="auto"/>
        <w:ind w:firstLine="480" w:firstLineChars="200"/>
        <w:rPr>
          <w:rFonts w:eastAsia="宋体"/>
        </w:rPr>
      </w:pPr>
      <w:r>
        <w:rPr>
          <w:rFonts w:eastAsia="宋体"/>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14:paraId="62F07C49">
      <w:pPr>
        <w:adjustRightInd w:val="0"/>
        <w:snapToGrid w:val="0"/>
        <w:spacing w:line="360" w:lineRule="auto"/>
        <w:ind w:firstLine="480" w:firstLineChars="200"/>
        <w:rPr>
          <w:rFonts w:eastAsia="宋体"/>
        </w:rPr>
      </w:pPr>
      <w:r>
        <w:rPr>
          <w:rFonts w:eastAsia="宋体"/>
        </w:rPr>
        <w:t>六、《质疑函》、《质疑回复函》，质疑、举报、投诉不成立</w:t>
      </w:r>
      <w:r>
        <w:rPr>
          <w:rFonts w:hint="eastAsia" w:eastAsia="宋体"/>
        </w:rPr>
        <w:t>等相关</w:t>
      </w:r>
      <w:r>
        <w:rPr>
          <w:rFonts w:eastAsia="宋体"/>
        </w:rPr>
        <w:t>情况，视情在南通政府采购网、省、国家级等相关媒体予以披露。并建议相关政府采购机构对该供应商同步实施1至3年内禁入。</w:t>
      </w:r>
    </w:p>
    <w:p w14:paraId="3EDCE100">
      <w:pPr>
        <w:adjustRightInd w:val="0"/>
        <w:snapToGrid w:val="0"/>
        <w:spacing w:line="360" w:lineRule="auto"/>
        <w:ind w:firstLine="480" w:firstLineChars="200"/>
        <w:rPr>
          <w:rFonts w:eastAsia="宋体"/>
        </w:rPr>
      </w:pPr>
      <w:r>
        <w:rPr>
          <w:rFonts w:eastAsia="宋体"/>
        </w:rPr>
        <w:t>七、质疑供应商对采购单位或代理机构的答复不满意或者采购单位或代理机构未在规定的时间内作出答复的，可以在答复期满后15个工作日内向政府采购监督管理部门投诉。</w:t>
      </w:r>
    </w:p>
    <w:p w14:paraId="3AB086BB">
      <w:pPr>
        <w:spacing w:line="360" w:lineRule="auto"/>
        <w:ind w:firstLine="484" w:firstLineChars="202"/>
        <w:rPr>
          <w:rFonts w:eastAsia="宋体"/>
        </w:rPr>
      </w:pPr>
    </w:p>
    <w:p w14:paraId="212D8396">
      <w:pPr>
        <w:tabs>
          <w:tab w:val="left" w:pos="1050"/>
          <w:tab w:val="right" w:leader="dot" w:pos="9402"/>
        </w:tabs>
        <w:spacing w:line="360" w:lineRule="auto"/>
        <w:jc w:val="center"/>
        <w:outlineLvl w:val="0"/>
        <w:rPr>
          <w:rFonts w:eastAsia="宋体"/>
          <w:b/>
          <w:bCs/>
          <w:w w:val="80"/>
          <w:sz w:val="36"/>
          <w:szCs w:val="36"/>
        </w:rPr>
      </w:pPr>
      <w:bookmarkStart w:id="37" w:name="_Toc363573860"/>
      <w:r>
        <w:rPr>
          <w:rFonts w:eastAsia="宋体"/>
          <w:b/>
          <w:bCs/>
          <w:w w:val="80"/>
          <w:sz w:val="36"/>
          <w:szCs w:val="36"/>
        </w:rPr>
        <w:br w:type="page"/>
      </w:r>
      <w:r>
        <w:rPr>
          <w:rFonts w:eastAsia="宋体"/>
          <w:b/>
          <w:bCs/>
          <w:w w:val="80"/>
          <w:sz w:val="36"/>
          <w:szCs w:val="36"/>
        </w:rPr>
        <w:t>第八章</w:t>
      </w:r>
      <w:bookmarkEnd w:id="37"/>
      <w:r>
        <w:rPr>
          <w:rFonts w:eastAsia="宋体"/>
          <w:b/>
          <w:bCs/>
          <w:w w:val="80"/>
          <w:sz w:val="36"/>
          <w:szCs w:val="36"/>
        </w:rPr>
        <w:t xml:space="preserve">  响应文件组成及格式</w:t>
      </w:r>
    </w:p>
    <w:p w14:paraId="47462389">
      <w:pPr>
        <w:widowControl/>
        <w:snapToGrid w:val="0"/>
        <w:spacing w:line="460" w:lineRule="exact"/>
        <w:ind w:firstLine="472" w:firstLineChars="196"/>
        <w:jc w:val="left"/>
        <w:rPr>
          <w:rFonts w:eastAsia="宋体"/>
          <w:b/>
        </w:rPr>
      </w:pPr>
      <w:r>
        <w:rPr>
          <w:rFonts w:eastAsia="宋体"/>
          <w:b/>
        </w:rPr>
        <w:t>响应文件由资格审查文件、技术响应文件、</w:t>
      </w:r>
      <w:r>
        <w:rPr>
          <w:rFonts w:hint="eastAsia" w:eastAsia="宋体"/>
          <w:b/>
        </w:rPr>
        <w:t>报价响应文件</w:t>
      </w:r>
      <w:r>
        <w:rPr>
          <w:rFonts w:eastAsia="宋体"/>
          <w:b/>
        </w:rPr>
        <w:t>三部分组成。</w:t>
      </w:r>
    </w:p>
    <w:p w14:paraId="1395CA35">
      <w:pPr>
        <w:widowControl/>
        <w:snapToGrid w:val="0"/>
        <w:spacing w:line="460" w:lineRule="exact"/>
        <w:ind w:firstLine="472" w:firstLineChars="196"/>
        <w:jc w:val="left"/>
        <w:rPr>
          <w:rFonts w:eastAsia="宋体"/>
          <w:b/>
        </w:rPr>
      </w:pPr>
      <w:r>
        <w:rPr>
          <w:rFonts w:eastAsia="宋体"/>
          <w:b/>
        </w:rPr>
        <w:t>一、资格审查文件</w:t>
      </w:r>
      <w:r>
        <w:rPr>
          <w:rFonts w:eastAsia="宋体"/>
          <w:b/>
          <w:lang w:val="zh-CN"/>
        </w:rPr>
        <w:t>（</w:t>
      </w:r>
      <w:r>
        <w:rPr>
          <w:rFonts w:eastAsia="宋体"/>
          <w:b/>
          <w:bCs/>
        </w:rPr>
        <w:t>单独密封</w:t>
      </w:r>
      <w:r>
        <w:rPr>
          <w:rFonts w:eastAsia="宋体"/>
          <w:b/>
          <w:lang w:val="zh-CN"/>
        </w:rPr>
        <w:t>）</w:t>
      </w:r>
    </w:p>
    <w:p w14:paraId="6F21DF3C">
      <w:pPr>
        <w:widowControl/>
        <w:snapToGrid w:val="0"/>
        <w:spacing w:line="460" w:lineRule="exact"/>
        <w:ind w:firstLine="480" w:firstLineChars="200"/>
        <w:contextualSpacing/>
        <w:jc w:val="left"/>
        <w:rPr>
          <w:rFonts w:eastAsia="宋体"/>
          <w:b/>
          <w:bCs/>
          <w:kern w:val="0"/>
        </w:rPr>
      </w:pPr>
      <w:r>
        <w:rPr>
          <w:rFonts w:eastAsia="宋体"/>
          <w:kern w:val="0"/>
        </w:rPr>
        <w:t>1、法定代表人身份证明书原件</w:t>
      </w:r>
      <w:r>
        <w:rPr>
          <w:rFonts w:hint="eastAsia" w:eastAsia="宋体"/>
          <w:kern w:val="0"/>
        </w:rPr>
        <w:t>或</w:t>
      </w:r>
      <w:r>
        <w:rPr>
          <w:rFonts w:eastAsia="宋体"/>
          <w:kern w:val="0"/>
          <w:lang w:val="zh-CN"/>
        </w:rPr>
        <w:t>法定代表人授权委托书原件</w:t>
      </w:r>
      <w:r>
        <w:rPr>
          <w:rFonts w:eastAsia="宋体"/>
          <w:kern w:val="0"/>
        </w:rPr>
        <w:t>（</w:t>
      </w:r>
      <w:r>
        <w:rPr>
          <w:rFonts w:eastAsia="宋体"/>
          <w:kern w:val="0"/>
          <w:lang w:val="zh-CN"/>
        </w:rPr>
        <w:t>格式参见第八章</w:t>
      </w:r>
      <w:r>
        <w:rPr>
          <w:rFonts w:eastAsia="宋体"/>
          <w:kern w:val="0"/>
        </w:rPr>
        <w:t>）；</w:t>
      </w:r>
      <w:r>
        <w:rPr>
          <w:rFonts w:hint="eastAsia" w:eastAsia="宋体"/>
          <w:b/>
          <w:bCs/>
          <w:kern w:val="0"/>
          <w:lang w:val="zh-CN"/>
        </w:rPr>
        <w:t>（如为联合体参与磋商，此项文件由联合体牵头人提供）</w:t>
      </w:r>
    </w:p>
    <w:p w14:paraId="30DD4D2A">
      <w:pPr>
        <w:snapToGrid w:val="0"/>
        <w:spacing w:line="460" w:lineRule="exact"/>
        <w:ind w:firstLine="480" w:firstLineChars="200"/>
        <w:contextualSpacing/>
        <w:rPr>
          <w:rFonts w:eastAsia="宋体"/>
          <w:b/>
          <w:bCs/>
          <w:kern w:val="0"/>
          <w:lang w:val="zh-CN"/>
        </w:rPr>
      </w:pPr>
      <w:r>
        <w:rPr>
          <w:rFonts w:hint="eastAsia" w:eastAsia="宋体"/>
          <w:kern w:val="0"/>
          <w:lang w:val="zh-CN"/>
        </w:rPr>
        <w:t>2</w:t>
      </w:r>
      <w:r>
        <w:rPr>
          <w:rFonts w:eastAsia="宋体"/>
          <w:kern w:val="0"/>
          <w:lang w:val="zh-CN"/>
        </w:rPr>
        <w:t>、供应商</w:t>
      </w:r>
      <w:r>
        <w:rPr>
          <w:rFonts w:hint="eastAsia" w:ascii="宋体" w:hAnsi="宋体" w:eastAsia="宋体" w:cs="宋体"/>
        </w:rPr>
        <w:t>提供法人或者其他组织的营业执照等证明文件复印件</w:t>
      </w:r>
      <w:r>
        <w:rPr>
          <w:rFonts w:eastAsia="宋体"/>
          <w:kern w:val="0"/>
          <w:lang w:val="zh-CN"/>
        </w:rPr>
        <w:t>；</w:t>
      </w:r>
      <w:r>
        <w:rPr>
          <w:rFonts w:hint="eastAsia" w:eastAsia="宋体"/>
          <w:b/>
          <w:bCs/>
          <w:kern w:val="0"/>
          <w:lang w:val="zh-CN"/>
        </w:rPr>
        <w:t>（如为联合体参与磋商，此项文件由联合体双方分别提供）</w:t>
      </w:r>
    </w:p>
    <w:p w14:paraId="3B8D9579">
      <w:pPr>
        <w:snapToGrid w:val="0"/>
        <w:spacing w:line="460" w:lineRule="exact"/>
        <w:ind w:firstLine="480" w:firstLineChars="200"/>
        <w:contextualSpacing/>
        <w:rPr>
          <w:rFonts w:eastAsia="宋体"/>
        </w:rPr>
      </w:pPr>
      <w:r>
        <w:rPr>
          <w:rFonts w:hint="eastAsia" w:eastAsia="宋体"/>
        </w:rPr>
        <w:t>3</w:t>
      </w:r>
      <w:r>
        <w:rPr>
          <w:rFonts w:eastAsia="宋体"/>
        </w:rPr>
        <w:t>、供应商具备履行合同所必需的设备和专业技术能力的证明材料（格式参见第八章）；</w:t>
      </w:r>
      <w:r>
        <w:rPr>
          <w:rFonts w:hint="eastAsia" w:eastAsia="宋体"/>
          <w:b/>
          <w:bCs/>
          <w:kern w:val="0"/>
          <w:lang w:val="zh-CN"/>
        </w:rPr>
        <w:t>（如为联合体参与磋商，此项文件由联合体双方分别提供）</w:t>
      </w:r>
    </w:p>
    <w:p w14:paraId="619ED5D3">
      <w:pPr>
        <w:snapToGrid w:val="0"/>
        <w:spacing w:line="460" w:lineRule="exact"/>
        <w:ind w:firstLine="480" w:firstLineChars="200"/>
        <w:contextualSpacing/>
        <w:rPr>
          <w:rFonts w:eastAsia="宋体"/>
        </w:rPr>
      </w:pPr>
      <w:r>
        <w:rPr>
          <w:rFonts w:hint="eastAsia" w:eastAsia="宋体"/>
        </w:rPr>
        <w:t>4</w:t>
      </w:r>
      <w:r>
        <w:rPr>
          <w:rFonts w:eastAsia="宋体"/>
        </w:rPr>
        <w:t>、供应商参加政府采购活动前3年内在经营活动中没有重大违法记录的书面声明（格式参见第八章）。</w:t>
      </w:r>
      <w:r>
        <w:rPr>
          <w:rFonts w:hint="eastAsia" w:eastAsia="宋体"/>
          <w:b/>
          <w:bCs/>
          <w:kern w:val="0"/>
          <w:lang w:val="zh-CN"/>
        </w:rPr>
        <w:t>（如为联合体参与磋商，此项文件由联合体双方分别提供）</w:t>
      </w:r>
    </w:p>
    <w:p w14:paraId="27B2BE12">
      <w:pPr>
        <w:widowControl/>
        <w:snapToGrid w:val="0"/>
        <w:spacing w:line="460" w:lineRule="exact"/>
        <w:ind w:firstLine="480" w:firstLineChars="200"/>
        <w:contextualSpacing/>
        <w:jc w:val="left"/>
        <w:rPr>
          <w:rFonts w:eastAsia="宋体"/>
          <w:b/>
          <w:bCs/>
          <w:kern w:val="0"/>
        </w:rPr>
      </w:pPr>
      <w:r>
        <w:rPr>
          <w:rFonts w:hint="eastAsia" w:eastAsia="宋体"/>
          <w:kern w:val="0"/>
        </w:rPr>
        <w:t>5</w:t>
      </w:r>
      <w:r>
        <w:rPr>
          <w:rFonts w:eastAsia="宋体"/>
          <w:kern w:val="0"/>
        </w:rPr>
        <w:t>、关于资格的声明函</w:t>
      </w:r>
      <w:r>
        <w:rPr>
          <w:rFonts w:eastAsia="宋体"/>
          <w:kern w:val="0"/>
          <w:lang w:val="zh-CN"/>
        </w:rPr>
        <w:t>（格式参见第八章）</w:t>
      </w:r>
      <w:r>
        <w:rPr>
          <w:rFonts w:eastAsia="宋体"/>
          <w:kern w:val="0"/>
        </w:rPr>
        <w:t>；</w:t>
      </w:r>
      <w:r>
        <w:rPr>
          <w:rFonts w:hint="eastAsia" w:eastAsia="宋体"/>
          <w:b/>
          <w:bCs/>
          <w:kern w:val="0"/>
          <w:lang w:val="zh-CN"/>
        </w:rPr>
        <w:t>（如为联合体参与磋商，此项文件由联合体双方分别提供）</w:t>
      </w:r>
    </w:p>
    <w:p w14:paraId="2AAF2570">
      <w:pPr>
        <w:widowControl/>
        <w:snapToGrid w:val="0"/>
        <w:spacing w:line="460" w:lineRule="exact"/>
        <w:ind w:firstLine="480" w:firstLineChars="200"/>
        <w:jc w:val="left"/>
        <w:rPr>
          <w:rFonts w:hint="eastAsia" w:eastAsia="宋体"/>
          <w:kern w:val="0"/>
          <w:lang w:val="en-US" w:eastAsia="zh-CN"/>
        </w:rPr>
      </w:pPr>
      <w:r>
        <w:rPr>
          <w:rFonts w:hint="eastAsia" w:eastAsia="宋体"/>
          <w:kern w:val="0"/>
          <w:lang w:val="en-US" w:eastAsia="zh-CN"/>
        </w:rPr>
        <w:t>6、联合体协议书（如有）</w:t>
      </w:r>
      <w:r>
        <w:rPr>
          <w:rFonts w:eastAsia="宋体"/>
          <w:kern w:val="0"/>
          <w:lang w:val="zh-CN"/>
        </w:rPr>
        <w:t>（格式参见第八章）</w:t>
      </w:r>
      <w:r>
        <w:rPr>
          <w:rFonts w:hint="eastAsia" w:eastAsia="宋体"/>
          <w:kern w:val="0"/>
          <w:lang w:val="zh-CN"/>
        </w:rPr>
        <w:t>；</w:t>
      </w:r>
    </w:p>
    <w:p w14:paraId="111839B9">
      <w:pPr>
        <w:widowControl/>
        <w:snapToGrid w:val="0"/>
        <w:spacing w:line="460" w:lineRule="exact"/>
        <w:ind w:firstLine="480" w:firstLineChars="200"/>
        <w:jc w:val="left"/>
        <w:rPr>
          <w:rFonts w:eastAsia="宋体"/>
        </w:rPr>
      </w:pPr>
      <w:r>
        <w:rPr>
          <w:rFonts w:hint="eastAsia" w:eastAsia="宋体"/>
          <w:kern w:val="0"/>
          <w:lang w:val="en-US" w:eastAsia="zh-CN"/>
        </w:rPr>
        <w:t>7</w:t>
      </w:r>
      <w:r>
        <w:rPr>
          <w:rFonts w:eastAsia="宋体"/>
          <w:kern w:val="0"/>
        </w:rPr>
        <w:t>、其它需要提交的资格审查证明材料。</w:t>
      </w:r>
    </w:p>
    <w:p w14:paraId="696B34F0">
      <w:pPr>
        <w:spacing w:line="460" w:lineRule="exact"/>
        <w:ind w:firstLine="482" w:firstLineChars="200"/>
        <w:rPr>
          <w:rFonts w:eastAsia="宋体"/>
          <w:b/>
        </w:rPr>
      </w:pPr>
      <w:r>
        <w:rPr>
          <w:rFonts w:eastAsia="宋体"/>
          <w:b/>
          <w:color w:val="000000"/>
        </w:rPr>
        <w:t>注：以上材料如为复印件均需加盖单位公章。</w:t>
      </w:r>
    </w:p>
    <w:p w14:paraId="50DAC702">
      <w:pPr>
        <w:widowControl/>
        <w:snapToGrid w:val="0"/>
        <w:spacing w:line="460" w:lineRule="exact"/>
        <w:ind w:firstLine="472" w:firstLineChars="196"/>
        <w:jc w:val="left"/>
        <w:rPr>
          <w:rFonts w:eastAsia="宋体"/>
          <w:b/>
        </w:rPr>
      </w:pPr>
      <w:r>
        <w:rPr>
          <w:rFonts w:eastAsia="宋体"/>
          <w:b/>
        </w:rPr>
        <w:t>二、技术响应文件</w:t>
      </w:r>
      <w:r>
        <w:rPr>
          <w:rFonts w:eastAsia="宋体"/>
        </w:rPr>
        <w:t>（单独密封</w:t>
      </w:r>
      <w:r>
        <w:rPr>
          <w:rFonts w:eastAsia="宋体"/>
          <w:b/>
        </w:rPr>
        <w:t>）：</w:t>
      </w:r>
    </w:p>
    <w:p w14:paraId="7411802C">
      <w:pPr>
        <w:widowControl/>
        <w:snapToGrid w:val="0"/>
        <w:spacing w:line="460" w:lineRule="exact"/>
        <w:ind w:firstLine="470" w:firstLineChars="196"/>
        <w:jc w:val="left"/>
        <w:rPr>
          <w:rFonts w:eastAsia="宋体"/>
        </w:rPr>
      </w:pPr>
      <w:r>
        <w:rPr>
          <w:rFonts w:eastAsia="宋体"/>
        </w:rPr>
        <w:t>1、竞争性磋商响应函（格式参见第八章）；</w:t>
      </w:r>
    </w:p>
    <w:p w14:paraId="4598CE5D">
      <w:pPr>
        <w:widowControl/>
        <w:snapToGrid w:val="0"/>
        <w:spacing w:line="460" w:lineRule="exact"/>
        <w:ind w:firstLine="480" w:firstLineChars="200"/>
        <w:contextualSpacing/>
        <w:jc w:val="left"/>
        <w:rPr>
          <w:rFonts w:eastAsia="宋体"/>
        </w:rPr>
      </w:pPr>
      <w:r>
        <w:rPr>
          <w:rFonts w:eastAsia="宋体"/>
        </w:rPr>
        <w:t>2、供应商一般情况表（格式参见第八章）；</w:t>
      </w:r>
      <w:r>
        <w:rPr>
          <w:rFonts w:hint="eastAsia" w:eastAsia="宋体"/>
          <w:b/>
          <w:bCs/>
          <w:kern w:val="0"/>
          <w:lang w:val="zh-CN"/>
        </w:rPr>
        <w:t>（如为联合体参与磋商，此项文件由联合体双方分别提供）</w:t>
      </w:r>
      <w:bookmarkStart w:id="38" w:name="_GoBack"/>
      <w:bookmarkEnd w:id="38"/>
    </w:p>
    <w:p w14:paraId="68306D79">
      <w:pPr>
        <w:widowControl/>
        <w:snapToGrid w:val="0"/>
        <w:spacing w:line="460" w:lineRule="exact"/>
        <w:ind w:firstLine="470" w:firstLineChars="196"/>
        <w:jc w:val="left"/>
        <w:rPr>
          <w:rFonts w:eastAsia="宋体"/>
        </w:rPr>
      </w:pPr>
      <w:r>
        <w:rPr>
          <w:rFonts w:eastAsia="宋体"/>
        </w:rPr>
        <w:t>3、评标办法中所涉及的事项需提供的所有资料；</w:t>
      </w:r>
    </w:p>
    <w:p w14:paraId="24E4B2D8">
      <w:pPr>
        <w:widowControl/>
        <w:snapToGrid w:val="0"/>
        <w:spacing w:line="460" w:lineRule="exact"/>
        <w:ind w:firstLine="470" w:firstLineChars="196"/>
        <w:jc w:val="left"/>
        <w:rPr>
          <w:rFonts w:eastAsia="宋体"/>
        </w:rPr>
      </w:pPr>
      <w:r>
        <w:rPr>
          <w:rFonts w:eastAsia="宋体"/>
        </w:rPr>
        <w:t>4、评标办法中未涉及的事项，供应商认为需要提交的其他资料；</w:t>
      </w:r>
    </w:p>
    <w:p w14:paraId="74ADD3EB">
      <w:pPr>
        <w:widowControl/>
        <w:snapToGrid w:val="0"/>
        <w:spacing w:line="460" w:lineRule="exact"/>
        <w:ind w:firstLine="470" w:firstLineChars="196"/>
        <w:jc w:val="left"/>
        <w:rPr>
          <w:rFonts w:eastAsia="宋体"/>
        </w:rPr>
      </w:pPr>
      <w:r>
        <w:rPr>
          <w:rFonts w:eastAsia="宋体"/>
        </w:rPr>
        <w:t>5、磋商文件中要求提供的其他材料。</w:t>
      </w:r>
    </w:p>
    <w:p w14:paraId="4BA7DB34">
      <w:pPr>
        <w:widowControl/>
        <w:snapToGrid w:val="0"/>
        <w:spacing w:line="460" w:lineRule="exact"/>
        <w:ind w:firstLine="470" w:firstLineChars="196"/>
        <w:jc w:val="left"/>
        <w:rPr>
          <w:rFonts w:eastAsia="宋体"/>
        </w:rPr>
      </w:pPr>
      <w:r>
        <w:rPr>
          <w:rFonts w:eastAsia="宋体"/>
        </w:rPr>
        <w:t>注：为方便评委评审，请供应商按评标办法中所涉及的事项顺序进行编制，可以补充相关材料；</w:t>
      </w:r>
    </w:p>
    <w:p w14:paraId="0191250C">
      <w:pPr>
        <w:snapToGrid w:val="0"/>
        <w:spacing w:line="460" w:lineRule="exact"/>
        <w:ind w:firstLine="482" w:firstLineChars="200"/>
        <w:rPr>
          <w:rFonts w:eastAsia="宋体"/>
          <w:b/>
        </w:rPr>
      </w:pPr>
      <w:r>
        <w:rPr>
          <w:rFonts w:eastAsia="宋体"/>
          <w:b/>
          <w:bCs/>
        </w:rPr>
        <w:t>特别提醒：“资格审查文件”、“技术响应文件”所须提供的材料（须加盖供应商公章）按磋商文件要求装订，密封，递交。</w:t>
      </w:r>
    </w:p>
    <w:p w14:paraId="3846F7F4">
      <w:pPr>
        <w:adjustRightInd w:val="0"/>
        <w:snapToGrid w:val="0"/>
        <w:spacing w:line="460" w:lineRule="exact"/>
        <w:ind w:firstLine="482" w:firstLineChars="200"/>
        <w:jc w:val="left"/>
        <w:rPr>
          <w:rFonts w:eastAsia="宋体"/>
          <w:b/>
          <w:lang w:val="zh-CN"/>
        </w:rPr>
      </w:pPr>
      <w:r>
        <w:rPr>
          <w:rFonts w:eastAsia="宋体"/>
          <w:b/>
          <w:lang w:val="zh-CN"/>
        </w:rPr>
        <w:t>三、</w:t>
      </w:r>
      <w:r>
        <w:rPr>
          <w:rFonts w:hint="eastAsia" w:eastAsia="宋体"/>
          <w:b/>
          <w:bCs/>
        </w:rPr>
        <w:t>报价响应文件</w:t>
      </w:r>
      <w:r>
        <w:rPr>
          <w:rFonts w:eastAsia="宋体"/>
          <w:b/>
          <w:lang w:val="zh-CN"/>
        </w:rPr>
        <w:t>（</w:t>
      </w:r>
      <w:r>
        <w:rPr>
          <w:rFonts w:eastAsia="宋体"/>
          <w:b/>
          <w:bCs/>
        </w:rPr>
        <w:t>单独密封</w:t>
      </w:r>
      <w:r>
        <w:rPr>
          <w:rFonts w:eastAsia="宋体"/>
          <w:b/>
          <w:lang w:val="zh-CN"/>
        </w:rPr>
        <w:t>）</w:t>
      </w:r>
    </w:p>
    <w:p w14:paraId="15A32722">
      <w:pPr>
        <w:adjustRightInd w:val="0"/>
        <w:snapToGrid w:val="0"/>
        <w:spacing w:line="460" w:lineRule="exact"/>
        <w:ind w:firstLine="480" w:firstLineChars="200"/>
        <w:jc w:val="left"/>
        <w:rPr>
          <w:rFonts w:eastAsia="宋体"/>
          <w:bCs/>
          <w:lang w:val="zh-CN"/>
        </w:rPr>
      </w:pPr>
      <w:r>
        <w:rPr>
          <w:rFonts w:eastAsia="宋体"/>
          <w:bCs/>
          <w:lang w:val="zh-CN"/>
        </w:rPr>
        <w:t>1、磋商响应报价表（首次）（格式参见第八章）；</w:t>
      </w:r>
    </w:p>
    <w:p w14:paraId="2F20F9FA">
      <w:pPr>
        <w:adjustRightInd w:val="0"/>
        <w:snapToGrid w:val="0"/>
        <w:spacing w:line="460" w:lineRule="exact"/>
        <w:ind w:firstLine="480" w:firstLineChars="200"/>
        <w:jc w:val="left"/>
        <w:rPr>
          <w:rFonts w:eastAsia="宋体"/>
          <w:bCs/>
          <w:lang w:val="zh-CN"/>
        </w:rPr>
      </w:pPr>
      <w:r>
        <w:rPr>
          <w:rFonts w:hint="eastAsia" w:eastAsia="宋体"/>
          <w:bCs/>
          <w:lang w:val="zh-CN"/>
        </w:rPr>
        <w:t>2、</w:t>
      </w:r>
      <w:r>
        <w:rPr>
          <w:rFonts w:eastAsia="宋体"/>
          <w:bCs/>
          <w:lang w:val="zh-CN"/>
        </w:rPr>
        <w:t>磋商响应报价</w:t>
      </w:r>
      <w:r>
        <w:rPr>
          <w:rFonts w:hint="eastAsia" w:eastAsia="宋体"/>
          <w:bCs/>
          <w:lang w:val="zh-CN"/>
        </w:rPr>
        <w:t>明细</w:t>
      </w:r>
      <w:r>
        <w:rPr>
          <w:rFonts w:eastAsia="宋体"/>
          <w:bCs/>
          <w:lang w:val="zh-CN"/>
        </w:rPr>
        <w:t>表（首次）（格式参见第八章）；</w:t>
      </w:r>
    </w:p>
    <w:p w14:paraId="10AA3CBD">
      <w:pPr>
        <w:adjustRightInd w:val="0"/>
        <w:snapToGrid w:val="0"/>
        <w:spacing w:line="360" w:lineRule="auto"/>
        <w:ind w:firstLine="0" w:firstLineChars="0"/>
        <w:outlineLvl w:val="3"/>
        <w:rPr>
          <w:rFonts w:eastAsia="宋体"/>
          <w:b/>
          <w:bCs/>
        </w:rPr>
      </w:pPr>
      <w:r>
        <w:rPr>
          <w:rFonts w:eastAsia="宋体"/>
          <w:b/>
          <w:bCs/>
        </w:rPr>
        <w:br w:type="page"/>
      </w:r>
      <w:r>
        <w:rPr>
          <w:rFonts w:eastAsia="宋体"/>
          <w:b/>
          <w:bCs/>
        </w:rPr>
        <w:t>附件：</w:t>
      </w:r>
    </w:p>
    <w:p w14:paraId="6DE8D641">
      <w:pPr>
        <w:snapToGrid w:val="0"/>
        <w:spacing w:line="360" w:lineRule="auto"/>
        <w:jc w:val="center"/>
        <w:outlineLvl w:val="3"/>
        <w:rPr>
          <w:rFonts w:eastAsia="宋体"/>
          <w:b/>
          <w:bCs/>
          <w:sz w:val="28"/>
          <w:szCs w:val="28"/>
        </w:rPr>
      </w:pPr>
      <w:r>
        <w:rPr>
          <w:rFonts w:eastAsia="宋体"/>
          <w:b/>
          <w:bCs/>
          <w:sz w:val="28"/>
          <w:szCs w:val="28"/>
        </w:rPr>
        <w:t>1、法定代表人身份证明</w:t>
      </w:r>
    </w:p>
    <w:p w14:paraId="18707347">
      <w:pPr>
        <w:snapToGrid w:val="0"/>
        <w:spacing w:line="360" w:lineRule="auto"/>
        <w:jc w:val="center"/>
        <w:rPr>
          <w:rFonts w:eastAsia="宋体"/>
        </w:rPr>
      </w:pPr>
      <w:r>
        <w:rPr>
          <w:rFonts w:eastAsia="宋体"/>
        </w:rPr>
        <w:t>（如法定代表人参加磋商，须出示此证明）</w:t>
      </w:r>
    </w:p>
    <w:p w14:paraId="2D03216B">
      <w:pPr>
        <w:snapToGrid w:val="0"/>
        <w:spacing w:before="326" w:beforeLines="100" w:after="326" w:afterLines="100" w:line="360" w:lineRule="auto"/>
        <w:rPr>
          <w:rFonts w:eastAsia="宋体"/>
          <w:u w:val="single"/>
        </w:rPr>
      </w:pPr>
      <w:r>
        <w:rPr>
          <w:rFonts w:eastAsia="宋体"/>
          <w:u w:val="single"/>
        </w:rPr>
        <w:t>南通市水利局：</w:t>
      </w:r>
    </w:p>
    <w:p w14:paraId="6C25C94E">
      <w:pPr>
        <w:snapToGrid w:val="0"/>
        <w:spacing w:line="360" w:lineRule="auto"/>
        <w:ind w:firstLine="480" w:firstLineChars="200"/>
        <w:rPr>
          <w:rFonts w:eastAsia="宋体"/>
        </w:rPr>
      </w:pPr>
      <w:r>
        <w:rPr>
          <w:rFonts w:eastAsia="宋体"/>
        </w:rPr>
        <w:t>我公司法定代表人</w:t>
      </w:r>
      <w:r>
        <w:rPr>
          <w:rFonts w:eastAsia="宋体"/>
          <w:u w:val="single"/>
        </w:rPr>
        <w:t xml:space="preserve">     　　　   </w:t>
      </w:r>
      <w:r>
        <w:rPr>
          <w:rFonts w:eastAsia="宋体"/>
        </w:rPr>
        <w:t>参加贵单位组织的</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（竞争性磋商项目名称</w:t>
      </w:r>
      <w:r>
        <w:rPr>
          <w:rFonts w:hint="eastAsia" w:eastAsia="宋体"/>
        </w:rPr>
        <w:t>及项目编号）</w:t>
      </w:r>
      <w:r>
        <w:rPr>
          <w:rFonts w:eastAsia="宋体"/>
        </w:rPr>
        <w:t>项目的磋商活动，全权代表我公司处理竞争性磋商的有关事宜。</w:t>
      </w:r>
    </w:p>
    <w:p w14:paraId="00A8A176">
      <w:pPr>
        <w:snapToGrid w:val="0"/>
        <w:spacing w:line="360" w:lineRule="auto"/>
        <w:rPr>
          <w:rFonts w:eastAsia="宋体"/>
        </w:rPr>
      </w:pPr>
    </w:p>
    <w:p w14:paraId="6046E38A">
      <w:pPr>
        <w:snapToGrid w:val="0"/>
        <w:spacing w:line="360" w:lineRule="auto"/>
        <w:rPr>
          <w:rFonts w:eastAsia="宋体"/>
        </w:rPr>
      </w:pPr>
      <w:r>
        <w:rPr>
          <w:rFonts w:eastAsia="宋体"/>
        </w:rPr>
        <w:t>附：法定代表人情况：</w:t>
      </w:r>
    </w:p>
    <w:p w14:paraId="1A93FD67">
      <w:pPr>
        <w:snapToGrid w:val="0"/>
        <w:spacing w:line="360" w:lineRule="auto"/>
        <w:rPr>
          <w:rFonts w:eastAsia="宋体"/>
          <w:u w:val="single"/>
        </w:rPr>
      </w:pPr>
      <w:r>
        <w:rPr>
          <w:rFonts w:eastAsia="宋体"/>
        </w:rPr>
        <w:t>姓名：</w:t>
      </w:r>
      <w:r>
        <w:rPr>
          <w:rFonts w:eastAsia="宋体"/>
          <w:u w:val="single"/>
        </w:rPr>
        <w:t xml:space="preserve">         </w:t>
      </w:r>
      <w:r>
        <w:rPr>
          <w:rFonts w:eastAsia="宋体"/>
        </w:rPr>
        <w:t>性别：</w:t>
      </w:r>
      <w:r>
        <w:rPr>
          <w:rFonts w:eastAsia="宋体"/>
          <w:u w:val="single"/>
        </w:rPr>
        <w:t xml:space="preserve">    </w:t>
      </w:r>
      <w:r>
        <w:rPr>
          <w:rFonts w:eastAsia="宋体"/>
        </w:rPr>
        <w:t>年龄：</w:t>
      </w:r>
      <w:r>
        <w:rPr>
          <w:rFonts w:eastAsia="宋体"/>
          <w:u w:val="single"/>
        </w:rPr>
        <w:t xml:space="preserve">      </w:t>
      </w:r>
      <w:r>
        <w:rPr>
          <w:rFonts w:eastAsia="宋体"/>
        </w:rPr>
        <w:t>职务：</w:t>
      </w:r>
      <w:r>
        <w:rPr>
          <w:rFonts w:eastAsia="宋体"/>
          <w:u w:val="single"/>
        </w:rPr>
        <w:t xml:space="preserve">          </w:t>
      </w:r>
    </w:p>
    <w:p w14:paraId="3A6D164F">
      <w:pPr>
        <w:snapToGrid w:val="0"/>
        <w:spacing w:line="360" w:lineRule="auto"/>
        <w:rPr>
          <w:rFonts w:eastAsia="宋体"/>
        </w:rPr>
      </w:pPr>
      <w:r>
        <w:rPr>
          <w:rFonts w:eastAsia="宋体"/>
        </w:rPr>
        <w:t>身份证号码：</w:t>
      </w:r>
      <w:r>
        <w:rPr>
          <w:rFonts w:eastAsia="宋体"/>
          <w:u w:val="single"/>
        </w:rPr>
        <w:t xml:space="preserve">                                         </w:t>
      </w:r>
    </w:p>
    <w:p w14:paraId="05FDAFE4">
      <w:pPr>
        <w:snapToGrid w:val="0"/>
        <w:spacing w:line="360" w:lineRule="auto"/>
        <w:rPr>
          <w:rFonts w:eastAsia="宋体"/>
        </w:rPr>
      </w:pPr>
      <w:r>
        <w:rPr>
          <w:rFonts w:eastAsia="宋体"/>
        </w:rPr>
        <w:t>手机：</w:t>
      </w:r>
      <w:r>
        <w:rPr>
          <w:rFonts w:eastAsia="宋体"/>
          <w:u w:val="single"/>
        </w:rPr>
        <w:t xml:space="preserve">                  </w:t>
      </w:r>
      <w:r>
        <w:rPr>
          <w:rFonts w:eastAsia="宋体"/>
        </w:rPr>
        <w:t xml:space="preserve">传真：                      </w:t>
      </w:r>
      <w:r>
        <w:rPr>
          <w:rFonts w:eastAsia="宋体"/>
          <w:u w:val="single"/>
        </w:rPr>
        <w:t xml:space="preserve"> </w:t>
      </w:r>
    </w:p>
    <w:p w14:paraId="70517379">
      <w:pPr>
        <w:snapToGrid w:val="0"/>
        <w:spacing w:line="360" w:lineRule="auto"/>
        <w:rPr>
          <w:rFonts w:eastAsia="宋体"/>
        </w:rPr>
      </w:pPr>
      <w:r>
        <w:rPr>
          <w:rFonts w:eastAsia="宋体"/>
        </w:rPr>
        <w:t> </w:t>
      </w:r>
    </w:p>
    <w:p w14:paraId="7FC7EB41">
      <w:pPr>
        <w:snapToGrid w:val="0"/>
        <w:spacing w:line="360" w:lineRule="auto"/>
        <w:rPr>
          <w:rFonts w:eastAsia="宋体"/>
        </w:rPr>
      </w:pPr>
    </w:p>
    <w:p w14:paraId="33991805">
      <w:pPr>
        <w:snapToGrid w:val="0"/>
        <w:spacing w:line="360" w:lineRule="auto"/>
        <w:rPr>
          <w:rFonts w:eastAsia="宋体"/>
        </w:rPr>
      </w:pPr>
      <w:r>
        <w:rPr>
          <w:rFonts w:eastAsia="宋体"/>
        </w:rPr>
        <w:t>单位名称（公章）                  法定代表人（签字或盖章）</w:t>
      </w:r>
    </w:p>
    <w:p w14:paraId="133B57F4">
      <w:pPr>
        <w:snapToGrid w:val="0"/>
        <w:spacing w:line="360" w:lineRule="auto"/>
        <w:ind w:firstLine="1200" w:firstLineChars="500"/>
        <w:rPr>
          <w:rFonts w:eastAsia="宋体"/>
        </w:rPr>
      </w:pPr>
      <w:r>
        <w:rPr>
          <w:rFonts w:eastAsia="宋体"/>
        </w:rPr>
        <w:t xml:space="preserve">年   月   日                 年   月    日  </w:t>
      </w:r>
    </w:p>
    <w:p w14:paraId="66A9E0D6">
      <w:pPr>
        <w:snapToGrid w:val="0"/>
        <w:spacing w:line="360" w:lineRule="auto"/>
        <w:rPr>
          <w:rFonts w:eastAsia="宋体"/>
        </w:rPr>
      </w:pPr>
    </w:p>
    <w:p w14:paraId="1E237099">
      <w:pPr>
        <w:snapToGrid w:val="0"/>
        <w:spacing w:line="360" w:lineRule="auto"/>
        <w:ind w:firstLine="2715" w:firstLineChars="1127"/>
        <w:rPr>
          <w:rFonts w:eastAsia="宋体"/>
          <w:b/>
        </w:rPr>
      </w:pPr>
      <w:r>
        <w:rPr>
          <w:rFonts w:eastAsia="宋体"/>
          <w:b/>
        </w:rPr>
        <w:t>法定代表人身份证复印件</w:t>
      </w:r>
    </w:p>
    <w:p w14:paraId="50A364EA">
      <w:pPr>
        <w:snapToGrid w:val="0"/>
        <w:spacing w:line="360" w:lineRule="auto"/>
        <w:rPr>
          <w:rFonts w:eastAsia="宋体"/>
        </w:rPr>
      </w:pPr>
    </w:p>
    <w:p w14:paraId="27633BDA">
      <w:pPr>
        <w:snapToGrid w:val="0"/>
        <w:spacing w:line="360" w:lineRule="auto"/>
        <w:ind w:firstLine="3360" w:firstLineChars="1400"/>
        <w:rPr>
          <w:rFonts w:eastAsia="宋体"/>
        </w:rPr>
      </w:pPr>
      <w:r>
        <w:rPr>
          <w:rFonts w:eastAsia="宋体"/>
        </w:rPr>
        <w:t>（粘贴此处）</w:t>
      </w:r>
    </w:p>
    <w:p w14:paraId="24FBE1AE">
      <w:pPr>
        <w:snapToGrid w:val="0"/>
        <w:spacing w:line="360" w:lineRule="auto"/>
        <w:ind w:firstLine="482" w:firstLineChars="200"/>
        <w:rPr>
          <w:rFonts w:eastAsia="宋体"/>
          <w:b/>
          <w:bCs/>
        </w:rPr>
      </w:pPr>
    </w:p>
    <w:p w14:paraId="1CC4E935">
      <w:pPr>
        <w:spacing w:line="360" w:lineRule="auto"/>
        <w:rPr>
          <w:rFonts w:ascii="宋体" w:hAnsi="宋体" w:cs="宋体"/>
          <w:b/>
          <w:sz w:val="23"/>
          <w:szCs w:val="23"/>
        </w:rPr>
      </w:pPr>
      <w:r>
        <w:rPr>
          <w:rFonts w:eastAsia="宋体"/>
          <w:b/>
          <w:bCs/>
        </w:rPr>
        <w:t>注</w:t>
      </w:r>
      <w:r>
        <w:rPr>
          <w:rFonts w:hint="eastAsia" w:eastAsia="宋体"/>
          <w:b/>
          <w:bCs/>
        </w:rPr>
        <w:t>：</w:t>
      </w:r>
      <w:r>
        <w:rPr>
          <w:rFonts w:eastAsia="宋体"/>
          <w:b/>
          <w:bCs/>
        </w:rPr>
        <w:t>参加磋商时法定代表人将身份证原件带至磋商现场备查。</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文件</w:t>
      </w:r>
      <w:r>
        <w:rPr>
          <w:rFonts w:hint="eastAsia" w:ascii="宋体" w:hAnsi="宋体" w:eastAsia="宋体" w:cs="宋体"/>
          <w:b/>
          <w:sz w:val="24"/>
          <w:szCs w:val="24"/>
        </w:rPr>
        <w:t>由联合体牵头人提供。</w:t>
      </w:r>
    </w:p>
    <w:p w14:paraId="55F0AFBC">
      <w:pPr>
        <w:snapToGrid w:val="0"/>
        <w:spacing w:line="360" w:lineRule="auto"/>
        <w:ind w:firstLine="482" w:firstLineChars="200"/>
        <w:rPr>
          <w:rFonts w:eastAsia="宋体"/>
          <w:b/>
          <w:bCs/>
        </w:rPr>
      </w:pPr>
    </w:p>
    <w:p w14:paraId="192575BB">
      <w:pPr>
        <w:snapToGrid w:val="0"/>
        <w:spacing w:line="360" w:lineRule="auto"/>
        <w:jc w:val="center"/>
        <w:outlineLvl w:val="3"/>
        <w:rPr>
          <w:rFonts w:eastAsia="宋体"/>
          <w:b/>
          <w:bCs/>
          <w:sz w:val="28"/>
          <w:szCs w:val="28"/>
        </w:rPr>
      </w:pPr>
      <w:r>
        <w:rPr>
          <w:rFonts w:eastAsia="宋体"/>
          <w:b/>
        </w:rPr>
        <w:br w:type="page"/>
      </w:r>
    </w:p>
    <w:p w14:paraId="4D224619">
      <w:pPr>
        <w:snapToGrid w:val="0"/>
        <w:spacing w:line="360" w:lineRule="auto"/>
        <w:jc w:val="center"/>
        <w:outlineLvl w:val="3"/>
        <w:rPr>
          <w:rFonts w:eastAsia="宋体"/>
          <w:b/>
          <w:bCs/>
          <w:sz w:val="28"/>
          <w:szCs w:val="28"/>
        </w:rPr>
      </w:pPr>
      <w:r>
        <w:rPr>
          <w:rFonts w:eastAsia="宋体"/>
          <w:b/>
          <w:bCs/>
          <w:sz w:val="28"/>
          <w:szCs w:val="28"/>
        </w:rPr>
        <w:t>2、授权委托书</w:t>
      </w:r>
    </w:p>
    <w:p w14:paraId="36E80BA4">
      <w:pPr>
        <w:snapToGrid w:val="0"/>
        <w:spacing w:line="360" w:lineRule="auto"/>
        <w:jc w:val="center"/>
        <w:rPr>
          <w:rFonts w:eastAsia="宋体"/>
          <w:bCs/>
        </w:rPr>
      </w:pPr>
      <w:r>
        <w:rPr>
          <w:rFonts w:eastAsia="宋体"/>
          <w:bCs/>
        </w:rPr>
        <w:t>（如被授权人参加磋商，须出示此证明）</w:t>
      </w:r>
    </w:p>
    <w:p w14:paraId="7F137541">
      <w:pPr>
        <w:snapToGrid w:val="0"/>
        <w:spacing w:before="326" w:beforeLines="100" w:after="326" w:afterLines="100" w:line="360" w:lineRule="auto"/>
        <w:rPr>
          <w:rFonts w:eastAsia="宋体"/>
          <w:u w:val="single"/>
        </w:rPr>
      </w:pPr>
      <w:r>
        <w:rPr>
          <w:rFonts w:eastAsia="宋体"/>
          <w:u w:val="single"/>
        </w:rPr>
        <w:t>南通市水利局：</w:t>
      </w:r>
    </w:p>
    <w:p w14:paraId="28864749">
      <w:pPr>
        <w:snapToGrid w:val="0"/>
        <w:spacing w:line="360" w:lineRule="auto"/>
        <w:ind w:firstLine="480" w:firstLineChars="200"/>
        <w:rPr>
          <w:rFonts w:eastAsia="宋体"/>
        </w:rPr>
      </w:pPr>
      <w:r>
        <w:rPr>
          <w:rFonts w:eastAsia="宋体"/>
        </w:rPr>
        <w:t>兹授权</w:t>
      </w:r>
      <w:r>
        <w:rPr>
          <w:rFonts w:eastAsia="宋体"/>
          <w:u w:val="single"/>
        </w:rPr>
        <w:t xml:space="preserve">          （</w:t>
      </w:r>
      <w:r>
        <w:rPr>
          <w:rFonts w:eastAsia="宋体"/>
        </w:rPr>
        <w:t>被授权人的姓名）代表我公司参加</w:t>
      </w:r>
      <w:r>
        <w:rPr>
          <w:rFonts w:eastAsia="宋体"/>
          <w:u w:val="single"/>
        </w:rPr>
        <w:t xml:space="preserve">    </w:t>
      </w:r>
      <w:r>
        <w:rPr>
          <w:rFonts w:hint="eastAsia" w:eastAsia="宋体"/>
          <w:u w:val="single"/>
        </w:rPr>
        <w:t xml:space="preserve">   </w:t>
      </w:r>
      <w:r>
        <w:rPr>
          <w:rFonts w:eastAsia="宋体"/>
        </w:rPr>
        <w:t>（竞争性磋商项目名称</w:t>
      </w:r>
      <w:r>
        <w:rPr>
          <w:rFonts w:hint="eastAsia" w:eastAsia="宋体"/>
        </w:rPr>
        <w:t>及项目编号）</w:t>
      </w:r>
      <w:r>
        <w:rPr>
          <w:rFonts w:eastAsia="宋体"/>
        </w:rPr>
        <w:t>项目的政府采购活动，全权处理一切与该项目招标有关的事务。其在办理上述事宜过程中所签署的所有文件我公司均予以承认。</w:t>
      </w:r>
    </w:p>
    <w:p w14:paraId="42697AFC">
      <w:pPr>
        <w:adjustRightInd w:val="0"/>
        <w:snapToGrid w:val="0"/>
        <w:spacing w:line="360" w:lineRule="auto"/>
        <w:ind w:firstLine="480" w:firstLineChars="200"/>
        <w:jc w:val="left"/>
        <w:rPr>
          <w:rFonts w:eastAsia="宋体"/>
          <w:kern w:val="0"/>
        </w:rPr>
      </w:pPr>
    </w:p>
    <w:p w14:paraId="639FE99D">
      <w:pPr>
        <w:adjustRightInd w:val="0"/>
        <w:snapToGrid w:val="0"/>
        <w:spacing w:line="360" w:lineRule="auto"/>
        <w:ind w:firstLine="480" w:firstLineChars="200"/>
        <w:jc w:val="left"/>
        <w:rPr>
          <w:rFonts w:eastAsia="宋体"/>
          <w:kern w:val="0"/>
        </w:rPr>
      </w:pPr>
      <w:r>
        <w:rPr>
          <w:rFonts w:eastAsia="宋体"/>
          <w:kern w:val="0"/>
        </w:rPr>
        <w:t>被授权人无转委托权，特此委托。</w:t>
      </w:r>
    </w:p>
    <w:p w14:paraId="08D22499">
      <w:pPr>
        <w:adjustRightInd w:val="0"/>
        <w:snapToGrid w:val="0"/>
        <w:spacing w:line="360" w:lineRule="auto"/>
        <w:ind w:firstLine="480" w:firstLineChars="200"/>
        <w:jc w:val="left"/>
        <w:rPr>
          <w:rFonts w:eastAsia="宋体"/>
          <w:kern w:val="0"/>
        </w:rPr>
      </w:pPr>
    </w:p>
    <w:p w14:paraId="00D2BF07">
      <w:pPr>
        <w:spacing w:line="360" w:lineRule="auto"/>
        <w:rPr>
          <w:rFonts w:eastAsia="宋体"/>
        </w:rPr>
      </w:pPr>
      <w:r>
        <w:rPr>
          <w:rFonts w:eastAsia="宋体"/>
        </w:rPr>
        <w:t>附：被授权人情况：</w:t>
      </w:r>
    </w:p>
    <w:p w14:paraId="2FF720EC">
      <w:pPr>
        <w:spacing w:line="360" w:lineRule="auto"/>
        <w:rPr>
          <w:rFonts w:eastAsia="宋体"/>
          <w:u w:val="single"/>
        </w:rPr>
      </w:pPr>
      <w:r>
        <w:rPr>
          <w:rFonts w:eastAsia="宋体"/>
        </w:rPr>
        <w:t>姓名：</w:t>
      </w:r>
      <w:r>
        <w:rPr>
          <w:rFonts w:eastAsia="宋体"/>
          <w:u w:val="single"/>
        </w:rPr>
        <w:t xml:space="preserve">         </w:t>
      </w:r>
      <w:r>
        <w:rPr>
          <w:rFonts w:eastAsia="宋体"/>
        </w:rPr>
        <w:t xml:space="preserve"> 性别：</w:t>
      </w:r>
      <w:r>
        <w:rPr>
          <w:rFonts w:eastAsia="宋体"/>
          <w:u w:val="single"/>
        </w:rPr>
        <w:t xml:space="preserve">    </w:t>
      </w:r>
      <w:r>
        <w:rPr>
          <w:rFonts w:eastAsia="宋体"/>
        </w:rPr>
        <w:t>年龄：</w:t>
      </w:r>
      <w:r>
        <w:rPr>
          <w:rFonts w:eastAsia="宋体"/>
          <w:u w:val="single"/>
        </w:rPr>
        <w:t xml:space="preserve">      </w:t>
      </w:r>
      <w:r>
        <w:rPr>
          <w:rFonts w:eastAsia="宋体"/>
        </w:rPr>
        <w:t>职务：</w:t>
      </w:r>
      <w:r>
        <w:rPr>
          <w:rFonts w:eastAsia="宋体"/>
          <w:u w:val="single"/>
        </w:rPr>
        <w:t xml:space="preserve">          </w:t>
      </w:r>
    </w:p>
    <w:p w14:paraId="36B6CC1D">
      <w:pPr>
        <w:spacing w:line="360" w:lineRule="auto"/>
        <w:rPr>
          <w:rFonts w:eastAsia="宋体"/>
        </w:rPr>
      </w:pPr>
      <w:r>
        <w:rPr>
          <w:rFonts w:eastAsia="宋体"/>
        </w:rPr>
        <w:t>身份证号码：</w:t>
      </w:r>
      <w:r>
        <w:rPr>
          <w:rFonts w:eastAsia="宋体"/>
          <w:u w:val="single"/>
        </w:rPr>
        <w:t xml:space="preserve">                                          </w:t>
      </w:r>
    </w:p>
    <w:p w14:paraId="1DC1335D">
      <w:pPr>
        <w:spacing w:line="360" w:lineRule="auto"/>
        <w:rPr>
          <w:rFonts w:eastAsia="宋体"/>
        </w:rPr>
      </w:pPr>
      <w:r>
        <w:rPr>
          <w:rFonts w:eastAsia="宋体"/>
        </w:rPr>
        <w:t>手机：</w:t>
      </w:r>
      <w:r>
        <w:rPr>
          <w:rFonts w:eastAsia="宋体"/>
          <w:u w:val="single"/>
        </w:rPr>
        <w:t xml:space="preserve">                 </w:t>
      </w:r>
      <w:r>
        <w:rPr>
          <w:rFonts w:eastAsia="宋体"/>
        </w:rPr>
        <w:t>传真：</w:t>
      </w:r>
      <w:r>
        <w:rPr>
          <w:rFonts w:eastAsia="宋体"/>
          <w:u w:val="single"/>
        </w:rPr>
        <w:t xml:space="preserve">                        </w:t>
      </w:r>
      <w:r>
        <w:rPr>
          <w:rFonts w:eastAsia="宋体"/>
        </w:rPr>
        <w:t xml:space="preserve"> </w:t>
      </w:r>
    </w:p>
    <w:p w14:paraId="17DC4936">
      <w:pPr>
        <w:spacing w:line="360" w:lineRule="auto"/>
        <w:rPr>
          <w:rFonts w:eastAsia="宋体"/>
        </w:rPr>
      </w:pPr>
      <w:r>
        <w:rPr>
          <w:rFonts w:eastAsia="宋体"/>
        </w:rPr>
        <w:t>单位名称（公章）             法定代表人（签字或盖章）</w:t>
      </w:r>
    </w:p>
    <w:p w14:paraId="78F14899">
      <w:pPr>
        <w:spacing w:line="360" w:lineRule="auto"/>
        <w:ind w:firstLine="1200" w:firstLineChars="500"/>
        <w:rPr>
          <w:rFonts w:eastAsia="宋体"/>
        </w:rPr>
      </w:pPr>
      <w:r>
        <w:rPr>
          <w:rFonts w:eastAsia="宋体"/>
        </w:rPr>
        <w:t xml:space="preserve">年   月   日                 年   月    日  </w:t>
      </w:r>
    </w:p>
    <w:p w14:paraId="5B7B0752">
      <w:pPr>
        <w:spacing w:line="360" w:lineRule="auto"/>
        <w:rPr>
          <w:rFonts w:eastAsia="宋体"/>
        </w:rPr>
      </w:pPr>
    </w:p>
    <w:p w14:paraId="19D4CACE">
      <w:pPr>
        <w:snapToGrid w:val="0"/>
        <w:spacing w:line="360" w:lineRule="auto"/>
        <w:ind w:firstLine="2479" w:firstLineChars="1029"/>
        <w:rPr>
          <w:rFonts w:eastAsia="宋体"/>
          <w:b/>
        </w:rPr>
      </w:pPr>
      <w:r>
        <w:rPr>
          <w:rFonts w:eastAsia="宋体"/>
          <w:b/>
        </w:rPr>
        <w:t>法定代表人身份证复印件</w:t>
      </w:r>
    </w:p>
    <w:p w14:paraId="1374F789">
      <w:pPr>
        <w:snapToGrid w:val="0"/>
        <w:spacing w:line="360" w:lineRule="auto"/>
        <w:rPr>
          <w:rFonts w:eastAsia="宋体"/>
        </w:rPr>
      </w:pPr>
    </w:p>
    <w:p w14:paraId="09490D2D">
      <w:pPr>
        <w:snapToGrid w:val="0"/>
        <w:spacing w:line="360" w:lineRule="auto"/>
        <w:ind w:firstLine="2997" w:firstLineChars="1244"/>
        <w:rPr>
          <w:rFonts w:eastAsia="宋体"/>
          <w:b/>
        </w:rPr>
      </w:pPr>
      <w:r>
        <w:rPr>
          <w:rFonts w:eastAsia="宋体"/>
          <w:b/>
        </w:rPr>
        <w:t>（粘贴此处）</w:t>
      </w:r>
    </w:p>
    <w:p w14:paraId="528B38FC">
      <w:pPr>
        <w:spacing w:line="360" w:lineRule="auto"/>
        <w:rPr>
          <w:rFonts w:eastAsia="宋体"/>
        </w:rPr>
      </w:pPr>
    </w:p>
    <w:p w14:paraId="4215F9E2">
      <w:pPr>
        <w:spacing w:line="360" w:lineRule="auto"/>
        <w:ind w:firstLine="2479" w:firstLineChars="1029"/>
        <w:rPr>
          <w:rFonts w:eastAsia="宋体"/>
          <w:b/>
        </w:rPr>
      </w:pPr>
      <w:r>
        <w:rPr>
          <w:rFonts w:eastAsia="宋体"/>
          <w:b/>
        </w:rPr>
        <w:t>被授权人身份证复印件</w:t>
      </w:r>
    </w:p>
    <w:p w14:paraId="602020E0">
      <w:pPr>
        <w:spacing w:line="360" w:lineRule="auto"/>
        <w:rPr>
          <w:rFonts w:eastAsia="宋体"/>
        </w:rPr>
      </w:pPr>
    </w:p>
    <w:p w14:paraId="4B9A200B">
      <w:pPr>
        <w:spacing w:line="360" w:lineRule="auto"/>
        <w:ind w:firstLine="3115" w:firstLineChars="1293"/>
        <w:rPr>
          <w:rFonts w:eastAsia="宋体"/>
          <w:b/>
        </w:rPr>
      </w:pPr>
      <w:r>
        <w:rPr>
          <w:rFonts w:eastAsia="宋体"/>
          <w:b/>
        </w:rPr>
        <w:t>（粘贴此处）</w:t>
      </w:r>
    </w:p>
    <w:p w14:paraId="72CC2AB2">
      <w:pPr>
        <w:spacing w:after="156" w:line="360" w:lineRule="auto"/>
        <w:ind w:firstLine="480" w:firstLineChars="200"/>
        <w:rPr>
          <w:rFonts w:eastAsia="宋体"/>
        </w:rPr>
      </w:pPr>
    </w:p>
    <w:p w14:paraId="1D8EF3AA">
      <w:pPr>
        <w:spacing w:line="360" w:lineRule="auto"/>
        <w:ind w:firstLine="482" w:firstLineChars="200"/>
        <w:rPr>
          <w:rFonts w:eastAsia="宋体"/>
          <w:b/>
          <w:bCs/>
        </w:rPr>
      </w:pPr>
      <w:r>
        <w:rPr>
          <w:rFonts w:eastAsia="宋体"/>
          <w:b/>
          <w:bCs/>
        </w:rPr>
        <w:t>注</w:t>
      </w:r>
      <w:r>
        <w:rPr>
          <w:rFonts w:hint="eastAsia" w:eastAsia="宋体"/>
          <w:b/>
          <w:bCs/>
        </w:rPr>
        <w:t>：</w:t>
      </w:r>
      <w:r>
        <w:rPr>
          <w:rFonts w:eastAsia="宋体"/>
          <w:b/>
          <w:bCs/>
        </w:rPr>
        <w:t>参加磋商时被授权人将身份证原件带至磋商现场备查。</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文件</w:t>
      </w:r>
      <w:r>
        <w:rPr>
          <w:rFonts w:hint="eastAsia" w:ascii="宋体" w:hAnsi="宋体" w:eastAsia="宋体" w:cs="宋体"/>
          <w:b/>
          <w:sz w:val="24"/>
          <w:szCs w:val="24"/>
        </w:rPr>
        <w:t>由联合体牵头人提供。</w:t>
      </w:r>
    </w:p>
    <w:p w14:paraId="30A7580E">
      <w:pPr>
        <w:snapToGrid w:val="0"/>
        <w:spacing w:line="360" w:lineRule="auto"/>
        <w:ind w:firstLine="0" w:firstLineChars="0"/>
        <w:jc w:val="both"/>
        <w:outlineLvl w:val="3"/>
        <w:rPr>
          <w:rFonts w:eastAsia="宋体"/>
          <w:b/>
          <w:bCs/>
          <w:sz w:val="28"/>
          <w:szCs w:val="28"/>
        </w:rPr>
      </w:pPr>
      <w:r>
        <w:rPr>
          <w:rFonts w:eastAsia="宋体"/>
        </w:rPr>
        <w:br w:type="page"/>
      </w:r>
    </w:p>
    <w:p w14:paraId="1EE9CCCE">
      <w:pPr>
        <w:snapToGrid w:val="0"/>
        <w:spacing w:line="360" w:lineRule="auto"/>
        <w:jc w:val="center"/>
        <w:outlineLvl w:val="3"/>
        <w:rPr>
          <w:rFonts w:eastAsia="宋体"/>
          <w:b/>
          <w:bCs/>
          <w:sz w:val="28"/>
          <w:szCs w:val="28"/>
        </w:rPr>
      </w:pPr>
      <w:r>
        <w:rPr>
          <w:rFonts w:eastAsia="宋体"/>
          <w:b/>
          <w:bCs/>
          <w:sz w:val="28"/>
          <w:szCs w:val="28"/>
        </w:rPr>
        <w:t>3、履行合同所必需的设备和专业技术能力承诺函</w:t>
      </w:r>
    </w:p>
    <w:p w14:paraId="0A62CBC3">
      <w:pPr>
        <w:spacing w:line="360" w:lineRule="auto"/>
        <w:jc w:val="left"/>
        <w:rPr>
          <w:rFonts w:eastAsia="宋体"/>
        </w:rPr>
      </w:pPr>
      <w:r>
        <w:rPr>
          <w:rFonts w:eastAsia="宋体"/>
          <w:u w:val="single"/>
        </w:rPr>
        <w:t>南通市水利局：</w:t>
      </w:r>
    </w:p>
    <w:p w14:paraId="0B2FB1EA">
      <w:pPr>
        <w:spacing w:line="360" w:lineRule="auto"/>
        <w:ind w:firstLine="560"/>
        <w:jc w:val="left"/>
        <w:rPr>
          <w:rFonts w:eastAsia="宋体"/>
        </w:rPr>
      </w:pPr>
      <w:r>
        <w:rPr>
          <w:rFonts w:eastAsia="宋体"/>
        </w:rPr>
        <w:t>我单位</w:t>
      </w:r>
      <w:r>
        <w:rPr>
          <w:rFonts w:eastAsia="宋体"/>
          <w:u w:val="single"/>
        </w:rPr>
        <w:t xml:space="preserve">                            </w:t>
      </w:r>
      <w:r>
        <w:rPr>
          <w:rFonts w:eastAsia="宋体"/>
        </w:rPr>
        <w:t>（供应商名称）郑重承诺：</w:t>
      </w:r>
    </w:p>
    <w:p w14:paraId="3FC908B8">
      <w:pPr>
        <w:spacing w:line="360" w:lineRule="auto"/>
        <w:ind w:firstLine="560"/>
        <w:jc w:val="left"/>
        <w:rPr>
          <w:rFonts w:eastAsia="宋体"/>
        </w:rPr>
      </w:pPr>
      <w:r>
        <w:rPr>
          <w:rFonts w:eastAsia="宋体"/>
        </w:rPr>
        <w:t>贵方组织的</w:t>
      </w:r>
      <w:r>
        <w:rPr>
          <w:rFonts w:eastAsia="宋体"/>
          <w:u w:val="single"/>
        </w:rPr>
        <w:t xml:space="preserve">                        </w:t>
      </w:r>
      <w:r>
        <w:rPr>
          <w:rFonts w:hint="eastAsia" w:eastAsia="宋体"/>
          <w:u w:val="single"/>
        </w:rPr>
        <w:t>（</w:t>
      </w:r>
      <w:r>
        <w:rPr>
          <w:rFonts w:eastAsia="宋体"/>
        </w:rPr>
        <w:t>竞争性磋商项目名称</w:t>
      </w:r>
      <w:r>
        <w:rPr>
          <w:rFonts w:hint="eastAsia" w:eastAsia="宋体"/>
        </w:rPr>
        <w:t>及项目编号</w:t>
      </w:r>
      <w:r>
        <w:rPr>
          <w:rFonts w:eastAsia="宋体"/>
        </w:rPr>
        <w:t>），我单位</w:t>
      </w:r>
      <w:r>
        <w:rPr>
          <w:rFonts w:eastAsia="宋体"/>
          <w:u w:val="single"/>
        </w:rPr>
        <w:t xml:space="preserve">       </w:t>
      </w:r>
      <w:r>
        <w:rPr>
          <w:rFonts w:hint="eastAsia" w:eastAsia="宋体"/>
          <w:u w:val="single"/>
        </w:rPr>
        <w:t>（</w:t>
      </w:r>
      <w:r>
        <w:rPr>
          <w:rFonts w:eastAsia="宋体"/>
        </w:rPr>
        <w:t>在下划线上如实填写：有或没有）履行合同所必需的设备和专业技术能力。</w:t>
      </w:r>
    </w:p>
    <w:p w14:paraId="1E6042DA">
      <w:pPr>
        <w:spacing w:line="360" w:lineRule="auto"/>
        <w:ind w:firstLine="560"/>
        <w:jc w:val="left"/>
        <w:rPr>
          <w:rFonts w:eastAsia="宋体"/>
        </w:rPr>
      </w:pPr>
    </w:p>
    <w:p w14:paraId="6DF16E06">
      <w:pPr>
        <w:spacing w:line="360" w:lineRule="auto"/>
        <w:ind w:firstLine="560"/>
        <w:jc w:val="left"/>
        <w:rPr>
          <w:rFonts w:eastAsia="宋体"/>
        </w:rPr>
      </w:pPr>
    </w:p>
    <w:p w14:paraId="6216CB4C">
      <w:pPr>
        <w:snapToGrid w:val="0"/>
        <w:spacing w:line="460" w:lineRule="exact"/>
        <w:jc w:val="right"/>
        <w:rPr>
          <w:rFonts w:eastAsia="宋体"/>
          <w:bCs/>
        </w:rPr>
      </w:pPr>
      <w:r>
        <w:rPr>
          <w:rFonts w:eastAsia="宋体"/>
          <w:bCs/>
        </w:rPr>
        <w:t>法定代表人或委托代理人（签字或盖章）：</w:t>
      </w:r>
    </w:p>
    <w:p w14:paraId="1F820AD6">
      <w:pPr>
        <w:snapToGrid w:val="0"/>
        <w:spacing w:line="460" w:lineRule="exact"/>
        <w:jc w:val="right"/>
        <w:rPr>
          <w:rFonts w:eastAsia="宋体"/>
          <w:bCs/>
        </w:rPr>
      </w:pPr>
    </w:p>
    <w:p w14:paraId="5AE6809E">
      <w:pPr>
        <w:snapToGrid w:val="0"/>
        <w:spacing w:line="460" w:lineRule="exact"/>
        <w:jc w:val="right"/>
        <w:rPr>
          <w:rFonts w:eastAsia="宋体"/>
          <w:bCs/>
        </w:rPr>
      </w:pPr>
      <w:r>
        <w:rPr>
          <w:rFonts w:eastAsia="宋体"/>
          <w:bCs/>
        </w:rPr>
        <w:t xml:space="preserve">                                        （供应商）公章：</w:t>
      </w:r>
    </w:p>
    <w:p w14:paraId="57E1152C">
      <w:pPr>
        <w:snapToGrid w:val="0"/>
        <w:spacing w:line="460" w:lineRule="exact"/>
        <w:jc w:val="right"/>
        <w:rPr>
          <w:rFonts w:eastAsia="宋体"/>
          <w:bCs/>
        </w:rPr>
      </w:pPr>
    </w:p>
    <w:p w14:paraId="70F628C6">
      <w:pPr>
        <w:snapToGrid w:val="0"/>
        <w:spacing w:line="460" w:lineRule="exact"/>
        <w:jc w:val="right"/>
        <w:rPr>
          <w:rFonts w:eastAsia="宋体"/>
          <w:bCs/>
        </w:rPr>
      </w:pPr>
      <w:r>
        <w:rPr>
          <w:rFonts w:eastAsia="宋体"/>
          <w:bCs/>
        </w:rPr>
        <w:t>年</w:t>
      </w:r>
      <w:r>
        <w:rPr>
          <w:rFonts w:eastAsia="宋体"/>
          <w:bCs/>
        </w:rPr>
        <w:tab/>
      </w:r>
      <w:r>
        <w:rPr>
          <w:rFonts w:eastAsia="宋体"/>
          <w:bCs/>
        </w:rPr>
        <w:t xml:space="preserve"> 月 </w:t>
      </w:r>
      <w:r>
        <w:rPr>
          <w:rFonts w:eastAsia="宋体"/>
          <w:bCs/>
        </w:rPr>
        <w:tab/>
      </w:r>
      <w:r>
        <w:rPr>
          <w:rFonts w:eastAsia="宋体"/>
          <w:bCs/>
        </w:rPr>
        <w:t xml:space="preserve">  日</w:t>
      </w:r>
    </w:p>
    <w:p w14:paraId="2E87346F">
      <w:pPr>
        <w:spacing w:line="360" w:lineRule="auto"/>
        <w:jc w:val="center"/>
        <w:rPr>
          <w:rFonts w:eastAsia="宋体"/>
          <w:b/>
          <w:bCs/>
          <w:sz w:val="36"/>
          <w:szCs w:val="36"/>
        </w:rPr>
      </w:pPr>
    </w:p>
    <w:p w14:paraId="13F34D96">
      <w:pPr>
        <w:spacing w:line="360" w:lineRule="auto"/>
        <w:jc w:val="center"/>
        <w:rPr>
          <w:rFonts w:eastAsia="宋体"/>
          <w:b/>
          <w:sz w:val="32"/>
          <w:szCs w:val="32"/>
          <w:u w:val="single"/>
        </w:rPr>
      </w:pPr>
    </w:p>
    <w:p w14:paraId="77F41D00">
      <w:pPr>
        <w:spacing w:line="360" w:lineRule="auto"/>
        <w:ind w:firstLine="482" w:firstLineChars="200"/>
        <w:jc w:val="left"/>
        <w:rPr>
          <w:rFonts w:eastAsia="宋体"/>
          <w:b/>
          <w:sz w:val="32"/>
          <w:szCs w:val="32"/>
          <w:u w:val="single"/>
        </w:rPr>
      </w:pPr>
      <w:r>
        <w:rPr>
          <w:rFonts w:hint="eastAsia" w:ascii="宋体" w:hAnsi="宋体" w:eastAsia="宋体" w:cs="宋体"/>
          <w:b/>
          <w:sz w:val="24"/>
          <w:szCs w:val="24"/>
          <w:lang w:eastAsia="zh-CN"/>
        </w:rPr>
        <w:t>注：</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文件</w:t>
      </w:r>
      <w:r>
        <w:rPr>
          <w:rFonts w:hint="eastAsia" w:ascii="宋体" w:hAnsi="宋体" w:eastAsia="宋体" w:cs="宋体"/>
          <w:b/>
          <w:sz w:val="24"/>
          <w:szCs w:val="24"/>
        </w:rPr>
        <w:t>由联合体</w:t>
      </w:r>
      <w:r>
        <w:rPr>
          <w:rFonts w:hint="eastAsia" w:ascii="宋体" w:hAnsi="宋体" w:eastAsia="宋体" w:cs="宋体"/>
          <w:b/>
          <w:sz w:val="24"/>
          <w:szCs w:val="24"/>
          <w:lang w:eastAsia="zh-CN"/>
        </w:rPr>
        <w:t>双方成员分别</w:t>
      </w:r>
      <w:r>
        <w:rPr>
          <w:rFonts w:hint="eastAsia" w:ascii="宋体" w:hAnsi="宋体" w:eastAsia="宋体" w:cs="宋体"/>
          <w:b/>
          <w:sz w:val="24"/>
          <w:szCs w:val="24"/>
        </w:rPr>
        <w:t>提供。</w:t>
      </w:r>
    </w:p>
    <w:p w14:paraId="6B097AF7">
      <w:pPr>
        <w:spacing w:line="360" w:lineRule="auto"/>
        <w:jc w:val="center"/>
        <w:rPr>
          <w:rFonts w:eastAsia="宋体"/>
          <w:b/>
          <w:sz w:val="32"/>
          <w:szCs w:val="32"/>
          <w:u w:val="single"/>
        </w:rPr>
      </w:pPr>
    </w:p>
    <w:p w14:paraId="65BF3A35">
      <w:pPr>
        <w:spacing w:line="360" w:lineRule="auto"/>
        <w:jc w:val="center"/>
        <w:rPr>
          <w:rFonts w:eastAsia="宋体"/>
          <w:b/>
          <w:sz w:val="32"/>
          <w:szCs w:val="32"/>
          <w:u w:val="single"/>
        </w:rPr>
      </w:pPr>
    </w:p>
    <w:p w14:paraId="7428F36B">
      <w:pPr>
        <w:spacing w:line="360" w:lineRule="auto"/>
        <w:jc w:val="center"/>
        <w:rPr>
          <w:rFonts w:eastAsia="宋体"/>
          <w:b/>
          <w:sz w:val="32"/>
          <w:szCs w:val="32"/>
          <w:u w:val="single"/>
        </w:rPr>
      </w:pPr>
    </w:p>
    <w:p w14:paraId="620F4CDA">
      <w:pPr>
        <w:snapToGrid w:val="0"/>
        <w:spacing w:line="360" w:lineRule="auto"/>
        <w:ind w:firstLine="661" w:firstLineChars="235"/>
        <w:jc w:val="center"/>
        <w:outlineLvl w:val="3"/>
        <w:rPr>
          <w:rFonts w:eastAsia="宋体"/>
          <w:b/>
          <w:bCs/>
          <w:sz w:val="28"/>
          <w:szCs w:val="28"/>
        </w:rPr>
      </w:pPr>
    </w:p>
    <w:p w14:paraId="00042024">
      <w:pPr>
        <w:spacing w:line="360" w:lineRule="auto"/>
        <w:jc w:val="center"/>
        <w:rPr>
          <w:rFonts w:eastAsia="宋体"/>
          <w:b/>
          <w:sz w:val="32"/>
          <w:szCs w:val="32"/>
          <w:u w:val="single"/>
        </w:rPr>
      </w:pPr>
    </w:p>
    <w:p w14:paraId="3951A97E">
      <w:pPr>
        <w:spacing w:line="360" w:lineRule="auto"/>
        <w:jc w:val="center"/>
        <w:rPr>
          <w:rFonts w:eastAsia="宋体"/>
          <w:b/>
          <w:sz w:val="32"/>
          <w:szCs w:val="32"/>
          <w:u w:val="single"/>
        </w:rPr>
      </w:pPr>
    </w:p>
    <w:p w14:paraId="0CE02B42">
      <w:pPr>
        <w:spacing w:after="120" w:line="360" w:lineRule="auto"/>
        <w:rPr>
          <w:rFonts w:eastAsia="宋体"/>
          <w:sz w:val="21"/>
        </w:rPr>
      </w:pPr>
    </w:p>
    <w:p w14:paraId="0EE83435">
      <w:pPr>
        <w:snapToGrid w:val="0"/>
        <w:spacing w:line="360" w:lineRule="auto"/>
        <w:jc w:val="center"/>
        <w:outlineLvl w:val="3"/>
        <w:rPr>
          <w:rFonts w:eastAsia="宋体"/>
          <w:b/>
          <w:bCs/>
          <w:sz w:val="28"/>
          <w:szCs w:val="28"/>
        </w:rPr>
      </w:pPr>
      <w:r>
        <w:rPr>
          <w:rFonts w:eastAsia="宋体"/>
          <w:b/>
          <w:color w:val="000000"/>
          <w:sz w:val="30"/>
          <w:szCs w:val="30"/>
        </w:rPr>
        <w:br w:type="page"/>
      </w:r>
      <w:r>
        <w:rPr>
          <w:rFonts w:eastAsia="宋体"/>
          <w:b/>
          <w:bCs/>
          <w:sz w:val="28"/>
          <w:szCs w:val="28"/>
        </w:rPr>
        <w:t>4、参加政府采购活动前 3 年内在经营活动中没有重大违法记录和失信记录的书面声明</w:t>
      </w:r>
    </w:p>
    <w:p w14:paraId="7D2795B0">
      <w:pPr>
        <w:spacing w:line="360" w:lineRule="auto"/>
        <w:jc w:val="center"/>
        <w:rPr>
          <w:rFonts w:eastAsia="宋体"/>
          <w:b/>
          <w:color w:val="000000"/>
        </w:rPr>
      </w:pPr>
      <w:r>
        <w:rPr>
          <w:rFonts w:eastAsia="宋体"/>
          <w:b/>
          <w:color w:val="000000"/>
        </w:rPr>
        <w:t xml:space="preserve">                          </w:t>
      </w:r>
    </w:p>
    <w:p w14:paraId="72A6893B">
      <w:pPr>
        <w:spacing w:line="360" w:lineRule="auto"/>
        <w:ind w:firstLine="480" w:firstLineChars="200"/>
        <w:jc w:val="left"/>
        <w:rPr>
          <w:rFonts w:eastAsia="宋体"/>
        </w:rPr>
      </w:pPr>
      <w:r>
        <w:rPr>
          <w:rFonts w:eastAsia="宋体"/>
        </w:rPr>
        <w:t>我公司郑重声明：参加本次政府采购活动前 3 年内，我公司在经营活动中没有因违法经营受到刑事处罚或者责令停产停业、吊销许可证或者执照、较大数额罚款等行政处罚。在投标截止时间节点，</w:t>
      </w:r>
      <w:r>
        <w:rPr>
          <w:rFonts w:hint="eastAsia" w:eastAsia="宋体"/>
          <w:u w:val="single"/>
        </w:rPr>
        <w:t xml:space="preserve">                   （</w:t>
      </w:r>
      <w:r>
        <w:rPr>
          <w:rFonts w:hint="eastAsia" w:eastAsia="宋体"/>
        </w:rPr>
        <w:t>填写有或者没有）</w:t>
      </w:r>
      <w:r>
        <w:rPr>
          <w:rFonts w:eastAsia="宋体"/>
        </w:rPr>
        <w:t>被“信用中国”（www.creditchina.gov.cn）、“中国政府采购网”（www.ccgp.gov.cn）网站列入失信被执行人、重大税收违法案件当事人名单、政府采购严重违法失信行为记录名单。</w:t>
      </w:r>
    </w:p>
    <w:p w14:paraId="79EB85DB">
      <w:pPr>
        <w:spacing w:line="360" w:lineRule="auto"/>
        <w:ind w:firstLine="480" w:firstLineChars="200"/>
        <w:jc w:val="left"/>
        <w:rPr>
          <w:rFonts w:eastAsia="宋体"/>
        </w:rPr>
      </w:pPr>
    </w:p>
    <w:p w14:paraId="5B7B1246">
      <w:pPr>
        <w:pStyle w:val="49"/>
        <w:ind w:firstLine="480"/>
        <w:rPr>
          <w:rFonts w:ascii="Times New Roman" w:hAnsi="Times New Roman"/>
        </w:rPr>
      </w:pPr>
    </w:p>
    <w:p w14:paraId="1B79010A">
      <w:pPr>
        <w:snapToGrid w:val="0"/>
        <w:spacing w:line="460" w:lineRule="exact"/>
        <w:jc w:val="right"/>
        <w:rPr>
          <w:rFonts w:eastAsia="宋体"/>
          <w:bCs/>
        </w:rPr>
      </w:pPr>
      <w:r>
        <w:rPr>
          <w:rFonts w:eastAsia="宋体"/>
        </w:rPr>
        <w:t xml:space="preserve">                                 </w:t>
      </w:r>
      <w:r>
        <w:rPr>
          <w:rFonts w:eastAsia="宋体"/>
          <w:bCs/>
        </w:rPr>
        <w:t>法定代表人或委托代理人（签字或盖章）：</w:t>
      </w:r>
    </w:p>
    <w:p w14:paraId="0C29AEE8">
      <w:pPr>
        <w:snapToGrid w:val="0"/>
        <w:spacing w:line="460" w:lineRule="exact"/>
        <w:jc w:val="right"/>
        <w:rPr>
          <w:rFonts w:eastAsia="宋体"/>
          <w:bCs/>
        </w:rPr>
      </w:pPr>
    </w:p>
    <w:p w14:paraId="3627BEB1">
      <w:pPr>
        <w:snapToGrid w:val="0"/>
        <w:spacing w:line="460" w:lineRule="exact"/>
        <w:jc w:val="right"/>
        <w:rPr>
          <w:rFonts w:eastAsia="宋体"/>
          <w:bCs/>
        </w:rPr>
      </w:pPr>
      <w:r>
        <w:rPr>
          <w:rFonts w:eastAsia="宋体"/>
          <w:bCs/>
        </w:rPr>
        <w:t xml:space="preserve">                                        （供应商）公章：</w:t>
      </w:r>
    </w:p>
    <w:p w14:paraId="2DCB5FEC">
      <w:pPr>
        <w:snapToGrid w:val="0"/>
        <w:spacing w:line="460" w:lineRule="exact"/>
        <w:jc w:val="right"/>
        <w:rPr>
          <w:rFonts w:eastAsia="宋体"/>
          <w:bCs/>
        </w:rPr>
      </w:pPr>
    </w:p>
    <w:p w14:paraId="6E2BAF7B">
      <w:pPr>
        <w:wordWrap w:val="0"/>
        <w:snapToGrid w:val="0"/>
        <w:spacing w:line="460" w:lineRule="exact"/>
        <w:jc w:val="right"/>
        <w:rPr>
          <w:rFonts w:eastAsia="宋体"/>
          <w:bCs/>
        </w:rPr>
      </w:pPr>
      <w:r>
        <w:rPr>
          <w:rFonts w:eastAsia="宋体"/>
          <w:bCs/>
        </w:rPr>
        <w:t>年</w:t>
      </w:r>
      <w:r>
        <w:rPr>
          <w:rFonts w:eastAsia="宋体"/>
          <w:bCs/>
        </w:rPr>
        <w:tab/>
      </w:r>
      <w:r>
        <w:rPr>
          <w:rFonts w:eastAsia="宋体"/>
          <w:bCs/>
        </w:rPr>
        <w:t xml:space="preserve">   月 </w:t>
      </w:r>
      <w:r>
        <w:rPr>
          <w:rFonts w:eastAsia="宋体"/>
          <w:bCs/>
        </w:rPr>
        <w:tab/>
      </w:r>
      <w:r>
        <w:rPr>
          <w:rFonts w:eastAsia="宋体"/>
          <w:bCs/>
        </w:rPr>
        <w:t xml:space="preserve">  日</w:t>
      </w:r>
    </w:p>
    <w:p w14:paraId="1CF7FE38">
      <w:pPr>
        <w:snapToGrid w:val="0"/>
        <w:spacing w:line="360" w:lineRule="auto"/>
        <w:jc w:val="center"/>
        <w:outlineLvl w:val="4"/>
        <w:rPr>
          <w:rFonts w:eastAsia="宋体"/>
          <w:b/>
        </w:rPr>
      </w:pPr>
    </w:p>
    <w:p w14:paraId="32E73FAA">
      <w:pPr>
        <w:spacing w:line="360" w:lineRule="auto"/>
        <w:ind w:firstLine="482" w:firstLineChars="200"/>
        <w:jc w:val="left"/>
        <w:rPr>
          <w:rFonts w:eastAsia="宋体"/>
          <w:b/>
          <w:sz w:val="32"/>
          <w:szCs w:val="32"/>
          <w:u w:val="single"/>
        </w:rPr>
      </w:pPr>
      <w:r>
        <w:rPr>
          <w:rFonts w:hint="eastAsia" w:ascii="宋体" w:hAnsi="宋体" w:eastAsia="宋体" w:cs="宋体"/>
          <w:b/>
          <w:sz w:val="24"/>
          <w:szCs w:val="24"/>
          <w:lang w:eastAsia="zh-CN"/>
        </w:rPr>
        <w:t>注：</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文件</w:t>
      </w:r>
      <w:r>
        <w:rPr>
          <w:rFonts w:hint="eastAsia" w:ascii="宋体" w:hAnsi="宋体" w:eastAsia="宋体" w:cs="宋体"/>
          <w:b/>
          <w:sz w:val="24"/>
          <w:szCs w:val="24"/>
        </w:rPr>
        <w:t>由联合体</w:t>
      </w:r>
      <w:r>
        <w:rPr>
          <w:rFonts w:hint="eastAsia" w:ascii="宋体" w:hAnsi="宋体" w:eastAsia="宋体" w:cs="宋体"/>
          <w:b/>
          <w:sz w:val="24"/>
          <w:szCs w:val="24"/>
          <w:lang w:eastAsia="zh-CN"/>
        </w:rPr>
        <w:t>双方成员分别</w:t>
      </w:r>
      <w:r>
        <w:rPr>
          <w:rFonts w:hint="eastAsia" w:ascii="宋体" w:hAnsi="宋体" w:eastAsia="宋体" w:cs="宋体"/>
          <w:b/>
          <w:sz w:val="24"/>
          <w:szCs w:val="24"/>
        </w:rPr>
        <w:t>提供。</w:t>
      </w:r>
    </w:p>
    <w:p w14:paraId="70E0599F">
      <w:pPr>
        <w:snapToGrid w:val="0"/>
        <w:spacing w:line="360" w:lineRule="auto"/>
        <w:jc w:val="center"/>
        <w:outlineLvl w:val="3"/>
        <w:rPr>
          <w:rFonts w:eastAsia="宋体"/>
          <w:b/>
          <w:bCs/>
          <w:sz w:val="28"/>
          <w:szCs w:val="28"/>
        </w:rPr>
      </w:pPr>
      <w:r>
        <w:rPr>
          <w:rFonts w:eastAsia="宋体"/>
          <w:b/>
          <w:bCs/>
          <w:sz w:val="28"/>
          <w:szCs w:val="28"/>
        </w:rPr>
        <w:br w:type="page"/>
      </w:r>
      <w:r>
        <w:rPr>
          <w:rFonts w:eastAsia="宋体"/>
          <w:b/>
          <w:bCs/>
          <w:sz w:val="28"/>
          <w:szCs w:val="28"/>
        </w:rPr>
        <w:t>5、资格文件的声明函</w:t>
      </w:r>
    </w:p>
    <w:p w14:paraId="69DB1A33">
      <w:pPr>
        <w:snapToGrid w:val="0"/>
        <w:spacing w:before="163" w:beforeLines="50" w:after="163" w:afterLines="50" w:line="360" w:lineRule="auto"/>
        <w:rPr>
          <w:rFonts w:eastAsia="宋体"/>
          <w:u w:val="single"/>
        </w:rPr>
      </w:pPr>
      <w:r>
        <w:rPr>
          <w:rFonts w:eastAsia="宋体"/>
          <w:u w:val="single"/>
        </w:rPr>
        <w:t>南通市水利局：</w:t>
      </w:r>
    </w:p>
    <w:p w14:paraId="15891708">
      <w:pPr>
        <w:overflowPunct w:val="0"/>
        <w:adjustRightInd w:val="0"/>
        <w:spacing w:line="360" w:lineRule="auto"/>
        <w:ind w:firstLine="660"/>
        <w:jc w:val="left"/>
        <w:textAlignment w:val="baseline"/>
        <w:rPr>
          <w:rFonts w:eastAsia="宋体"/>
        </w:rPr>
      </w:pPr>
      <w:r>
        <w:rPr>
          <w:rFonts w:eastAsia="宋体"/>
        </w:rPr>
        <w:t>本公司愿就由贵单位组织实施的</w:t>
      </w:r>
      <w:r>
        <w:rPr>
          <w:rFonts w:eastAsia="宋体"/>
          <w:u w:val="single"/>
        </w:rPr>
        <w:t xml:space="preserve">                    </w:t>
      </w:r>
      <w:r>
        <w:rPr>
          <w:rFonts w:eastAsia="宋体"/>
        </w:rPr>
        <w:t>（项目名称</w:t>
      </w:r>
      <w:r>
        <w:rPr>
          <w:rFonts w:hint="eastAsia" w:eastAsia="宋体"/>
        </w:rPr>
        <w:t>及项目编号）</w:t>
      </w:r>
      <w:r>
        <w:rPr>
          <w:rFonts w:eastAsia="宋体"/>
        </w:rPr>
        <w:t>的活动参与磋商。本公司所提交的磋商文件中所有关于资格的文件、证明和陈述均是真实的、准确的。若与真实情况不符，本公司愿意承担由此而产生的一切后果。</w:t>
      </w:r>
    </w:p>
    <w:p w14:paraId="47455517">
      <w:pPr>
        <w:overflowPunct w:val="0"/>
        <w:adjustRightInd w:val="0"/>
        <w:spacing w:line="360" w:lineRule="auto"/>
        <w:ind w:firstLine="420"/>
        <w:jc w:val="left"/>
        <w:textAlignment w:val="baseline"/>
        <w:rPr>
          <w:rFonts w:eastAsia="宋体"/>
        </w:rPr>
      </w:pPr>
    </w:p>
    <w:p w14:paraId="49DE1C43">
      <w:pPr>
        <w:overflowPunct w:val="0"/>
        <w:adjustRightInd w:val="0"/>
        <w:spacing w:line="360" w:lineRule="auto"/>
        <w:ind w:firstLine="420"/>
        <w:jc w:val="left"/>
        <w:textAlignment w:val="baseline"/>
        <w:rPr>
          <w:rFonts w:eastAsia="宋体"/>
        </w:rPr>
      </w:pPr>
    </w:p>
    <w:p w14:paraId="68EF0610">
      <w:pPr>
        <w:snapToGrid w:val="0"/>
        <w:spacing w:line="360" w:lineRule="auto"/>
        <w:jc w:val="right"/>
        <w:rPr>
          <w:rFonts w:eastAsia="宋体"/>
        </w:rPr>
      </w:pPr>
      <w:r>
        <w:rPr>
          <w:rFonts w:eastAsia="宋体"/>
        </w:rPr>
        <w:t>竞争性磋商响应单位：</w:t>
      </w:r>
      <w:r>
        <w:rPr>
          <w:rFonts w:eastAsia="宋体"/>
          <w:u w:val="single"/>
        </w:rPr>
        <w:t xml:space="preserve">                    </w:t>
      </w:r>
      <w:r>
        <w:rPr>
          <w:rFonts w:eastAsia="宋体"/>
        </w:rPr>
        <w:t>（加盖公章）</w:t>
      </w:r>
    </w:p>
    <w:p w14:paraId="34C877D8">
      <w:pPr>
        <w:snapToGrid w:val="0"/>
        <w:spacing w:line="360" w:lineRule="auto"/>
        <w:ind w:firstLine="2400" w:firstLineChars="1000"/>
        <w:jc w:val="right"/>
        <w:rPr>
          <w:rFonts w:eastAsia="宋体"/>
        </w:rPr>
      </w:pPr>
      <w:r>
        <w:rPr>
          <w:rFonts w:eastAsia="宋体"/>
        </w:rPr>
        <w:t>法定代表人或被授权人：</w:t>
      </w:r>
      <w:r>
        <w:rPr>
          <w:rFonts w:eastAsia="宋体"/>
          <w:u w:val="single"/>
        </w:rPr>
        <w:t xml:space="preserve">         </w:t>
      </w:r>
      <w:r>
        <w:rPr>
          <w:rFonts w:eastAsia="宋体"/>
        </w:rPr>
        <w:t>（签字或盖章）</w:t>
      </w:r>
    </w:p>
    <w:p w14:paraId="09AA5FC1">
      <w:pPr>
        <w:snapToGrid w:val="0"/>
        <w:spacing w:line="360" w:lineRule="auto"/>
        <w:jc w:val="right"/>
        <w:rPr>
          <w:rFonts w:eastAsia="宋体"/>
        </w:rPr>
      </w:pPr>
      <w:r>
        <w:rPr>
          <w:rFonts w:eastAsia="宋体"/>
        </w:rPr>
        <w:t>年      月     日</w:t>
      </w:r>
    </w:p>
    <w:p w14:paraId="6828311F">
      <w:pPr>
        <w:snapToGrid w:val="0"/>
        <w:spacing w:line="360" w:lineRule="auto"/>
        <w:jc w:val="center"/>
        <w:outlineLvl w:val="3"/>
        <w:rPr>
          <w:rFonts w:eastAsia="宋体"/>
          <w:b/>
        </w:rPr>
      </w:pPr>
    </w:p>
    <w:p w14:paraId="63387470">
      <w:pPr>
        <w:spacing w:line="360" w:lineRule="auto"/>
        <w:ind w:firstLine="482" w:firstLineChars="200"/>
        <w:jc w:val="left"/>
        <w:rPr>
          <w:rFonts w:eastAsia="宋体"/>
          <w:b/>
          <w:sz w:val="32"/>
          <w:szCs w:val="32"/>
          <w:u w:val="single"/>
        </w:rPr>
      </w:pPr>
      <w:r>
        <w:rPr>
          <w:rFonts w:hint="eastAsia" w:ascii="宋体" w:hAnsi="宋体" w:eastAsia="宋体" w:cs="宋体"/>
          <w:b/>
          <w:sz w:val="24"/>
          <w:szCs w:val="24"/>
          <w:lang w:eastAsia="zh-CN"/>
        </w:rPr>
        <w:t>注：</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文件</w:t>
      </w:r>
      <w:r>
        <w:rPr>
          <w:rFonts w:hint="eastAsia" w:ascii="宋体" w:hAnsi="宋体" w:eastAsia="宋体" w:cs="宋体"/>
          <w:b/>
          <w:sz w:val="24"/>
          <w:szCs w:val="24"/>
        </w:rPr>
        <w:t>由联合体</w:t>
      </w:r>
      <w:r>
        <w:rPr>
          <w:rFonts w:hint="eastAsia" w:ascii="宋体" w:hAnsi="宋体" w:eastAsia="宋体" w:cs="宋体"/>
          <w:b/>
          <w:sz w:val="24"/>
          <w:szCs w:val="24"/>
          <w:lang w:eastAsia="zh-CN"/>
        </w:rPr>
        <w:t>双方成员分别</w:t>
      </w:r>
      <w:r>
        <w:rPr>
          <w:rFonts w:hint="eastAsia" w:ascii="宋体" w:hAnsi="宋体" w:eastAsia="宋体" w:cs="宋体"/>
          <w:b/>
          <w:sz w:val="24"/>
          <w:szCs w:val="24"/>
        </w:rPr>
        <w:t>提供。</w:t>
      </w:r>
    </w:p>
    <w:p w14:paraId="426F1D9B">
      <w:pPr>
        <w:snapToGrid w:val="0"/>
        <w:spacing w:line="360" w:lineRule="auto"/>
        <w:jc w:val="center"/>
        <w:outlineLvl w:val="3"/>
        <w:rPr>
          <w:rFonts w:eastAsia="宋体"/>
          <w:b/>
        </w:rPr>
      </w:pPr>
    </w:p>
    <w:p w14:paraId="11E66F39">
      <w:pPr>
        <w:overflowPunct w:val="0"/>
        <w:adjustRightInd w:val="0"/>
        <w:spacing w:line="360" w:lineRule="auto"/>
        <w:ind w:firstLine="420"/>
        <w:jc w:val="left"/>
        <w:textAlignment w:val="baseline"/>
        <w:rPr>
          <w:rFonts w:eastAsia="宋体"/>
        </w:rPr>
      </w:pPr>
    </w:p>
    <w:p w14:paraId="5045A7E3">
      <w:pPr>
        <w:overflowPunct w:val="0"/>
        <w:adjustRightInd w:val="0"/>
        <w:spacing w:line="360" w:lineRule="auto"/>
        <w:ind w:firstLine="420"/>
        <w:jc w:val="left"/>
        <w:textAlignment w:val="baseline"/>
        <w:rPr>
          <w:rFonts w:eastAsia="宋体"/>
        </w:rPr>
      </w:pPr>
    </w:p>
    <w:p w14:paraId="1B468290">
      <w:pPr>
        <w:overflowPunct w:val="0"/>
        <w:adjustRightInd w:val="0"/>
        <w:spacing w:line="360" w:lineRule="auto"/>
        <w:ind w:firstLine="420"/>
        <w:jc w:val="left"/>
        <w:textAlignment w:val="baseline"/>
        <w:rPr>
          <w:rFonts w:eastAsia="宋体"/>
        </w:rPr>
      </w:pPr>
    </w:p>
    <w:p w14:paraId="7D652A5C">
      <w:pPr>
        <w:pStyle w:val="139"/>
        <w:spacing w:before="156" w:beforeLines="50" w:after="156" w:afterLines="50" w:line="420" w:lineRule="atLeast"/>
        <w:rPr>
          <w:sz w:val="28"/>
          <w:szCs w:val="28"/>
        </w:rPr>
      </w:pPr>
      <w:r>
        <w:rPr>
          <w:rFonts w:hint="eastAsia"/>
          <w:sz w:val="28"/>
          <w:szCs w:val="28"/>
          <w:lang w:val="en-US" w:eastAsia="zh-CN"/>
        </w:rPr>
        <w:br w:type="page"/>
      </w:r>
      <w:r>
        <w:rPr>
          <w:rFonts w:hint="eastAsia"/>
          <w:sz w:val="28"/>
          <w:szCs w:val="28"/>
          <w:lang w:val="en-US" w:eastAsia="zh-CN"/>
        </w:rPr>
        <w:t>6</w:t>
      </w:r>
      <w:r>
        <w:rPr>
          <w:sz w:val="28"/>
          <w:szCs w:val="28"/>
        </w:rPr>
        <w:t>、</w:t>
      </w:r>
      <w:r>
        <w:rPr>
          <w:rFonts w:hint="eastAsia" w:ascii="宋体" w:hAnsi="宋体" w:eastAsia="宋体" w:cs="宋体"/>
          <w:sz w:val="28"/>
          <w:szCs w:val="28"/>
        </w:rPr>
        <w:t>联合体协议书（如有）</w:t>
      </w:r>
    </w:p>
    <w:p w14:paraId="20FF85B7">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（所有成员单位名称）自愿组成</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（联合体名称）联合体，共同参加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（项目名称）</w:t>
      </w:r>
      <w:r>
        <w:rPr>
          <w:rFonts w:hint="default" w:ascii="Times New Roman" w:hAnsi="Times New Roman" w:eastAsia="宋体" w:cs="Times New Roman"/>
          <w:sz w:val="24"/>
          <w:szCs w:val="24"/>
          <w:lang w:eastAsia="zh-CN"/>
        </w:rPr>
        <w:t>磋商响应活动</w:t>
      </w:r>
      <w:r>
        <w:rPr>
          <w:rFonts w:hint="default" w:ascii="Times New Roman" w:hAnsi="Times New Roman" w:eastAsia="宋体" w:cs="Times New Roman"/>
          <w:sz w:val="24"/>
          <w:szCs w:val="24"/>
        </w:rPr>
        <w:t>。现就联合体</w:t>
      </w:r>
      <w:r>
        <w:rPr>
          <w:rFonts w:hint="default" w:ascii="Times New Roman" w:hAnsi="Times New Roman" w:eastAsia="宋体" w:cs="Times New Roman"/>
          <w:sz w:val="24"/>
          <w:szCs w:val="24"/>
          <w:lang w:eastAsia="zh-CN"/>
        </w:rPr>
        <w:t>磋商</w:t>
      </w:r>
      <w:r>
        <w:rPr>
          <w:rFonts w:hint="default" w:ascii="Times New Roman" w:hAnsi="Times New Roman" w:eastAsia="宋体" w:cs="Times New Roman"/>
          <w:sz w:val="24"/>
          <w:szCs w:val="24"/>
        </w:rPr>
        <w:t>事宜订立如下协议。</w:t>
      </w:r>
    </w:p>
    <w:p w14:paraId="5759CFA5">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（某成员单位名称）为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（联合体名称）牵头人。</w:t>
      </w:r>
    </w:p>
    <w:p w14:paraId="03E15146">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2、联合体牵头人合法代表联合体各成员负责本项目</w:t>
      </w:r>
      <w:r>
        <w:rPr>
          <w:rFonts w:hint="default" w:ascii="Times New Roman" w:hAnsi="Times New Roman" w:eastAsia="宋体" w:cs="Times New Roman"/>
          <w:sz w:val="24"/>
          <w:szCs w:val="24"/>
          <w:lang w:eastAsia="zh-CN"/>
        </w:rPr>
        <w:t>磋商响应</w:t>
      </w:r>
      <w:r>
        <w:rPr>
          <w:rFonts w:hint="default" w:ascii="Times New Roman" w:hAnsi="Times New Roman" w:eastAsia="宋体" w:cs="Times New Roman"/>
          <w:sz w:val="24"/>
          <w:szCs w:val="24"/>
        </w:rPr>
        <w:t>文件编制和合同谈判活动，代表联合体提交和接收相关的资料、信息及指示，处理与之有关的一切事务，并负责合同实施阶段的主办、组织和协调工作。</w:t>
      </w:r>
    </w:p>
    <w:p w14:paraId="53064A41">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3、联合体将严格按照</w:t>
      </w:r>
      <w:r>
        <w:rPr>
          <w:rFonts w:hint="default" w:ascii="Times New Roman" w:hAnsi="Times New Roman" w:eastAsia="宋体" w:cs="Times New Roman"/>
          <w:sz w:val="24"/>
          <w:szCs w:val="24"/>
          <w:lang w:eastAsia="zh-CN"/>
        </w:rPr>
        <w:t>采购</w:t>
      </w:r>
      <w:r>
        <w:rPr>
          <w:rFonts w:hint="default" w:ascii="Times New Roman" w:hAnsi="Times New Roman" w:eastAsia="宋体" w:cs="Times New Roman"/>
          <w:sz w:val="24"/>
          <w:szCs w:val="24"/>
        </w:rPr>
        <w:t>文件的各项要求，递交</w:t>
      </w:r>
      <w:r>
        <w:rPr>
          <w:rFonts w:hint="default" w:ascii="Times New Roman" w:hAnsi="Times New Roman" w:eastAsia="宋体" w:cs="Times New Roman"/>
          <w:sz w:val="24"/>
          <w:szCs w:val="24"/>
          <w:lang w:eastAsia="zh-CN"/>
        </w:rPr>
        <w:t>磋商响应</w:t>
      </w:r>
      <w:r>
        <w:rPr>
          <w:rFonts w:hint="default" w:ascii="Times New Roman" w:hAnsi="Times New Roman" w:eastAsia="宋体" w:cs="Times New Roman"/>
          <w:sz w:val="24"/>
          <w:szCs w:val="24"/>
        </w:rPr>
        <w:t>文件，履行合同，并对外承担连带责任。</w:t>
      </w:r>
    </w:p>
    <w:p w14:paraId="7E841FDB">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4、联合体各成员单位内部的职责分工如下：</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14:paraId="66D55531">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5、本协议书自签署之日起生效，合同履行完毕后自动失效。 </w:t>
      </w:r>
    </w:p>
    <w:p w14:paraId="21AC598C">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6、本协议书一式</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份，联合体成员和招标人各执</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份。</w:t>
      </w:r>
    </w:p>
    <w:p w14:paraId="2921BAD5">
      <w:pPr>
        <w:topLinePunct/>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7、其它约定事项：</w:t>
      </w:r>
      <w:r>
        <w:rPr>
          <w:rFonts w:hint="default" w:ascii="Times New Roman" w:hAnsi="Times New Roman" w:eastAsia="宋体" w:cs="Times New Roman"/>
          <w:sz w:val="24"/>
          <w:szCs w:val="24"/>
          <w:u w:val="single"/>
        </w:rPr>
        <w:t xml:space="preserve">                    </w:t>
      </w:r>
    </w:p>
    <w:p w14:paraId="68C1BA88">
      <w:pPr>
        <w:topLinePunct/>
        <w:spacing w:line="360" w:lineRule="auto"/>
        <w:ind w:firstLine="200"/>
        <w:rPr>
          <w:rFonts w:hint="default" w:ascii="Times New Roman" w:hAnsi="Times New Roman" w:eastAsia="宋体" w:cs="Times New Roman"/>
          <w:sz w:val="24"/>
          <w:szCs w:val="24"/>
        </w:rPr>
      </w:pPr>
    </w:p>
    <w:p w14:paraId="023538ED">
      <w:pPr>
        <w:topLinePunct/>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注：本协议书由委托代理人签字的，应附法定代表人签字的授权委托书。</w:t>
      </w:r>
    </w:p>
    <w:p w14:paraId="7060618D">
      <w:pPr>
        <w:topLinePunct/>
        <w:spacing w:line="360" w:lineRule="auto"/>
        <w:ind w:firstLine="200"/>
        <w:rPr>
          <w:rFonts w:hint="default" w:ascii="Times New Roman" w:hAnsi="Times New Roman" w:eastAsia="宋体" w:cs="Times New Roman"/>
          <w:sz w:val="24"/>
          <w:szCs w:val="24"/>
        </w:rPr>
      </w:pPr>
    </w:p>
    <w:p w14:paraId="5FF4306E">
      <w:pPr>
        <w:topLinePunct/>
        <w:spacing w:line="360" w:lineRule="auto"/>
        <w:ind w:firstLine="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牵头人名称：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（盖单位章）</w:t>
      </w:r>
    </w:p>
    <w:p w14:paraId="7B773FC9">
      <w:pPr>
        <w:topLinePunct/>
        <w:spacing w:line="360" w:lineRule="auto"/>
        <w:ind w:firstLine="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（签字）</w:t>
      </w:r>
    </w:p>
    <w:p w14:paraId="2882193B">
      <w:pPr>
        <w:topLinePunct/>
        <w:spacing w:line="360" w:lineRule="auto"/>
        <w:ind w:firstLine="200"/>
        <w:rPr>
          <w:rFonts w:hint="default" w:ascii="Times New Roman" w:hAnsi="Times New Roman" w:eastAsia="宋体" w:cs="Times New Roman"/>
          <w:sz w:val="24"/>
          <w:szCs w:val="24"/>
        </w:rPr>
      </w:pPr>
    </w:p>
    <w:p w14:paraId="7CE7B454">
      <w:pPr>
        <w:topLinePunct/>
        <w:spacing w:line="360" w:lineRule="auto"/>
        <w:ind w:firstLine="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成员一名称：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（盖单位章）</w:t>
      </w:r>
    </w:p>
    <w:p w14:paraId="50BEBAF5">
      <w:pPr>
        <w:topLinePunct/>
        <w:spacing w:line="360" w:lineRule="auto"/>
        <w:ind w:firstLine="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法定代表人或其委托代理人：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（签字）</w:t>
      </w:r>
    </w:p>
    <w:p w14:paraId="41C0B984">
      <w:pPr>
        <w:topLinePunct/>
        <w:spacing w:line="360" w:lineRule="auto"/>
        <w:ind w:firstLine="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p w14:paraId="20F48A71">
      <w:pPr>
        <w:topLinePunct/>
        <w:spacing w:line="360" w:lineRule="auto"/>
        <w:ind w:firstLine="200"/>
        <w:rPr>
          <w:rFonts w:hint="default" w:ascii="Times New Roman" w:hAnsi="Times New Roman" w:eastAsia="宋体" w:cs="Times New Roman"/>
          <w:sz w:val="24"/>
          <w:szCs w:val="24"/>
        </w:rPr>
      </w:pPr>
    </w:p>
    <w:p w14:paraId="6AD8350F">
      <w:pPr>
        <w:overflowPunct w:val="0"/>
        <w:adjustRightInd w:val="0"/>
        <w:spacing w:line="360" w:lineRule="auto"/>
        <w:ind w:firstLine="420"/>
        <w:jc w:val="left"/>
        <w:textAlignment w:val="baseline"/>
        <w:rPr>
          <w:rFonts w:hint="default" w:ascii="Times New Roman" w:hAnsi="Times New Roman" w:eastAsia="宋体" w:cs="Times New Roman"/>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14:paraId="0605B6F6">
      <w:pPr>
        <w:overflowPunct w:val="0"/>
        <w:adjustRightInd w:val="0"/>
        <w:spacing w:line="360" w:lineRule="auto"/>
        <w:ind w:firstLine="420"/>
        <w:jc w:val="left"/>
        <w:textAlignment w:val="baseline"/>
        <w:rPr>
          <w:rFonts w:eastAsia="宋体"/>
        </w:rPr>
      </w:pPr>
    </w:p>
    <w:p w14:paraId="64858EF3">
      <w:pPr>
        <w:snapToGrid w:val="0"/>
        <w:spacing w:line="360" w:lineRule="auto"/>
        <w:ind w:firstLine="661" w:firstLineChars="235"/>
        <w:jc w:val="center"/>
        <w:outlineLvl w:val="3"/>
        <w:rPr>
          <w:rFonts w:eastAsia="宋体"/>
          <w:b/>
          <w:bCs/>
          <w:sz w:val="28"/>
          <w:szCs w:val="28"/>
        </w:rPr>
      </w:pPr>
      <w:r>
        <w:rPr>
          <w:rFonts w:eastAsia="宋体"/>
          <w:b/>
          <w:bCs/>
          <w:sz w:val="28"/>
          <w:szCs w:val="28"/>
        </w:rPr>
        <w:br w:type="page"/>
      </w:r>
      <w:r>
        <w:rPr>
          <w:rFonts w:hint="eastAsia" w:eastAsia="宋体"/>
          <w:b/>
          <w:bCs/>
          <w:sz w:val="28"/>
          <w:szCs w:val="28"/>
          <w:lang w:val="en-US" w:eastAsia="zh-CN"/>
        </w:rPr>
        <w:t>7</w:t>
      </w:r>
      <w:r>
        <w:rPr>
          <w:rFonts w:eastAsia="宋体"/>
          <w:b/>
          <w:bCs/>
          <w:sz w:val="28"/>
          <w:szCs w:val="28"/>
        </w:rPr>
        <w:t>、竞争性磋商响应函（格式不得变动）</w:t>
      </w:r>
    </w:p>
    <w:p w14:paraId="72C9FA55">
      <w:pPr>
        <w:snapToGrid w:val="0"/>
        <w:spacing w:before="326" w:beforeLines="100" w:after="326" w:afterLines="100" w:line="360" w:lineRule="auto"/>
        <w:rPr>
          <w:rFonts w:eastAsia="宋体"/>
          <w:u w:val="single"/>
        </w:rPr>
      </w:pPr>
      <w:r>
        <w:rPr>
          <w:rFonts w:eastAsia="宋体"/>
          <w:u w:val="single"/>
        </w:rPr>
        <w:t>南通市水利局：</w:t>
      </w:r>
    </w:p>
    <w:p w14:paraId="49958AF6">
      <w:pPr>
        <w:snapToGrid w:val="0"/>
        <w:spacing w:line="360" w:lineRule="auto"/>
        <w:ind w:firstLine="480" w:firstLineChars="200"/>
        <w:rPr>
          <w:rFonts w:eastAsia="宋体"/>
        </w:rPr>
      </w:pPr>
      <w:r>
        <w:rPr>
          <w:rFonts w:eastAsia="宋体"/>
        </w:rPr>
        <w:t>依据贵单位委托代理机构组织的</w:t>
      </w:r>
      <w:r>
        <w:rPr>
          <w:rFonts w:eastAsia="宋体"/>
          <w:u w:val="single"/>
        </w:rPr>
        <w:t xml:space="preserve">               </w:t>
      </w:r>
      <w:r>
        <w:rPr>
          <w:rFonts w:eastAsia="宋体"/>
        </w:rPr>
        <w:t>（磋商项目名称</w:t>
      </w:r>
      <w:r>
        <w:rPr>
          <w:rFonts w:hint="eastAsia" w:eastAsia="宋体"/>
        </w:rPr>
        <w:t>及项目编号）</w:t>
      </w:r>
      <w:r>
        <w:rPr>
          <w:rFonts w:eastAsia="宋体"/>
        </w:rPr>
        <w:t>项目竞争性磋商的邀请，我方授权</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（职务）为全权代表参加该项目的磋商工作，全权处理本次竞争性磋商的有关事宜。同时，我公司声明如下：</w:t>
      </w:r>
    </w:p>
    <w:p w14:paraId="0900D16B">
      <w:pPr>
        <w:snapToGrid w:val="0"/>
        <w:spacing w:line="360" w:lineRule="auto"/>
        <w:ind w:firstLine="480" w:firstLineChars="200"/>
        <w:rPr>
          <w:rFonts w:eastAsia="宋体"/>
        </w:rPr>
      </w:pPr>
      <w:r>
        <w:rPr>
          <w:rFonts w:eastAsia="宋体"/>
        </w:rPr>
        <w:t>1、同意并接受竞争性磋商文件的各项要求，遵守竞争性磋商文件中的各项规定，按竞争性磋商文件的要求提供报价。</w:t>
      </w:r>
    </w:p>
    <w:p w14:paraId="7F6EA55F">
      <w:pPr>
        <w:snapToGrid w:val="0"/>
        <w:spacing w:line="360" w:lineRule="auto"/>
        <w:ind w:firstLine="480" w:firstLineChars="200"/>
        <w:rPr>
          <w:rFonts w:eastAsia="宋体"/>
        </w:rPr>
      </w:pPr>
      <w:r>
        <w:rPr>
          <w:rFonts w:eastAsia="宋体"/>
        </w:rPr>
        <w:t>2、我公司已经详细阅读了竞争性磋商文件的全部内容，我方已完全清晰理解竞争性磋商文件的要求，不存在任何含糊不清和误解之处，同意放弃对竞争性磋商文件所表述的内容提出异议和质疑的权利。</w:t>
      </w:r>
    </w:p>
    <w:p w14:paraId="52CB33DB">
      <w:pPr>
        <w:snapToGrid w:val="0"/>
        <w:spacing w:line="360" w:lineRule="auto"/>
        <w:ind w:firstLine="480" w:firstLineChars="200"/>
        <w:rPr>
          <w:rFonts w:eastAsia="宋体"/>
        </w:rPr>
      </w:pPr>
      <w:r>
        <w:rPr>
          <w:rFonts w:eastAsia="宋体"/>
        </w:rPr>
        <w:t>3、我公司已毫无保留地向贵方提供一切所需的证明材料。</w:t>
      </w:r>
    </w:p>
    <w:p w14:paraId="58914C9F">
      <w:pPr>
        <w:snapToGrid w:val="0"/>
        <w:spacing w:line="360" w:lineRule="auto"/>
        <w:ind w:firstLine="480" w:firstLineChars="200"/>
        <w:rPr>
          <w:rFonts w:eastAsia="宋体"/>
        </w:rPr>
      </w:pPr>
      <w:r>
        <w:rPr>
          <w:rFonts w:eastAsia="宋体"/>
        </w:rPr>
        <w:t>4、我公司承诺在本次磋商响应中提供的一切文件，无论是原件还是复印件均真实有效，绝无任何虚假、伪造和夸大的</w:t>
      </w:r>
      <w:r>
        <w:rPr>
          <w:rFonts w:hint="eastAsia" w:eastAsia="宋体"/>
        </w:rPr>
        <w:t>成分</w:t>
      </w:r>
      <w:r>
        <w:rPr>
          <w:rFonts w:eastAsia="宋体"/>
        </w:rPr>
        <w:t>。否则，愿承担相应的后果和法律责任。</w:t>
      </w:r>
    </w:p>
    <w:p w14:paraId="59355776">
      <w:pPr>
        <w:snapToGrid w:val="0"/>
        <w:spacing w:line="360" w:lineRule="auto"/>
        <w:ind w:firstLine="480" w:firstLineChars="200"/>
        <w:rPr>
          <w:rFonts w:eastAsia="宋体"/>
        </w:rPr>
      </w:pPr>
      <w:r>
        <w:rPr>
          <w:rFonts w:eastAsia="宋体"/>
        </w:rPr>
        <w:t>5、一旦成交，我方承诺无正当理由拒绝签订合同，将被贵方取消成交资格，同意贵方将磋商保证金作为违约金全额不予退还的处理。</w:t>
      </w:r>
    </w:p>
    <w:p w14:paraId="6E6932B0">
      <w:pPr>
        <w:snapToGrid w:val="0"/>
        <w:spacing w:line="360" w:lineRule="auto"/>
        <w:ind w:firstLine="480" w:firstLineChars="200"/>
        <w:rPr>
          <w:rFonts w:eastAsia="宋体"/>
        </w:rPr>
      </w:pPr>
      <w:r>
        <w:rPr>
          <w:rFonts w:eastAsia="宋体"/>
        </w:rPr>
        <w:t>6、</w:t>
      </w:r>
      <w:r>
        <w:rPr>
          <w:rFonts w:eastAsia="宋体"/>
          <w:b/>
        </w:rPr>
        <w:t>一旦成交，我方将根据竞争性磋商文件的规定，严格履行合同规定的责任和义务，并保证在竞争性磋商文件中规定的时间期限内完成合同项目。</w:t>
      </w:r>
    </w:p>
    <w:p w14:paraId="54CA8E8F">
      <w:pPr>
        <w:snapToGrid w:val="0"/>
        <w:spacing w:line="360" w:lineRule="auto"/>
        <w:ind w:firstLine="480" w:firstLineChars="200"/>
        <w:rPr>
          <w:rFonts w:eastAsia="宋体"/>
        </w:rPr>
      </w:pPr>
    </w:p>
    <w:p w14:paraId="79CBF144">
      <w:pPr>
        <w:snapToGrid w:val="0"/>
        <w:spacing w:line="360" w:lineRule="auto"/>
        <w:jc w:val="right"/>
        <w:rPr>
          <w:rFonts w:eastAsia="宋体"/>
        </w:rPr>
      </w:pPr>
      <w:r>
        <w:rPr>
          <w:rFonts w:eastAsia="宋体"/>
        </w:rPr>
        <w:t>竞争性磋商响应单位：</w:t>
      </w:r>
      <w:r>
        <w:rPr>
          <w:rFonts w:eastAsia="宋体"/>
          <w:u w:val="single"/>
        </w:rPr>
        <w:t xml:space="preserve">                    </w:t>
      </w:r>
      <w:r>
        <w:rPr>
          <w:rFonts w:eastAsia="宋体"/>
        </w:rPr>
        <w:t>（加盖公章）</w:t>
      </w:r>
    </w:p>
    <w:p w14:paraId="1FF3BE6F">
      <w:pPr>
        <w:snapToGrid w:val="0"/>
        <w:spacing w:line="360" w:lineRule="auto"/>
        <w:ind w:firstLine="2400" w:firstLineChars="1000"/>
        <w:jc w:val="right"/>
        <w:rPr>
          <w:rFonts w:eastAsia="宋体"/>
        </w:rPr>
      </w:pPr>
      <w:r>
        <w:rPr>
          <w:rFonts w:eastAsia="宋体"/>
        </w:rPr>
        <w:t>法定代表人或被授权人：</w:t>
      </w:r>
      <w:r>
        <w:rPr>
          <w:rFonts w:eastAsia="宋体"/>
          <w:u w:val="single"/>
        </w:rPr>
        <w:t xml:space="preserve">         </w:t>
      </w:r>
      <w:r>
        <w:rPr>
          <w:rFonts w:eastAsia="宋体"/>
        </w:rPr>
        <w:t>（签字或盖章）</w:t>
      </w:r>
    </w:p>
    <w:p w14:paraId="64DD5E32">
      <w:pPr>
        <w:snapToGrid w:val="0"/>
        <w:spacing w:line="360" w:lineRule="auto"/>
        <w:jc w:val="right"/>
        <w:rPr>
          <w:rFonts w:eastAsia="宋体"/>
        </w:rPr>
      </w:pPr>
      <w:r>
        <w:rPr>
          <w:rFonts w:eastAsia="宋体"/>
        </w:rPr>
        <w:t xml:space="preserve"> 年      月     日</w:t>
      </w:r>
    </w:p>
    <w:p w14:paraId="1B739502">
      <w:pPr>
        <w:snapToGrid w:val="0"/>
        <w:spacing w:line="360" w:lineRule="auto"/>
        <w:jc w:val="center"/>
        <w:outlineLvl w:val="3"/>
        <w:rPr>
          <w:rFonts w:eastAsia="宋体"/>
          <w:b/>
        </w:rPr>
      </w:pPr>
    </w:p>
    <w:p w14:paraId="3C283655">
      <w:pPr>
        <w:pStyle w:val="18"/>
        <w:spacing w:line="360" w:lineRule="auto"/>
        <w:rPr>
          <w:rFonts w:ascii="Times New Roman" w:eastAsia="宋体"/>
        </w:rPr>
      </w:pPr>
    </w:p>
    <w:p w14:paraId="6DB93517">
      <w:pPr>
        <w:pStyle w:val="18"/>
        <w:spacing w:line="360" w:lineRule="auto"/>
        <w:rPr>
          <w:rFonts w:ascii="Times New Roman" w:eastAsia="宋体"/>
        </w:rPr>
      </w:pPr>
    </w:p>
    <w:p w14:paraId="7536A7DE">
      <w:pPr>
        <w:pStyle w:val="18"/>
        <w:spacing w:line="360" w:lineRule="auto"/>
        <w:ind w:firstLine="482" w:firstLineChars="200"/>
        <w:rPr>
          <w:rFonts w:ascii="Times New Roman" w:eastAsia="宋体"/>
        </w:rPr>
      </w:pPr>
      <w:r>
        <w:rPr>
          <w:rFonts w:hint="eastAsia" w:ascii="宋体" w:hAnsi="宋体" w:eastAsia="宋体" w:cs="宋体"/>
          <w:b/>
          <w:sz w:val="24"/>
          <w:szCs w:val="24"/>
          <w:lang w:eastAsia="zh-CN"/>
        </w:rPr>
        <w:t>注：</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文件</w:t>
      </w:r>
      <w:r>
        <w:rPr>
          <w:rFonts w:hint="eastAsia" w:ascii="宋体" w:hAnsi="宋体" w:eastAsia="宋体" w:cs="宋体"/>
          <w:b/>
          <w:sz w:val="24"/>
          <w:szCs w:val="24"/>
        </w:rPr>
        <w:t>由联合体牵头人提供。</w:t>
      </w:r>
    </w:p>
    <w:p w14:paraId="4CD2DADF">
      <w:pPr>
        <w:pStyle w:val="18"/>
        <w:spacing w:line="360" w:lineRule="auto"/>
        <w:rPr>
          <w:rFonts w:ascii="Times New Roman" w:eastAsia="宋体"/>
        </w:rPr>
      </w:pPr>
    </w:p>
    <w:p w14:paraId="50237427">
      <w:pPr>
        <w:pStyle w:val="18"/>
        <w:spacing w:line="360" w:lineRule="auto"/>
        <w:rPr>
          <w:rFonts w:ascii="Times New Roman" w:eastAsia="宋体"/>
        </w:rPr>
      </w:pPr>
    </w:p>
    <w:p w14:paraId="7B2BDF85">
      <w:pPr>
        <w:snapToGrid w:val="0"/>
        <w:spacing w:line="360" w:lineRule="auto"/>
        <w:jc w:val="center"/>
        <w:outlineLvl w:val="3"/>
        <w:rPr>
          <w:rFonts w:eastAsia="宋体"/>
          <w:b/>
          <w:bCs/>
          <w:sz w:val="28"/>
          <w:szCs w:val="28"/>
        </w:rPr>
      </w:pPr>
      <w:r>
        <w:rPr>
          <w:rFonts w:eastAsia="宋体"/>
          <w:b/>
          <w:bCs/>
          <w:sz w:val="28"/>
          <w:szCs w:val="28"/>
        </w:rPr>
        <w:br w:type="page"/>
      </w:r>
      <w:r>
        <w:rPr>
          <w:rFonts w:hint="eastAsia" w:eastAsia="宋体"/>
          <w:b/>
          <w:bCs/>
          <w:sz w:val="28"/>
          <w:szCs w:val="28"/>
          <w:lang w:val="en-US" w:eastAsia="zh-CN"/>
        </w:rPr>
        <w:t>8</w:t>
      </w:r>
      <w:r>
        <w:rPr>
          <w:rFonts w:eastAsia="宋体"/>
          <w:b/>
          <w:bCs/>
          <w:sz w:val="28"/>
          <w:szCs w:val="28"/>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1BBE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14:paraId="5D2AEBF9">
            <w:pPr>
              <w:tabs>
                <w:tab w:val="left" w:pos="993"/>
              </w:tabs>
              <w:spacing w:line="360" w:lineRule="auto"/>
              <w:jc w:val="center"/>
              <w:rPr>
                <w:rFonts w:eastAsia="宋体"/>
              </w:rPr>
            </w:pPr>
            <w:r>
              <w:rPr>
                <w:rFonts w:eastAsia="宋体"/>
              </w:rPr>
              <w:t>企业名称</w:t>
            </w:r>
          </w:p>
        </w:tc>
        <w:tc>
          <w:tcPr>
            <w:tcW w:w="7229" w:type="dxa"/>
            <w:gridSpan w:val="8"/>
          </w:tcPr>
          <w:p w14:paraId="52AB96A2">
            <w:pPr>
              <w:tabs>
                <w:tab w:val="left" w:pos="993"/>
              </w:tabs>
              <w:spacing w:line="360" w:lineRule="auto"/>
              <w:rPr>
                <w:rFonts w:eastAsia="宋体"/>
              </w:rPr>
            </w:pPr>
          </w:p>
        </w:tc>
      </w:tr>
      <w:tr w14:paraId="2DF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B8A1615">
            <w:pPr>
              <w:tabs>
                <w:tab w:val="left" w:pos="993"/>
              </w:tabs>
              <w:spacing w:line="360" w:lineRule="auto"/>
              <w:jc w:val="center"/>
              <w:rPr>
                <w:rFonts w:eastAsia="宋体"/>
              </w:rPr>
            </w:pPr>
            <w:r>
              <w:rPr>
                <w:rFonts w:eastAsia="宋体"/>
              </w:rPr>
              <w:t>总部地址</w:t>
            </w:r>
          </w:p>
        </w:tc>
        <w:tc>
          <w:tcPr>
            <w:tcW w:w="7229" w:type="dxa"/>
            <w:gridSpan w:val="8"/>
          </w:tcPr>
          <w:p w14:paraId="7B7E0E2C">
            <w:pPr>
              <w:tabs>
                <w:tab w:val="left" w:pos="993"/>
              </w:tabs>
              <w:spacing w:line="360" w:lineRule="auto"/>
              <w:rPr>
                <w:rFonts w:eastAsia="宋体"/>
              </w:rPr>
            </w:pPr>
          </w:p>
        </w:tc>
      </w:tr>
      <w:tr w14:paraId="092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53C62587">
            <w:pPr>
              <w:tabs>
                <w:tab w:val="left" w:pos="993"/>
              </w:tabs>
              <w:spacing w:line="360" w:lineRule="auto"/>
              <w:jc w:val="center"/>
              <w:rPr>
                <w:rFonts w:eastAsia="宋体"/>
              </w:rPr>
            </w:pPr>
            <w:r>
              <w:rPr>
                <w:rFonts w:eastAsia="宋体"/>
              </w:rPr>
              <w:t>分支机构</w:t>
            </w:r>
          </w:p>
        </w:tc>
        <w:tc>
          <w:tcPr>
            <w:tcW w:w="7229" w:type="dxa"/>
            <w:gridSpan w:val="8"/>
          </w:tcPr>
          <w:p w14:paraId="739A7FCF">
            <w:pPr>
              <w:tabs>
                <w:tab w:val="left" w:pos="993"/>
              </w:tabs>
              <w:spacing w:line="360" w:lineRule="auto"/>
              <w:rPr>
                <w:rFonts w:eastAsia="宋体"/>
              </w:rPr>
            </w:pPr>
          </w:p>
        </w:tc>
      </w:tr>
      <w:tr w14:paraId="5FFB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18560441">
            <w:pPr>
              <w:tabs>
                <w:tab w:val="left" w:pos="993"/>
              </w:tabs>
              <w:spacing w:line="360" w:lineRule="auto"/>
              <w:jc w:val="center"/>
              <w:rPr>
                <w:rFonts w:eastAsia="宋体"/>
              </w:rPr>
            </w:pPr>
            <w:r>
              <w:rPr>
                <w:rFonts w:eastAsia="宋体"/>
              </w:rPr>
              <w:t>当地代表处地址</w:t>
            </w:r>
          </w:p>
        </w:tc>
        <w:tc>
          <w:tcPr>
            <w:tcW w:w="7229" w:type="dxa"/>
            <w:gridSpan w:val="8"/>
          </w:tcPr>
          <w:p w14:paraId="36EDE876">
            <w:pPr>
              <w:tabs>
                <w:tab w:val="left" w:pos="993"/>
              </w:tabs>
              <w:spacing w:line="360" w:lineRule="auto"/>
              <w:rPr>
                <w:rFonts w:eastAsia="宋体"/>
              </w:rPr>
            </w:pPr>
          </w:p>
        </w:tc>
      </w:tr>
      <w:tr w14:paraId="4EC9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5A490403">
            <w:pPr>
              <w:tabs>
                <w:tab w:val="left" w:pos="993"/>
              </w:tabs>
              <w:spacing w:line="360" w:lineRule="auto"/>
              <w:jc w:val="center"/>
              <w:rPr>
                <w:rFonts w:eastAsia="宋体"/>
              </w:rPr>
            </w:pPr>
            <w:r>
              <w:rPr>
                <w:rFonts w:eastAsia="宋体"/>
              </w:rPr>
              <w:t>电话</w:t>
            </w:r>
          </w:p>
        </w:tc>
        <w:tc>
          <w:tcPr>
            <w:tcW w:w="2408" w:type="dxa"/>
            <w:gridSpan w:val="3"/>
          </w:tcPr>
          <w:p w14:paraId="3E2BC62D">
            <w:pPr>
              <w:tabs>
                <w:tab w:val="left" w:pos="993"/>
              </w:tabs>
              <w:spacing w:line="360" w:lineRule="auto"/>
              <w:rPr>
                <w:rFonts w:eastAsia="宋体"/>
              </w:rPr>
            </w:pPr>
          </w:p>
        </w:tc>
        <w:tc>
          <w:tcPr>
            <w:tcW w:w="1875" w:type="dxa"/>
            <w:gridSpan w:val="2"/>
          </w:tcPr>
          <w:p w14:paraId="305E7315">
            <w:pPr>
              <w:tabs>
                <w:tab w:val="left" w:pos="993"/>
              </w:tabs>
              <w:spacing w:line="360" w:lineRule="auto"/>
              <w:rPr>
                <w:rFonts w:eastAsia="宋体"/>
              </w:rPr>
            </w:pPr>
            <w:r>
              <w:rPr>
                <w:rFonts w:eastAsia="宋体"/>
              </w:rPr>
              <w:t>联系人</w:t>
            </w:r>
          </w:p>
        </w:tc>
        <w:tc>
          <w:tcPr>
            <w:tcW w:w="2946" w:type="dxa"/>
            <w:gridSpan w:val="3"/>
          </w:tcPr>
          <w:p w14:paraId="3271B217">
            <w:pPr>
              <w:tabs>
                <w:tab w:val="left" w:pos="993"/>
              </w:tabs>
              <w:spacing w:line="360" w:lineRule="auto"/>
              <w:rPr>
                <w:rFonts w:eastAsia="宋体"/>
              </w:rPr>
            </w:pPr>
          </w:p>
        </w:tc>
      </w:tr>
      <w:tr w14:paraId="007C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316776D5">
            <w:pPr>
              <w:tabs>
                <w:tab w:val="left" w:pos="993"/>
              </w:tabs>
              <w:spacing w:line="360" w:lineRule="auto"/>
              <w:jc w:val="center"/>
              <w:rPr>
                <w:rFonts w:eastAsia="宋体"/>
              </w:rPr>
            </w:pPr>
            <w:r>
              <w:rPr>
                <w:rFonts w:eastAsia="宋体"/>
              </w:rPr>
              <w:t>传真</w:t>
            </w:r>
          </w:p>
        </w:tc>
        <w:tc>
          <w:tcPr>
            <w:tcW w:w="2408" w:type="dxa"/>
            <w:gridSpan w:val="3"/>
          </w:tcPr>
          <w:p w14:paraId="6946A4CA">
            <w:pPr>
              <w:tabs>
                <w:tab w:val="left" w:pos="993"/>
              </w:tabs>
              <w:spacing w:line="360" w:lineRule="auto"/>
              <w:rPr>
                <w:rFonts w:eastAsia="宋体"/>
              </w:rPr>
            </w:pPr>
          </w:p>
        </w:tc>
        <w:tc>
          <w:tcPr>
            <w:tcW w:w="1875" w:type="dxa"/>
            <w:gridSpan w:val="2"/>
          </w:tcPr>
          <w:p w14:paraId="562CCA4C">
            <w:pPr>
              <w:tabs>
                <w:tab w:val="left" w:pos="993"/>
              </w:tabs>
              <w:spacing w:line="360" w:lineRule="auto"/>
              <w:rPr>
                <w:rFonts w:eastAsia="宋体"/>
              </w:rPr>
            </w:pPr>
            <w:r>
              <w:rPr>
                <w:rFonts w:eastAsia="宋体"/>
              </w:rPr>
              <w:t>电子邮件</w:t>
            </w:r>
          </w:p>
        </w:tc>
        <w:tc>
          <w:tcPr>
            <w:tcW w:w="2946" w:type="dxa"/>
            <w:gridSpan w:val="3"/>
          </w:tcPr>
          <w:p w14:paraId="0F59BB8D">
            <w:pPr>
              <w:tabs>
                <w:tab w:val="left" w:pos="993"/>
              </w:tabs>
              <w:spacing w:line="360" w:lineRule="auto"/>
              <w:rPr>
                <w:rFonts w:eastAsia="宋体"/>
              </w:rPr>
            </w:pPr>
          </w:p>
        </w:tc>
      </w:tr>
      <w:tr w14:paraId="2B5A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14:paraId="4CDCC22A">
            <w:pPr>
              <w:tabs>
                <w:tab w:val="left" w:pos="993"/>
              </w:tabs>
              <w:spacing w:line="360" w:lineRule="auto"/>
              <w:jc w:val="center"/>
              <w:rPr>
                <w:rFonts w:eastAsia="宋体"/>
              </w:rPr>
            </w:pPr>
            <w:r>
              <w:rPr>
                <w:rFonts w:eastAsia="宋体"/>
              </w:rPr>
              <w:t>注册地</w:t>
            </w:r>
          </w:p>
        </w:tc>
        <w:tc>
          <w:tcPr>
            <w:tcW w:w="2408" w:type="dxa"/>
            <w:gridSpan w:val="3"/>
          </w:tcPr>
          <w:p w14:paraId="4C11ACE2">
            <w:pPr>
              <w:tabs>
                <w:tab w:val="left" w:pos="993"/>
              </w:tabs>
              <w:spacing w:line="360" w:lineRule="auto"/>
              <w:rPr>
                <w:rFonts w:eastAsia="宋体"/>
              </w:rPr>
            </w:pPr>
          </w:p>
        </w:tc>
        <w:tc>
          <w:tcPr>
            <w:tcW w:w="1875" w:type="dxa"/>
            <w:gridSpan w:val="2"/>
          </w:tcPr>
          <w:p w14:paraId="5D22476C">
            <w:pPr>
              <w:tabs>
                <w:tab w:val="left" w:pos="993"/>
              </w:tabs>
              <w:spacing w:line="360" w:lineRule="auto"/>
              <w:rPr>
                <w:rFonts w:eastAsia="宋体"/>
              </w:rPr>
            </w:pPr>
            <w:r>
              <w:rPr>
                <w:rFonts w:eastAsia="宋体"/>
              </w:rPr>
              <w:t>注册年份</w:t>
            </w:r>
          </w:p>
        </w:tc>
        <w:tc>
          <w:tcPr>
            <w:tcW w:w="2946" w:type="dxa"/>
            <w:gridSpan w:val="3"/>
          </w:tcPr>
          <w:p w14:paraId="071AD49A">
            <w:pPr>
              <w:tabs>
                <w:tab w:val="left" w:pos="993"/>
              </w:tabs>
              <w:spacing w:line="360" w:lineRule="auto"/>
              <w:rPr>
                <w:rFonts w:eastAsia="宋体"/>
              </w:rPr>
            </w:pPr>
          </w:p>
        </w:tc>
      </w:tr>
      <w:tr w14:paraId="17A6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5590FC07">
            <w:pPr>
              <w:tabs>
                <w:tab w:val="left" w:pos="993"/>
              </w:tabs>
              <w:spacing w:line="360" w:lineRule="auto"/>
              <w:jc w:val="center"/>
              <w:rPr>
                <w:rFonts w:eastAsia="宋体"/>
              </w:rPr>
            </w:pPr>
            <w:r>
              <w:rPr>
                <w:rFonts w:eastAsia="宋体"/>
              </w:rPr>
              <w:t>资质等级</w:t>
            </w:r>
          </w:p>
        </w:tc>
        <w:tc>
          <w:tcPr>
            <w:tcW w:w="7229" w:type="dxa"/>
            <w:gridSpan w:val="8"/>
          </w:tcPr>
          <w:p w14:paraId="36216964">
            <w:pPr>
              <w:tabs>
                <w:tab w:val="left" w:pos="993"/>
              </w:tabs>
              <w:spacing w:line="360" w:lineRule="auto"/>
              <w:rPr>
                <w:rFonts w:eastAsia="宋体"/>
              </w:rPr>
            </w:pPr>
            <w:r>
              <w:rPr>
                <w:rFonts w:eastAsia="宋体"/>
              </w:rPr>
              <w:t>公司具备的相关资质等级及相应的证书号</w:t>
            </w:r>
          </w:p>
          <w:p w14:paraId="3AD4FACB">
            <w:pPr>
              <w:tabs>
                <w:tab w:val="left" w:pos="993"/>
              </w:tabs>
              <w:spacing w:line="360" w:lineRule="auto"/>
              <w:rPr>
                <w:rFonts w:eastAsia="宋体"/>
              </w:rPr>
            </w:pPr>
            <w:r>
              <w:rPr>
                <w:rFonts w:eastAsia="宋体"/>
              </w:rPr>
              <w:t>（请附有关证书的复印件）</w:t>
            </w:r>
          </w:p>
        </w:tc>
      </w:tr>
      <w:tr w14:paraId="3AFF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59316F2E">
            <w:pPr>
              <w:tabs>
                <w:tab w:val="left" w:pos="993"/>
              </w:tabs>
              <w:spacing w:line="360" w:lineRule="auto"/>
              <w:jc w:val="center"/>
              <w:rPr>
                <w:rFonts w:eastAsia="宋体"/>
              </w:rPr>
            </w:pPr>
            <w:r>
              <w:rPr>
                <w:rFonts w:eastAsia="宋体"/>
              </w:rPr>
              <w:t>质量管理体系</w:t>
            </w:r>
          </w:p>
        </w:tc>
        <w:tc>
          <w:tcPr>
            <w:tcW w:w="7229" w:type="dxa"/>
            <w:gridSpan w:val="8"/>
          </w:tcPr>
          <w:p w14:paraId="58832A6D">
            <w:pPr>
              <w:tabs>
                <w:tab w:val="left" w:pos="993"/>
              </w:tabs>
              <w:spacing w:line="360" w:lineRule="auto"/>
              <w:rPr>
                <w:rFonts w:eastAsia="宋体"/>
              </w:rPr>
            </w:pPr>
            <w:r>
              <w:rPr>
                <w:rFonts w:eastAsia="宋体"/>
              </w:rPr>
              <w:t>公司</w:t>
            </w:r>
            <w:r>
              <w:rPr>
                <w:rFonts w:eastAsia="宋体"/>
                <w:u w:val="single"/>
              </w:rPr>
              <w:t xml:space="preserve">   （是否通过，何种）   </w:t>
            </w:r>
            <w:r>
              <w:rPr>
                <w:rFonts w:eastAsia="宋体"/>
              </w:rPr>
              <w:t>质量保证体系认证（如通过请附相关在有效期内的证书复印件）</w:t>
            </w:r>
          </w:p>
        </w:tc>
      </w:tr>
      <w:tr w14:paraId="74C6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7536C147">
            <w:pPr>
              <w:tabs>
                <w:tab w:val="left" w:pos="993"/>
              </w:tabs>
              <w:spacing w:line="360" w:lineRule="auto"/>
              <w:jc w:val="center"/>
              <w:rPr>
                <w:rFonts w:eastAsia="宋体"/>
              </w:rPr>
            </w:pPr>
            <w:r>
              <w:rPr>
                <w:rFonts w:eastAsia="宋体"/>
              </w:rPr>
              <w:t>项目负责人</w:t>
            </w:r>
          </w:p>
        </w:tc>
        <w:tc>
          <w:tcPr>
            <w:tcW w:w="1559" w:type="dxa"/>
            <w:gridSpan w:val="2"/>
          </w:tcPr>
          <w:p w14:paraId="50A1BEAC">
            <w:pPr>
              <w:tabs>
                <w:tab w:val="left" w:pos="993"/>
              </w:tabs>
              <w:spacing w:line="360" w:lineRule="auto"/>
              <w:jc w:val="center"/>
              <w:rPr>
                <w:rFonts w:eastAsia="宋体"/>
              </w:rPr>
            </w:pPr>
          </w:p>
        </w:tc>
        <w:tc>
          <w:tcPr>
            <w:tcW w:w="1417" w:type="dxa"/>
            <w:gridSpan w:val="2"/>
          </w:tcPr>
          <w:p w14:paraId="681CAC51">
            <w:pPr>
              <w:tabs>
                <w:tab w:val="left" w:pos="993"/>
              </w:tabs>
              <w:spacing w:line="360" w:lineRule="auto"/>
              <w:jc w:val="center"/>
              <w:rPr>
                <w:rFonts w:eastAsia="宋体"/>
              </w:rPr>
            </w:pPr>
            <w:r>
              <w:rPr>
                <w:rFonts w:eastAsia="宋体"/>
              </w:rPr>
              <w:t>年龄</w:t>
            </w:r>
          </w:p>
        </w:tc>
        <w:tc>
          <w:tcPr>
            <w:tcW w:w="1466" w:type="dxa"/>
            <w:gridSpan w:val="2"/>
          </w:tcPr>
          <w:p w14:paraId="2F0B857B">
            <w:pPr>
              <w:tabs>
                <w:tab w:val="left" w:pos="993"/>
              </w:tabs>
              <w:spacing w:line="360" w:lineRule="auto"/>
              <w:jc w:val="center"/>
              <w:rPr>
                <w:rFonts w:eastAsia="宋体"/>
              </w:rPr>
            </w:pPr>
          </w:p>
        </w:tc>
        <w:tc>
          <w:tcPr>
            <w:tcW w:w="1320" w:type="dxa"/>
          </w:tcPr>
          <w:p w14:paraId="680C824B">
            <w:pPr>
              <w:tabs>
                <w:tab w:val="left" w:pos="993"/>
              </w:tabs>
              <w:spacing w:line="360" w:lineRule="auto"/>
              <w:jc w:val="center"/>
              <w:rPr>
                <w:rFonts w:eastAsia="宋体"/>
              </w:rPr>
            </w:pPr>
            <w:r>
              <w:rPr>
                <w:rFonts w:eastAsia="宋体"/>
              </w:rPr>
              <w:t>性别</w:t>
            </w:r>
          </w:p>
        </w:tc>
        <w:tc>
          <w:tcPr>
            <w:tcW w:w="1467" w:type="dxa"/>
          </w:tcPr>
          <w:p w14:paraId="42EF6371">
            <w:pPr>
              <w:tabs>
                <w:tab w:val="left" w:pos="993"/>
              </w:tabs>
              <w:spacing w:line="360" w:lineRule="auto"/>
              <w:jc w:val="center"/>
              <w:rPr>
                <w:rFonts w:eastAsia="宋体"/>
              </w:rPr>
            </w:pPr>
          </w:p>
        </w:tc>
      </w:tr>
      <w:tr w14:paraId="20F6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14:paraId="0965CC5D">
            <w:pPr>
              <w:tabs>
                <w:tab w:val="left" w:pos="993"/>
              </w:tabs>
              <w:spacing w:line="360" w:lineRule="auto"/>
              <w:jc w:val="center"/>
              <w:rPr>
                <w:rFonts w:eastAsia="宋体"/>
              </w:rPr>
            </w:pPr>
            <w:r>
              <w:rPr>
                <w:rFonts w:eastAsia="宋体"/>
              </w:rPr>
              <w:t>职务职称</w:t>
            </w:r>
          </w:p>
        </w:tc>
        <w:tc>
          <w:tcPr>
            <w:tcW w:w="2976" w:type="dxa"/>
            <w:gridSpan w:val="4"/>
          </w:tcPr>
          <w:p w14:paraId="215DC2DC">
            <w:pPr>
              <w:tabs>
                <w:tab w:val="left" w:pos="993"/>
              </w:tabs>
              <w:spacing w:line="360" w:lineRule="auto"/>
              <w:rPr>
                <w:rFonts w:eastAsia="宋体"/>
              </w:rPr>
            </w:pPr>
          </w:p>
        </w:tc>
        <w:tc>
          <w:tcPr>
            <w:tcW w:w="1466" w:type="dxa"/>
            <w:gridSpan w:val="2"/>
          </w:tcPr>
          <w:p w14:paraId="250938CE">
            <w:pPr>
              <w:tabs>
                <w:tab w:val="left" w:pos="993"/>
              </w:tabs>
              <w:spacing w:line="360" w:lineRule="auto"/>
              <w:rPr>
                <w:rFonts w:eastAsia="宋体"/>
              </w:rPr>
            </w:pPr>
            <w:r>
              <w:rPr>
                <w:rFonts w:eastAsia="宋体"/>
              </w:rPr>
              <w:t>执业资格</w:t>
            </w:r>
          </w:p>
        </w:tc>
        <w:tc>
          <w:tcPr>
            <w:tcW w:w="2787" w:type="dxa"/>
            <w:gridSpan w:val="2"/>
          </w:tcPr>
          <w:p w14:paraId="6DD50A3B">
            <w:pPr>
              <w:tabs>
                <w:tab w:val="left" w:pos="993"/>
              </w:tabs>
              <w:spacing w:line="360" w:lineRule="auto"/>
              <w:rPr>
                <w:rFonts w:eastAsia="宋体"/>
              </w:rPr>
            </w:pPr>
          </w:p>
        </w:tc>
      </w:tr>
      <w:tr w14:paraId="570E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14:paraId="25D9CB1C">
            <w:pPr>
              <w:tabs>
                <w:tab w:val="left" w:pos="993"/>
              </w:tabs>
              <w:spacing w:line="360" w:lineRule="auto"/>
              <w:jc w:val="center"/>
              <w:rPr>
                <w:rFonts w:eastAsia="宋体"/>
              </w:rPr>
            </w:pPr>
            <w:r>
              <w:rPr>
                <w:rFonts w:eastAsia="宋体"/>
              </w:rPr>
              <w:t>经营范围</w:t>
            </w:r>
          </w:p>
        </w:tc>
        <w:tc>
          <w:tcPr>
            <w:tcW w:w="7229" w:type="dxa"/>
            <w:gridSpan w:val="8"/>
          </w:tcPr>
          <w:p w14:paraId="2F51C58B">
            <w:pPr>
              <w:tabs>
                <w:tab w:val="left" w:pos="993"/>
              </w:tabs>
              <w:spacing w:line="360" w:lineRule="auto"/>
              <w:rPr>
                <w:rFonts w:eastAsia="宋体"/>
              </w:rPr>
            </w:pPr>
            <w:r>
              <w:rPr>
                <w:rFonts w:eastAsia="宋体"/>
              </w:rPr>
              <w:t>营业执照载明：</w:t>
            </w:r>
          </w:p>
          <w:p w14:paraId="6F142D33">
            <w:pPr>
              <w:tabs>
                <w:tab w:val="left" w:pos="993"/>
              </w:tabs>
              <w:spacing w:line="360" w:lineRule="auto"/>
              <w:rPr>
                <w:rFonts w:eastAsia="宋体"/>
                <w:u w:val="single"/>
              </w:rPr>
            </w:pPr>
            <w:r>
              <w:rPr>
                <w:rFonts w:eastAsia="宋体"/>
              </w:rPr>
              <w:t>1.</w:t>
            </w:r>
            <w:r>
              <w:rPr>
                <w:rFonts w:eastAsia="宋体"/>
                <w:u w:val="single"/>
              </w:rPr>
              <w:t xml:space="preserve">                                               </w:t>
            </w:r>
          </w:p>
          <w:p w14:paraId="7416F735">
            <w:pPr>
              <w:tabs>
                <w:tab w:val="left" w:pos="993"/>
              </w:tabs>
              <w:spacing w:line="360" w:lineRule="auto"/>
              <w:rPr>
                <w:rFonts w:eastAsia="宋体"/>
                <w:u w:val="single"/>
              </w:rPr>
            </w:pPr>
            <w:r>
              <w:rPr>
                <w:rFonts w:eastAsia="宋体"/>
              </w:rPr>
              <w:t>2.</w:t>
            </w:r>
            <w:r>
              <w:rPr>
                <w:rFonts w:eastAsia="宋体"/>
                <w:u w:val="single"/>
              </w:rPr>
              <w:t xml:space="preserve">                                               </w:t>
            </w:r>
          </w:p>
          <w:p w14:paraId="3016ABDC">
            <w:pPr>
              <w:tabs>
                <w:tab w:val="left" w:pos="993"/>
              </w:tabs>
              <w:spacing w:line="360" w:lineRule="auto"/>
              <w:rPr>
                <w:rFonts w:eastAsia="宋体"/>
                <w:u w:val="single"/>
              </w:rPr>
            </w:pPr>
            <w:r>
              <w:rPr>
                <w:rFonts w:eastAsia="宋体"/>
              </w:rPr>
              <w:t>3.</w:t>
            </w:r>
            <w:r>
              <w:rPr>
                <w:rFonts w:eastAsia="宋体"/>
                <w:u w:val="single"/>
              </w:rPr>
              <w:t xml:space="preserve">                                               </w:t>
            </w:r>
          </w:p>
          <w:p w14:paraId="70CBD748">
            <w:pPr>
              <w:tabs>
                <w:tab w:val="left" w:pos="993"/>
              </w:tabs>
              <w:spacing w:line="360" w:lineRule="auto"/>
              <w:rPr>
                <w:rFonts w:eastAsia="宋体"/>
              </w:rPr>
            </w:pPr>
            <w:r>
              <w:rPr>
                <w:rFonts w:eastAsia="宋体"/>
              </w:rPr>
              <w:t>………………………</w:t>
            </w:r>
          </w:p>
        </w:tc>
      </w:tr>
      <w:tr w14:paraId="1581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71ACEA4D">
            <w:pPr>
              <w:tabs>
                <w:tab w:val="left" w:pos="993"/>
              </w:tabs>
              <w:spacing w:line="360" w:lineRule="auto"/>
              <w:rPr>
                <w:rFonts w:eastAsia="宋体"/>
              </w:rPr>
            </w:pPr>
            <w:r>
              <w:rPr>
                <w:rFonts w:eastAsia="宋体"/>
              </w:rPr>
              <w:t>从事类似相关项目的经历及年数</w:t>
            </w:r>
          </w:p>
        </w:tc>
        <w:tc>
          <w:tcPr>
            <w:tcW w:w="6521" w:type="dxa"/>
            <w:gridSpan w:val="7"/>
          </w:tcPr>
          <w:p w14:paraId="11A58236">
            <w:pPr>
              <w:tabs>
                <w:tab w:val="left" w:pos="993"/>
              </w:tabs>
              <w:spacing w:line="360" w:lineRule="auto"/>
              <w:rPr>
                <w:rFonts w:eastAsia="宋体"/>
              </w:rPr>
            </w:pPr>
          </w:p>
        </w:tc>
      </w:tr>
      <w:tr w14:paraId="0D0A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14:paraId="1550917E">
            <w:pPr>
              <w:tabs>
                <w:tab w:val="left" w:pos="993"/>
              </w:tabs>
              <w:spacing w:line="360" w:lineRule="auto"/>
              <w:rPr>
                <w:rFonts w:eastAsia="宋体"/>
              </w:rPr>
            </w:pPr>
            <w:r>
              <w:rPr>
                <w:rFonts w:eastAsia="宋体"/>
              </w:rPr>
              <w:t>其他认为有必要提供的内容，可自行添加</w:t>
            </w:r>
          </w:p>
        </w:tc>
        <w:tc>
          <w:tcPr>
            <w:tcW w:w="6521" w:type="dxa"/>
            <w:gridSpan w:val="7"/>
          </w:tcPr>
          <w:p w14:paraId="4EEA494B">
            <w:pPr>
              <w:tabs>
                <w:tab w:val="left" w:pos="993"/>
              </w:tabs>
              <w:spacing w:line="360" w:lineRule="auto"/>
              <w:rPr>
                <w:rFonts w:eastAsia="宋体"/>
              </w:rPr>
            </w:pPr>
          </w:p>
        </w:tc>
      </w:tr>
    </w:tbl>
    <w:p w14:paraId="6A46B2D8">
      <w:pPr>
        <w:snapToGrid w:val="0"/>
        <w:spacing w:line="360" w:lineRule="auto"/>
        <w:rPr>
          <w:rFonts w:eastAsia="宋体"/>
          <w:bCs/>
        </w:rPr>
      </w:pPr>
      <w:r>
        <w:rPr>
          <w:rFonts w:eastAsia="宋体"/>
        </w:rPr>
        <w:t>竞争性磋商响应单位</w:t>
      </w:r>
      <w:r>
        <w:rPr>
          <w:rFonts w:eastAsia="宋体"/>
          <w:bCs/>
        </w:rPr>
        <w:t xml:space="preserve">：（盖章）             </w:t>
      </w:r>
    </w:p>
    <w:p w14:paraId="3547F9E9">
      <w:pPr>
        <w:snapToGrid w:val="0"/>
        <w:spacing w:line="360" w:lineRule="auto"/>
        <w:rPr>
          <w:rFonts w:eastAsia="宋体"/>
          <w:bCs/>
        </w:rPr>
      </w:pPr>
      <w:r>
        <w:rPr>
          <w:rFonts w:eastAsia="宋体"/>
          <w:bCs/>
        </w:rPr>
        <w:t xml:space="preserve">法定代表人或被授权人（签字或盖章）：  </w:t>
      </w:r>
    </w:p>
    <w:p w14:paraId="254B39A3">
      <w:pPr>
        <w:snapToGrid w:val="0"/>
        <w:spacing w:line="360" w:lineRule="auto"/>
        <w:jc w:val="center"/>
        <w:outlineLvl w:val="3"/>
        <w:rPr>
          <w:rFonts w:eastAsia="宋体"/>
        </w:rPr>
      </w:pPr>
      <w:r>
        <w:rPr>
          <w:rFonts w:eastAsia="宋体"/>
        </w:rPr>
        <w:t xml:space="preserve"> 年      月     日 </w:t>
      </w:r>
    </w:p>
    <w:p w14:paraId="7F0EB574">
      <w:pPr>
        <w:spacing w:line="360" w:lineRule="auto"/>
        <w:ind w:firstLine="482" w:firstLineChars="200"/>
        <w:jc w:val="left"/>
        <w:rPr>
          <w:rFonts w:eastAsia="宋体"/>
          <w:b/>
          <w:sz w:val="32"/>
          <w:szCs w:val="32"/>
          <w:u w:val="single"/>
        </w:rPr>
      </w:pPr>
      <w:r>
        <w:rPr>
          <w:rFonts w:hint="eastAsia" w:ascii="宋体" w:hAnsi="宋体" w:eastAsia="宋体" w:cs="宋体"/>
          <w:b/>
          <w:sz w:val="24"/>
          <w:szCs w:val="24"/>
          <w:lang w:eastAsia="zh-CN"/>
        </w:rPr>
        <w:t>注：</w:t>
      </w:r>
      <w:r>
        <w:rPr>
          <w:rFonts w:hint="eastAsia" w:ascii="宋体" w:hAnsi="宋体" w:eastAsia="宋体" w:cs="宋体"/>
          <w:b/>
          <w:sz w:val="24"/>
          <w:szCs w:val="24"/>
        </w:rPr>
        <w:t>如为联合体</w:t>
      </w:r>
      <w:r>
        <w:rPr>
          <w:rFonts w:hint="eastAsia" w:ascii="宋体" w:hAnsi="宋体" w:eastAsia="宋体" w:cs="宋体"/>
          <w:b/>
          <w:sz w:val="24"/>
          <w:szCs w:val="24"/>
          <w:lang w:eastAsia="zh-CN"/>
        </w:rPr>
        <w:t>参与磋商</w:t>
      </w:r>
      <w:r>
        <w:rPr>
          <w:rFonts w:hint="eastAsia" w:ascii="宋体" w:hAnsi="宋体" w:eastAsia="宋体" w:cs="宋体"/>
          <w:b/>
          <w:sz w:val="24"/>
          <w:szCs w:val="24"/>
        </w:rPr>
        <w:t>，则此</w:t>
      </w:r>
      <w:r>
        <w:rPr>
          <w:rFonts w:hint="eastAsia" w:ascii="宋体" w:hAnsi="宋体" w:eastAsia="宋体" w:cs="宋体"/>
          <w:b/>
          <w:sz w:val="24"/>
          <w:szCs w:val="24"/>
          <w:lang w:eastAsia="zh-CN"/>
        </w:rPr>
        <w:t>表格</w:t>
      </w:r>
      <w:r>
        <w:rPr>
          <w:rFonts w:hint="eastAsia" w:ascii="宋体" w:hAnsi="宋体" w:eastAsia="宋体" w:cs="宋体"/>
          <w:b/>
          <w:sz w:val="24"/>
          <w:szCs w:val="24"/>
        </w:rPr>
        <w:t>由联合体</w:t>
      </w:r>
      <w:r>
        <w:rPr>
          <w:rFonts w:hint="eastAsia" w:ascii="宋体" w:hAnsi="宋体" w:eastAsia="宋体" w:cs="宋体"/>
          <w:b/>
          <w:sz w:val="24"/>
          <w:szCs w:val="24"/>
          <w:lang w:eastAsia="zh-CN"/>
        </w:rPr>
        <w:t>双方成员分别</w:t>
      </w:r>
      <w:r>
        <w:rPr>
          <w:rFonts w:hint="eastAsia" w:ascii="宋体" w:hAnsi="宋体" w:eastAsia="宋体" w:cs="宋体"/>
          <w:b/>
          <w:sz w:val="24"/>
          <w:szCs w:val="24"/>
        </w:rPr>
        <w:t>提供。</w:t>
      </w:r>
    </w:p>
    <w:p w14:paraId="53660F03">
      <w:pPr>
        <w:snapToGrid w:val="0"/>
        <w:spacing w:line="360" w:lineRule="auto"/>
        <w:ind w:firstLine="661" w:firstLineChars="235"/>
        <w:jc w:val="center"/>
        <w:outlineLvl w:val="3"/>
        <w:rPr>
          <w:rFonts w:eastAsia="宋体"/>
          <w:b/>
          <w:bCs/>
          <w:sz w:val="28"/>
          <w:szCs w:val="28"/>
        </w:rPr>
      </w:pPr>
      <w:r>
        <w:rPr>
          <w:rFonts w:eastAsia="宋体"/>
          <w:b/>
          <w:bCs/>
          <w:sz w:val="28"/>
          <w:szCs w:val="28"/>
        </w:rPr>
        <w:br w:type="page"/>
      </w:r>
      <w:r>
        <w:rPr>
          <w:rFonts w:hint="eastAsia" w:eastAsia="宋体"/>
          <w:b/>
          <w:bCs/>
          <w:sz w:val="28"/>
          <w:szCs w:val="28"/>
          <w:lang w:val="en-US" w:eastAsia="zh-CN"/>
        </w:rPr>
        <w:t>9</w:t>
      </w:r>
      <w:r>
        <w:rPr>
          <w:rFonts w:eastAsia="宋体"/>
          <w:b/>
          <w:bCs/>
          <w:sz w:val="28"/>
          <w:szCs w:val="28"/>
        </w:rPr>
        <w:t>、磋商响应报价总表（首次）</w:t>
      </w:r>
    </w:p>
    <w:tbl>
      <w:tblPr>
        <w:tblStyle w:val="50"/>
        <w:tblW w:w="91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7371"/>
      </w:tblGrid>
      <w:tr w14:paraId="414B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07" w:type="dxa"/>
            <w:vAlign w:val="center"/>
          </w:tcPr>
          <w:p w14:paraId="0D5ADB6E">
            <w:pPr>
              <w:jc w:val="center"/>
              <w:rPr>
                <w:rFonts w:eastAsia="宋体"/>
                <w:b/>
                <w:bCs/>
              </w:rPr>
            </w:pPr>
            <w:r>
              <w:rPr>
                <w:rFonts w:eastAsia="宋体"/>
                <w:b/>
                <w:bCs/>
              </w:rPr>
              <w:t>项目名称</w:t>
            </w:r>
          </w:p>
        </w:tc>
        <w:tc>
          <w:tcPr>
            <w:tcW w:w="7371" w:type="dxa"/>
            <w:vAlign w:val="center"/>
          </w:tcPr>
          <w:p w14:paraId="71A0CFAB">
            <w:pPr>
              <w:rPr>
                <w:rFonts w:eastAsia="宋体"/>
              </w:rPr>
            </w:pPr>
            <w:r>
              <w:rPr>
                <w:rFonts w:eastAsia="宋体"/>
              </w:rPr>
              <w:t>南通市河长制信息化管理系统建设项目</w:t>
            </w:r>
          </w:p>
        </w:tc>
      </w:tr>
      <w:tr w14:paraId="0706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7" w:type="dxa"/>
            <w:vAlign w:val="center"/>
          </w:tcPr>
          <w:p w14:paraId="1275E5AB">
            <w:pPr>
              <w:jc w:val="center"/>
              <w:rPr>
                <w:rFonts w:eastAsia="宋体"/>
                <w:b/>
                <w:bCs/>
              </w:rPr>
            </w:pPr>
            <w:r>
              <w:rPr>
                <w:rFonts w:eastAsia="宋体"/>
                <w:b/>
                <w:bCs/>
              </w:rPr>
              <w:t>投标总价</w:t>
            </w:r>
            <w:r>
              <w:rPr>
                <w:rFonts w:hint="eastAsia" w:eastAsia="宋体"/>
                <w:b/>
                <w:bCs/>
              </w:rPr>
              <w:t>（元）</w:t>
            </w:r>
          </w:p>
        </w:tc>
        <w:tc>
          <w:tcPr>
            <w:tcW w:w="7371" w:type="dxa"/>
            <w:vAlign w:val="center"/>
          </w:tcPr>
          <w:p w14:paraId="4FF8826C">
            <w:pPr>
              <w:rPr>
                <w:rFonts w:eastAsia="宋体"/>
              </w:rPr>
            </w:pPr>
            <w:r>
              <w:rPr>
                <w:rFonts w:eastAsia="宋体"/>
              </w:rPr>
              <w:t>人民币大写：</w:t>
            </w:r>
          </w:p>
          <w:p w14:paraId="0BB05702">
            <w:pPr>
              <w:rPr>
                <w:rFonts w:eastAsia="宋体"/>
              </w:rPr>
            </w:pPr>
            <w:r>
              <w:rPr>
                <w:rFonts w:eastAsia="宋体"/>
              </w:rPr>
              <w:t>人民币小写：¥</w:t>
            </w:r>
          </w:p>
        </w:tc>
      </w:tr>
      <w:tr w14:paraId="2D37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7" w:type="dxa"/>
            <w:tcBorders>
              <w:bottom w:val="double" w:color="auto" w:sz="4" w:space="0"/>
            </w:tcBorders>
            <w:vAlign w:val="center"/>
          </w:tcPr>
          <w:p w14:paraId="241544B6">
            <w:pPr>
              <w:jc w:val="center"/>
              <w:rPr>
                <w:rFonts w:eastAsia="宋体"/>
                <w:b/>
                <w:bCs/>
              </w:rPr>
            </w:pPr>
            <w:r>
              <w:rPr>
                <w:rFonts w:eastAsia="宋体"/>
                <w:b/>
                <w:bCs/>
              </w:rPr>
              <w:t>付款条件</w:t>
            </w:r>
          </w:p>
        </w:tc>
        <w:tc>
          <w:tcPr>
            <w:tcW w:w="7371" w:type="dxa"/>
            <w:tcBorders>
              <w:bottom w:val="double" w:color="auto" w:sz="4" w:space="0"/>
            </w:tcBorders>
            <w:vAlign w:val="center"/>
          </w:tcPr>
          <w:p w14:paraId="5EF9B8E8">
            <w:pPr>
              <w:rPr>
                <w:rFonts w:eastAsia="宋体"/>
              </w:rPr>
            </w:pPr>
            <w:r>
              <w:rPr>
                <w:rFonts w:eastAsia="宋体"/>
              </w:rPr>
              <w:t>完全接受并响应本项目磋商文件的要求。</w:t>
            </w:r>
          </w:p>
        </w:tc>
      </w:tr>
    </w:tbl>
    <w:p w14:paraId="44F786B5">
      <w:pPr>
        <w:kinsoku w:val="0"/>
        <w:topLinePunct/>
        <w:snapToGrid w:val="0"/>
        <w:spacing w:line="360" w:lineRule="auto"/>
        <w:rPr>
          <w:rFonts w:eastAsia="宋体"/>
        </w:rPr>
      </w:pPr>
    </w:p>
    <w:p w14:paraId="66F7AE2F">
      <w:pPr>
        <w:kinsoku w:val="0"/>
        <w:topLinePunct/>
        <w:snapToGrid w:val="0"/>
        <w:spacing w:line="360" w:lineRule="auto"/>
        <w:rPr>
          <w:rFonts w:eastAsia="宋体"/>
        </w:rPr>
      </w:pPr>
      <w:r>
        <w:rPr>
          <w:rFonts w:eastAsia="宋体"/>
        </w:rPr>
        <w:t>供应商：（盖章）</w:t>
      </w:r>
    </w:p>
    <w:p w14:paraId="46E23883">
      <w:pPr>
        <w:kinsoku w:val="0"/>
        <w:topLinePunct/>
        <w:snapToGrid w:val="0"/>
        <w:spacing w:line="360" w:lineRule="auto"/>
        <w:rPr>
          <w:rFonts w:eastAsia="宋体"/>
        </w:rPr>
      </w:pPr>
      <w:r>
        <w:rPr>
          <w:rFonts w:eastAsia="宋体"/>
        </w:rPr>
        <w:t>法定代表人或被委托授权人（签字）：</w:t>
      </w:r>
    </w:p>
    <w:p w14:paraId="6F9EC198">
      <w:pPr>
        <w:kinsoku w:val="0"/>
        <w:topLinePunct/>
        <w:snapToGrid w:val="0"/>
        <w:spacing w:line="360" w:lineRule="auto"/>
        <w:rPr>
          <w:rFonts w:eastAsia="宋体"/>
        </w:rPr>
      </w:pPr>
      <w:r>
        <w:rPr>
          <w:rFonts w:eastAsia="宋体"/>
        </w:rPr>
        <w:t>日期：</w:t>
      </w:r>
    </w:p>
    <w:p w14:paraId="3875D36A">
      <w:pPr>
        <w:kinsoku w:val="0"/>
        <w:topLinePunct/>
        <w:snapToGrid w:val="0"/>
        <w:spacing w:line="360" w:lineRule="auto"/>
        <w:rPr>
          <w:rFonts w:eastAsia="宋体"/>
        </w:rPr>
      </w:pPr>
    </w:p>
    <w:p w14:paraId="1B3C5244">
      <w:pPr>
        <w:spacing w:line="360" w:lineRule="auto"/>
        <w:ind w:firstLine="472" w:firstLineChars="196"/>
        <w:rPr>
          <w:rFonts w:eastAsia="宋体"/>
          <w:b/>
        </w:rPr>
      </w:pPr>
      <w:r>
        <w:rPr>
          <w:rFonts w:eastAsia="宋体"/>
          <w:b/>
        </w:rPr>
        <w:t>注：1、最终报价将在开标现场填写，响应文件密封提交时只需填写磋商响应报价总表（首次）的报价。</w:t>
      </w:r>
    </w:p>
    <w:p w14:paraId="742CBC7D">
      <w:pPr>
        <w:spacing w:line="360" w:lineRule="auto"/>
        <w:ind w:firstLine="482" w:firstLineChars="200"/>
        <w:rPr>
          <w:rFonts w:eastAsia="宋体"/>
          <w:b/>
        </w:rPr>
      </w:pPr>
      <w:r>
        <w:rPr>
          <w:rFonts w:eastAsia="宋体"/>
          <w:b/>
        </w:rPr>
        <w:t>2、本表式，不得自行改动。</w:t>
      </w:r>
    </w:p>
    <w:p w14:paraId="7347F3AE">
      <w:pPr>
        <w:snapToGrid w:val="0"/>
        <w:spacing w:before="326" w:beforeLines="100" w:after="326" w:afterLines="100" w:line="420" w:lineRule="exact"/>
        <w:jc w:val="center"/>
        <w:rPr>
          <w:rFonts w:eastAsia="宋体" w:cs="宋体"/>
          <w:b/>
          <w:bCs/>
          <w:sz w:val="28"/>
          <w:szCs w:val="28"/>
        </w:rPr>
      </w:pPr>
      <w:r>
        <w:br w:type="page"/>
      </w:r>
      <w:r>
        <w:rPr>
          <w:rFonts w:hint="eastAsia" w:eastAsia="宋体" w:cs="宋体"/>
          <w:b/>
          <w:bCs/>
          <w:sz w:val="28"/>
          <w:szCs w:val="28"/>
          <w:lang w:val="en-US" w:eastAsia="zh-CN"/>
        </w:rPr>
        <w:t>10</w:t>
      </w:r>
      <w:r>
        <w:rPr>
          <w:rFonts w:hint="eastAsia" w:eastAsia="宋体" w:cs="宋体"/>
          <w:b/>
          <w:bCs/>
          <w:sz w:val="28"/>
          <w:szCs w:val="28"/>
        </w:rPr>
        <w:t>、磋商响应报价明细表</w:t>
      </w:r>
    </w:p>
    <w:p w14:paraId="2A5C462F">
      <w:pPr>
        <w:snapToGrid w:val="0"/>
        <w:spacing w:line="420" w:lineRule="exact"/>
        <w:jc w:val="left"/>
        <w:rPr>
          <w:rFonts w:eastAsia="宋体"/>
        </w:rPr>
      </w:pPr>
      <w:r>
        <w:rPr>
          <w:rFonts w:hint="eastAsia" w:eastAsia="宋体" w:cs="宋体"/>
        </w:rPr>
        <w:t>项目名称：</w:t>
      </w:r>
      <w:r>
        <w:rPr>
          <w:rFonts w:eastAsia="宋体"/>
        </w:rPr>
        <w:t xml:space="preserve"> </w:t>
      </w:r>
    </w:p>
    <w:p w14:paraId="30FD492C">
      <w:pPr>
        <w:snapToGrid w:val="0"/>
        <w:spacing w:line="420" w:lineRule="exact"/>
        <w:jc w:val="left"/>
        <w:rPr>
          <w:rFonts w:eastAsia="宋体"/>
        </w:rPr>
      </w:pPr>
      <w:r>
        <w:rPr>
          <w:rFonts w:hint="eastAsia" w:eastAsia="宋体" w:cs="宋体"/>
        </w:rPr>
        <w:t>项目编号：</w:t>
      </w:r>
      <w:r>
        <w:rPr>
          <w:rFonts w:eastAsia="宋体"/>
        </w:rPr>
        <w:t xml:space="preserve"> </w:t>
      </w:r>
    </w:p>
    <w:tbl>
      <w:tblPr>
        <w:tblStyle w:val="50"/>
        <w:tblW w:w="9747"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4253"/>
        <w:gridCol w:w="992"/>
        <w:gridCol w:w="2126"/>
        <w:gridCol w:w="1559"/>
      </w:tblGrid>
      <w:tr w14:paraId="5642F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7FECFD7D">
            <w:pPr>
              <w:spacing w:line="420" w:lineRule="exact"/>
              <w:jc w:val="center"/>
              <w:rPr>
                <w:rFonts w:eastAsia="宋体"/>
              </w:rPr>
            </w:pPr>
            <w:r>
              <w:rPr>
                <w:rFonts w:hint="eastAsia" w:eastAsia="宋体" w:cs="宋体"/>
              </w:rPr>
              <w:t>序号</w:t>
            </w:r>
          </w:p>
        </w:tc>
        <w:tc>
          <w:tcPr>
            <w:tcW w:w="4253" w:type="dxa"/>
            <w:tcBorders>
              <w:top w:val="single" w:color="auto" w:sz="4" w:space="0"/>
              <w:left w:val="single" w:color="auto" w:sz="4" w:space="0"/>
              <w:bottom w:val="single" w:color="auto" w:sz="4" w:space="0"/>
              <w:right w:val="single" w:color="auto" w:sz="4" w:space="0"/>
            </w:tcBorders>
            <w:vAlign w:val="center"/>
          </w:tcPr>
          <w:p w14:paraId="41C5A2D0">
            <w:pPr>
              <w:spacing w:line="420" w:lineRule="exact"/>
              <w:jc w:val="center"/>
              <w:rPr>
                <w:rFonts w:eastAsia="宋体"/>
              </w:rPr>
            </w:pPr>
            <w:r>
              <w:rPr>
                <w:rFonts w:hint="eastAsia" w:eastAsia="宋体" w:cs="宋体"/>
              </w:rPr>
              <w:t>服务项目明细内容</w:t>
            </w:r>
          </w:p>
        </w:tc>
        <w:tc>
          <w:tcPr>
            <w:tcW w:w="992" w:type="dxa"/>
            <w:tcBorders>
              <w:top w:val="single" w:color="auto" w:sz="4" w:space="0"/>
              <w:left w:val="single" w:color="auto" w:sz="4" w:space="0"/>
              <w:bottom w:val="single" w:color="auto" w:sz="4" w:space="0"/>
              <w:right w:val="single" w:color="auto" w:sz="4" w:space="0"/>
            </w:tcBorders>
            <w:vAlign w:val="center"/>
          </w:tcPr>
          <w:p w14:paraId="5603EFE2">
            <w:pPr>
              <w:spacing w:line="420" w:lineRule="exact"/>
              <w:jc w:val="center"/>
              <w:rPr>
                <w:rFonts w:eastAsia="宋体"/>
              </w:rPr>
            </w:pPr>
            <w:r>
              <w:rPr>
                <w:rFonts w:hint="eastAsia" w:eastAsia="宋体" w:cs="宋体"/>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7016A7A3">
            <w:pPr>
              <w:spacing w:line="420" w:lineRule="exact"/>
              <w:jc w:val="center"/>
              <w:rPr>
                <w:rFonts w:eastAsia="宋体"/>
              </w:rPr>
            </w:pPr>
            <w:r>
              <w:rPr>
                <w:rFonts w:hint="eastAsia" w:eastAsia="宋体" w:cs="宋体"/>
              </w:rPr>
              <w:t>单项综合单价</w:t>
            </w:r>
          </w:p>
        </w:tc>
        <w:tc>
          <w:tcPr>
            <w:tcW w:w="1559" w:type="dxa"/>
            <w:tcBorders>
              <w:top w:val="single" w:color="auto" w:sz="4" w:space="0"/>
              <w:left w:val="single" w:color="auto" w:sz="4" w:space="0"/>
              <w:bottom w:val="single" w:color="auto" w:sz="4" w:space="0"/>
              <w:right w:val="single" w:color="auto" w:sz="4" w:space="0"/>
            </w:tcBorders>
            <w:vAlign w:val="center"/>
          </w:tcPr>
          <w:p w14:paraId="3029FFB1">
            <w:pPr>
              <w:spacing w:line="420" w:lineRule="exact"/>
              <w:jc w:val="center"/>
              <w:rPr>
                <w:rFonts w:eastAsia="宋体"/>
              </w:rPr>
            </w:pPr>
            <w:r>
              <w:rPr>
                <w:rFonts w:hint="eastAsia" w:eastAsia="宋体" w:cs="宋体"/>
              </w:rPr>
              <w:t>总价</w:t>
            </w:r>
          </w:p>
        </w:tc>
      </w:tr>
      <w:tr w14:paraId="38D9D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62FC17D6">
            <w:pPr>
              <w:spacing w:line="420" w:lineRule="exact"/>
              <w:jc w:val="center"/>
              <w:rPr>
                <w:rFonts w:eastAsia="宋体"/>
              </w:rPr>
            </w:pPr>
            <w:r>
              <w:rPr>
                <w:rFonts w:eastAsia="宋体"/>
              </w:rPr>
              <w:t>1</w:t>
            </w:r>
          </w:p>
        </w:tc>
        <w:tc>
          <w:tcPr>
            <w:tcW w:w="4253" w:type="dxa"/>
            <w:tcBorders>
              <w:top w:val="single" w:color="auto" w:sz="4" w:space="0"/>
              <w:left w:val="single" w:color="auto" w:sz="4" w:space="0"/>
              <w:bottom w:val="single" w:color="auto" w:sz="4" w:space="0"/>
              <w:right w:val="single" w:color="auto" w:sz="4" w:space="0"/>
            </w:tcBorders>
            <w:vAlign w:val="center"/>
          </w:tcPr>
          <w:p w14:paraId="7C2B54AA">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255BFB7D">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54CBBC75">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2709AA60">
            <w:pPr>
              <w:spacing w:line="420" w:lineRule="exact"/>
              <w:jc w:val="right"/>
              <w:rPr>
                <w:rFonts w:eastAsia="宋体"/>
              </w:rPr>
            </w:pPr>
          </w:p>
        </w:tc>
      </w:tr>
      <w:tr w14:paraId="4449D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19397BC4">
            <w:pPr>
              <w:spacing w:line="420" w:lineRule="exact"/>
              <w:jc w:val="center"/>
              <w:rPr>
                <w:rFonts w:eastAsia="宋体"/>
              </w:rPr>
            </w:pPr>
            <w:r>
              <w:rPr>
                <w:rFonts w:eastAsia="宋体"/>
              </w:rPr>
              <w:t>2</w:t>
            </w:r>
          </w:p>
        </w:tc>
        <w:tc>
          <w:tcPr>
            <w:tcW w:w="4253" w:type="dxa"/>
            <w:tcBorders>
              <w:top w:val="single" w:color="auto" w:sz="4" w:space="0"/>
              <w:left w:val="single" w:color="auto" w:sz="4" w:space="0"/>
              <w:bottom w:val="single" w:color="auto" w:sz="4" w:space="0"/>
              <w:right w:val="single" w:color="auto" w:sz="4" w:space="0"/>
            </w:tcBorders>
            <w:vAlign w:val="center"/>
          </w:tcPr>
          <w:p w14:paraId="4D4DC892">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3C1475FC">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77FF226E">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11D8C6A8">
            <w:pPr>
              <w:spacing w:line="420" w:lineRule="exact"/>
              <w:jc w:val="right"/>
              <w:rPr>
                <w:rFonts w:eastAsia="宋体"/>
              </w:rPr>
            </w:pPr>
          </w:p>
        </w:tc>
      </w:tr>
      <w:tr w14:paraId="5823E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5F98167B">
            <w:pPr>
              <w:spacing w:line="420" w:lineRule="exact"/>
              <w:jc w:val="center"/>
              <w:rPr>
                <w:rFonts w:eastAsia="宋体"/>
              </w:rPr>
            </w:pPr>
            <w:r>
              <w:rPr>
                <w:rFonts w:eastAsia="宋体"/>
              </w:rPr>
              <w:t>3</w:t>
            </w:r>
          </w:p>
        </w:tc>
        <w:tc>
          <w:tcPr>
            <w:tcW w:w="4253" w:type="dxa"/>
            <w:tcBorders>
              <w:top w:val="single" w:color="auto" w:sz="4" w:space="0"/>
              <w:left w:val="single" w:color="auto" w:sz="4" w:space="0"/>
              <w:bottom w:val="single" w:color="auto" w:sz="4" w:space="0"/>
              <w:right w:val="single" w:color="auto" w:sz="4" w:space="0"/>
            </w:tcBorders>
            <w:vAlign w:val="center"/>
          </w:tcPr>
          <w:p w14:paraId="68A36072">
            <w:pPr>
              <w:spacing w:line="420" w:lineRule="exact"/>
              <w:jc w:val="left"/>
              <w:rPr>
                <w:rFonts w:eastAsia="宋体"/>
              </w:rPr>
            </w:pPr>
          </w:p>
        </w:tc>
        <w:tc>
          <w:tcPr>
            <w:tcW w:w="992" w:type="dxa"/>
            <w:tcBorders>
              <w:top w:val="single" w:color="auto" w:sz="4" w:space="0"/>
              <w:left w:val="single" w:color="auto" w:sz="4" w:space="0"/>
              <w:bottom w:val="single" w:color="auto" w:sz="4" w:space="0"/>
              <w:right w:val="single" w:color="auto" w:sz="4" w:space="0"/>
            </w:tcBorders>
            <w:vAlign w:val="center"/>
          </w:tcPr>
          <w:p w14:paraId="5EB7E79A">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503CF841">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4E0CB260">
            <w:pPr>
              <w:spacing w:line="420" w:lineRule="exact"/>
              <w:jc w:val="right"/>
              <w:rPr>
                <w:rFonts w:eastAsia="宋体"/>
              </w:rPr>
            </w:pPr>
          </w:p>
        </w:tc>
      </w:tr>
      <w:tr w14:paraId="6BD4C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739914AF">
            <w:pPr>
              <w:spacing w:line="420" w:lineRule="exact"/>
              <w:jc w:val="center"/>
              <w:rPr>
                <w:rFonts w:eastAsia="宋体"/>
              </w:rPr>
            </w:pPr>
            <w:r>
              <w:rPr>
                <w:rFonts w:eastAsia="宋体"/>
              </w:rPr>
              <w:t>……</w:t>
            </w:r>
          </w:p>
        </w:tc>
        <w:tc>
          <w:tcPr>
            <w:tcW w:w="4253" w:type="dxa"/>
            <w:tcBorders>
              <w:top w:val="single" w:color="auto" w:sz="4" w:space="0"/>
              <w:left w:val="single" w:color="auto" w:sz="4" w:space="0"/>
              <w:bottom w:val="single" w:color="auto" w:sz="4" w:space="0"/>
              <w:right w:val="single" w:color="auto" w:sz="4" w:space="0"/>
            </w:tcBorders>
            <w:vAlign w:val="center"/>
          </w:tcPr>
          <w:p w14:paraId="52BB80C6">
            <w:pPr>
              <w:spacing w:line="420" w:lineRule="exact"/>
              <w:jc w:val="left"/>
              <w:rPr>
                <w:rFonts w:eastAsia="宋体"/>
              </w:rPr>
            </w:pPr>
            <w:r>
              <w:rPr>
                <w:rFonts w:eastAsia="宋体"/>
              </w:rPr>
              <w:t>……</w:t>
            </w:r>
          </w:p>
        </w:tc>
        <w:tc>
          <w:tcPr>
            <w:tcW w:w="992" w:type="dxa"/>
            <w:tcBorders>
              <w:top w:val="single" w:color="auto" w:sz="4" w:space="0"/>
              <w:left w:val="single" w:color="auto" w:sz="4" w:space="0"/>
              <w:bottom w:val="single" w:color="auto" w:sz="4" w:space="0"/>
              <w:right w:val="single" w:color="auto" w:sz="4" w:space="0"/>
            </w:tcBorders>
            <w:vAlign w:val="center"/>
          </w:tcPr>
          <w:p w14:paraId="7E4807DD">
            <w:pPr>
              <w:spacing w:line="420" w:lineRule="exact"/>
              <w:jc w:val="center"/>
              <w:rPr>
                <w:rFonts w:eastAsia="宋体"/>
              </w:rPr>
            </w:pPr>
          </w:p>
        </w:tc>
        <w:tc>
          <w:tcPr>
            <w:tcW w:w="2126" w:type="dxa"/>
            <w:tcBorders>
              <w:top w:val="single" w:color="auto" w:sz="4" w:space="0"/>
              <w:left w:val="single" w:color="auto" w:sz="4" w:space="0"/>
              <w:bottom w:val="single" w:color="auto" w:sz="4" w:space="0"/>
              <w:right w:val="single" w:color="auto" w:sz="4" w:space="0"/>
            </w:tcBorders>
            <w:vAlign w:val="center"/>
          </w:tcPr>
          <w:p w14:paraId="2C62A49E">
            <w:pPr>
              <w:spacing w:line="420" w:lineRule="exact"/>
              <w:jc w:val="right"/>
              <w:rPr>
                <w:rFonts w:eastAsia="宋体"/>
              </w:rPr>
            </w:pPr>
          </w:p>
        </w:tc>
        <w:tc>
          <w:tcPr>
            <w:tcW w:w="1559" w:type="dxa"/>
            <w:tcBorders>
              <w:top w:val="single" w:color="auto" w:sz="4" w:space="0"/>
              <w:left w:val="single" w:color="auto" w:sz="4" w:space="0"/>
              <w:bottom w:val="single" w:color="auto" w:sz="4" w:space="0"/>
              <w:right w:val="single" w:color="auto" w:sz="4" w:space="0"/>
            </w:tcBorders>
            <w:vAlign w:val="center"/>
          </w:tcPr>
          <w:p w14:paraId="5F521AA3">
            <w:pPr>
              <w:spacing w:line="420" w:lineRule="exact"/>
              <w:jc w:val="right"/>
              <w:rPr>
                <w:rFonts w:eastAsia="宋体"/>
              </w:rPr>
            </w:pPr>
          </w:p>
        </w:tc>
      </w:tr>
      <w:tr w14:paraId="13EA4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vAlign w:val="center"/>
          </w:tcPr>
          <w:p w14:paraId="5CB7A9A4">
            <w:pPr>
              <w:spacing w:line="420" w:lineRule="exact"/>
              <w:jc w:val="center"/>
              <w:rPr>
                <w:rFonts w:eastAsia="宋体"/>
              </w:rPr>
            </w:pPr>
            <w:r>
              <w:rPr>
                <w:rFonts w:hint="eastAsia" w:eastAsia="宋体" w:cs="宋体"/>
              </w:rPr>
              <w:t>合计</w:t>
            </w:r>
          </w:p>
        </w:tc>
        <w:tc>
          <w:tcPr>
            <w:tcW w:w="7371" w:type="dxa"/>
            <w:gridSpan w:val="3"/>
            <w:tcBorders>
              <w:top w:val="single" w:color="auto" w:sz="4" w:space="0"/>
              <w:left w:val="single" w:color="auto" w:sz="4" w:space="0"/>
              <w:bottom w:val="single" w:color="auto" w:sz="4" w:space="0"/>
              <w:right w:val="single" w:color="auto" w:sz="4" w:space="0"/>
            </w:tcBorders>
            <w:vAlign w:val="center"/>
          </w:tcPr>
          <w:p w14:paraId="0CF3EA3F">
            <w:pPr>
              <w:spacing w:line="420" w:lineRule="exact"/>
              <w:jc w:val="left"/>
              <w:rPr>
                <w:rFonts w:eastAsia="宋体"/>
              </w:rPr>
            </w:pPr>
            <w:r>
              <w:rPr>
                <w:rFonts w:hint="eastAsia" w:eastAsia="宋体" w:cs="宋体"/>
              </w:rPr>
              <w:t>人民币大写：</w:t>
            </w:r>
          </w:p>
        </w:tc>
        <w:tc>
          <w:tcPr>
            <w:tcW w:w="1559" w:type="dxa"/>
            <w:tcBorders>
              <w:top w:val="single" w:color="auto" w:sz="4" w:space="0"/>
              <w:left w:val="single" w:color="auto" w:sz="4" w:space="0"/>
              <w:bottom w:val="single" w:color="auto" w:sz="4" w:space="0"/>
              <w:right w:val="single" w:color="auto" w:sz="4" w:space="0"/>
            </w:tcBorders>
            <w:vAlign w:val="center"/>
          </w:tcPr>
          <w:p w14:paraId="046E3B6C">
            <w:pPr>
              <w:spacing w:line="420" w:lineRule="exact"/>
              <w:jc w:val="left"/>
              <w:rPr>
                <w:rFonts w:eastAsia="宋体"/>
              </w:rPr>
            </w:pPr>
            <w:r>
              <w:rPr>
                <w:rFonts w:eastAsia="宋体"/>
              </w:rPr>
              <w:t>¥</w:t>
            </w:r>
            <w:r>
              <w:rPr>
                <w:rFonts w:hint="eastAsia" w:eastAsia="宋体" w:cs="宋体"/>
              </w:rPr>
              <w:t>：</w:t>
            </w:r>
          </w:p>
        </w:tc>
      </w:tr>
    </w:tbl>
    <w:p w14:paraId="1E50902C">
      <w:pPr>
        <w:kinsoku w:val="0"/>
        <w:topLinePunct/>
        <w:snapToGrid w:val="0"/>
        <w:spacing w:line="360" w:lineRule="auto"/>
        <w:rPr>
          <w:rFonts w:eastAsia="宋体"/>
        </w:rPr>
      </w:pPr>
    </w:p>
    <w:p w14:paraId="13B7AC66">
      <w:pPr>
        <w:kinsoku w:val="0"/>
        <w:topLinePunct/>
        <w:snapToGrid w:val="0"/>
        <w:spacing w:line="360" w:lineRule="auto"/>
        <w:rPr>
          <w:rFonts w:eastAsia="宋体"/>
        </w:rPr>
      </w:pPr>
      <w:r>
        <w:rPr>
          <w:rFonts w:eastAsia="宋体"/>
        </w:rPr>
        <w:t>供应商：（盖章）</w:t>
      </w:r>
    </w:p>
    <w:p w14:paraId="085D7251">
      <w:pPr>
        <w:kinsoku w:val="0"/>
        <w:topLinePunct/>
        <w:snapToGrid w:val="0"/>
        <w:spacing w:line="360" w:lineRule="auto"/>
        <w:rPr>
          <w:rFonts w:eastAsia="宋体"/>
        </w:rPr>
      </w:pPr>
      <w:r>
        <w:rPr>
          <w:rFonts w:eastAsia="宋体"/>
        </w:rPr>
        <w:t>法定代表人或被委托授权人（签字）：</w:t>
      </w:r>
    </w:p>
    <w:p w14:paraId="03F735D1">
      <w:pPr>
        <w:kinsoku w:val="0"/>
        <w:topLinePunct/>
        <w:snapToGrid w:val="0"/>
        <w:spacing w:line="420" w:lineRule="exact"/>
        <w:rPr>
          <w:rFonts w:eastAsia="宋体"/>
        </w:rPr>
      </w:pPr>
      <w:r>
        <w:rPr>
          <w:rFonts w:eastAsia="宋体"/>
        </w:rPr>
        <w:t>日期：</w:t>
      </w:r>
    </w:p>
    <w:p w14:paraId="3DD842BB">
      <w:pPr>
        <w:kinsoku w:val="0"/>
        <w:topLinePunct/>
        <w:snapToGrid w:val="0"/>
        <w:spacing w:line="420" w:lineRule="exact"/>
        <w:rPr>
          <w:rFonts w:eastAsia="宋体"/>
        </w:rPr>
      </w:pPr>
    </w:p>
    <w:p w14:paraId="2C84D56E">
      <w:pPr>
        <w:snapToGrid w:val="0"/>
        <w:spacing w:line="420" w:lineRule="exact"/>
        <w:ind w:firstLine="708" w:firstLineChars="294"/>
        <w:rPr>
          <w:rFonts w:eastAsia="宋体"/>
          <w:b/>
          <w:bCs/>
        </w:rPr>
      </w:pPr>
      <w:r>
        <w:rPr>
          <w:rFonts w:hint="eastAsia" w:eastAsia="宋体" w:cs="宋体"/>
          <w:b/>
          <w:bCs/>
        </w:rPr>
        <w:t>注：</w:t>
      </w:r>
    </w:p>
    <w:p w14:paraId="7EFC9A19">
      <w:pPr>
        <w:snapToGrid w:val="0"/>
        <w:spacing w:line="420" w:lineRule="exact"/>
        <w:ind w:firstLine="566" w:firstLineChars="236"/>
        <w:rPr>
          <w:rFonts w:eastAsia="宋体"/>
        </w:rPr>
      </w:pPr>
      <w:r>
        <w:rPr>
          <w:rFonts w:hint="eastAsia" w:eastAsia="宋体" w:cs="宋体"/>
        </w:rPr>
        <w:t>（</w:t>
      </w:r>
      <w:r>
        <w:rPr>
          <w:rFonts w:eastAsia="宋体"/>
        </w:rPr>
        <w:t>1</w:t>
      </w:r>
      <w:r>
        <w:rPr>
          <w:rFonts w:hint="eastAsia" w:eastAsia="宋体" w:cs="宋体"/>
        </w:rPr>
        <w:t>）竞争性磋商响应供应商须自行分析项目组成后，详细报出响应报价总表内总价的组成部分的分项明细报价，且本表各分项明细报价合计应当与报价总表内的竞争性磋商响应总价（首次）相等。</w:t>
      </w:r>
    </w:p>
    <w:p w14:paraId="3BB0B9AD">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）如果不提供详细分项报价将视为未实质性响应竞争性磋商文件要求。</w:t>
      </w:r>
    </w:p>
    <w:p w14:paraId="05D000C9">
      <w:pPr>
        <w:snapToGrid w:val="0"/>
        <w:spacing w:line="420" w:lineRule="exact"/>
        <w:ind w:firstLine="566" w:firstLineChars="236"/>
        <w:rPr>
          <w:rFonts w:eastAsia="宋体"/>
        </w:rPr>
      </w:pPr>
      <w:r>
        <w:rPr>
          <w:rFonts w:hint="eastAsia" w:eastAsia="宋体" w:cs="宋体"/>
        </w:rPr>
        <w:t>（</w:t>
      </w:r>
      <w:r>
        <w:rPr>
          <w:rFonts w:eastAsia="宋体"/>
        </w:rPr>
        <w:t>3</w:t>
      </w:r>
      <w:r>
        <w:rPr>
          <w:rFonts w:hint="eastAsia" w:eastAsia="宋体" w:cs="宋体"/>
        </w:rPr>
        <w:t>）如果按综合单价计算的结果与总价不一致，以综合单价为准，修正总价。</w:t>
      </w:r>
    </w:p>
    <w:p w14:paraId="17BAD7D1">
      <w:pPr>
        <w:pStyle w:val="49"/>
        <w:ind w:left="0" w:firstLine="0" w:firstLineChars="0"/>
      </w:pPr>
    </w:p>
    <w:p w14:paraId="75F63AA0">
      <w:pPr>
        <w:spacing w:line="360" w:lineRule="auto"/>
        <w:ind w:firstLine="482" w:firstLineChars="200"/>
        <w:rPr>
          <w:rFonts w:eastAsia="宋体"/>
          <w:b/>
        </w:rPr>
      </w:pPr>
      <w:r>
        <w:rPr>
          <w:rFonts w:eastAsia="宋体"/>
          <w:b/>
        </w:rPr>
        <w:t xml:space="preserve"> </w:t>
      </w:r>
    </w:p>
    <w:p w14:paraId="0233F3D4">
      <w:pPr>
        <w:pStyle w:val="18"/>
        <w:spacing w:line="360" w:lineRule="auto"/>
        <w:rPr>
          <w:rFonts w:ascii="Times New Roman" w:eastAsia="宋体"/>
        </w:rPr>
      </w:pPr>
    </w:p>
    <w:p w14:paraId="1E1DCE7B">
      <w:pPr>
        <w:pStyle w:val="18"/>
        <w:spacing w:line="360" w:lineRule="auto"/>
        <w:rPr>
          <w:rFonts w:ascii="Times New Roman" w:eastAsia="宋体"/>
        </w:rPr>
      </w:pPr>
    </w:p>
    <w:p w14:paraId="7886FC94">
      <w:pPr>
        <w:pStyle w:val="18"/>
        <w:spacing w:line="360" w:lineRule="auto"/>
        <w:rPr>
          <w:rFonts w:ascii="Times New Roman" w:eastAsia="宋体"/>
        </w:rPr>
      </w:pPr>
    </w:p>
    <w:p w14:paraId="6D94BDF0">
      <w:pPr>
        <w:pStyle w:val="18"/>
        <w:spacing w:line="360" w:lineRule="auto"/>
        <w:rPr>
          <w:rFonts w:ascii="Times New Roman" w:eastAsia="宋体"/>
        </w:rPr>
      </w:pPr>
    </w:p>
    <w:p w14:paraId="7E4789E8">
      <w:pPr>
        <w:pStyle w:val="18"/>
        <w:spacing w:line="360" w:lineRule="auto"/>
        <w:rPr>
          <w:rFonts w:ascii="Times New Roman" w:eastAsia="宋体"/>
        </w:rPr>
      </w:pPr>
    </w:p>
    <w:p w14:paraId="198294E0">
      <w:pPr>
        <w:pStyle w:val="18"/>
        <w:spacing w:line="360" w:lineRule="auto"/>
        <w:rPr>
          <w:rFonts w:ascii="Times New Roman" w:eastAsia="宋体"/>
        </w:rPr>
      </w:pPr>
    </w:p>
    <w:p w14:paraId="41961823">
      <w:pPr>
        <w:pStyle w:val="18"/>
        <w:spacing w:line="360" w:lineRule="auto"/>
        <w:rPr>
          <w:rFonts w:ascii="Times New Roman" w:eastAsia="宋体"/>
        </w:rPr>
      </w:pPr>
    </w:p>
    <w:sectPr>
      <w:footerReference r:id="rId3" w:type="default"/>
      <w:pgSz w:w="11906" w:h="16838"/>
      <w:pgMar w:top="1418" w:right="1417" w:bottom="1417" w:left="1418" w:header="851"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Menlo">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0A69">
    <w:pPr>
      <w:pStyle w:val="3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DB063"/>
    <w:multiLevelType w:val="singleLevel"/>
    <w:tmpl w:val="DEFDB063"/>
    <w:lvl w:ilvl="0" w:tentative="0">
      <w:start w:val="1"/>
      <w:numFmt w:val="decimal"/>
      <w:suff w:val="nothing"/>
      <w:lvlText w:val="%1）"/>
      <w:lvlJc w:val="left"/>
    </w:lvl>
  </w:abstractNum>
  <w:abstractNum w:abstractNumId="1">
    <w:nsid w:val="FBDE909A"/>
    <w:multiLevelType w:val="singleLevel"/>
    <w:tmpl w:val="FBDE909A"/>
    <w:lvl w:ilvl="0" w:tentative="0">
      <w:start w:val="1"/>
      <w:numFmt w:val="chineseCounting"/>
      <w:suff w:val="nothing"/>
      <w:lvlText w:val="%1、"/>
      <w:lvlJc w:val="left"/>
      <w:rPr>
        <w:rFonts w:hint="eastAsia"/>
      </w:rPr>
    </w:lvl>
  </w:abstractNum>
  <w:abstractNum w:abstractNumId="2">
    <w:nsid w:val="0C8E8D8D"/>
    <w:multiLevelType w:val="singleLevel"/>
    <w:tmpl w:val="0C8E8D8D"/>
    <w:lvl w:ilvl="0" w:tentative="0">
      <w:start w:val="1"/>
      <w:numFmt w:val="decimal"/>
      <w:suff w:val="nothing"/>
      <w:lvlText w:val="%1）"/>
      <w:lvlJc w:val="left"/>
    </w:lvl>
  </w:abstractNum>
  <w:abstractNum w:abstractNumId="3">
    <w:nsid w:val="19B85A7C"/>
    <w:multiLevelType w:val="multilevel"/>
    <w:tmpl w:val="19B85A7C"/>
    <w:lvl w:ilvl="0" w:tentative="0">
      <w:start w:val="4"/>
      <w:numFmt w:val="decimal"/>
      <w:lvlText w:val="%1、"/>
      <w:lvlJc w:val="left"/>
      <w:pPr>
        <w:ind w:left="780" w:hanging="375"/>
      </w:pPr>
      <w:rPr>
        <w:rFonts w:hint="default"/>
      </w:rPr>
    </w:lvl>
    <w:lvl w:ilvl="1" w:tentative="0">
      <w:start w:val="3"/>
      <w:numFmt w:val="japaneseCounting"/>
      <w:lvlText w:val="%2、"/>
      <w:lvlJc w:val="left"/>
      <w:pPr>
        <w:ind w:left="1335" w:hanging="510"/>
      </w:pPr>
      <w:rPr>
        <w:rFonts w:hint="default"/>
      </w:r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4">
    <w:nsid w:val="22A37CDA"/>
    <w:multiLevelType w:val="multilevel"/>
    <w:tmpl w:val="22A37CDA"/>
    <w:lvl w:ilvl="0" w:tentative="0">
      <w:start w:val="4"/>
      <w:numFmt w:val="japaneseCounting"/>
      <w:lvlText w:val="%1、"/>
      <w:lvlJc w:val="left"/>
      <w:pPr>
        <w:ind w:left="1020" w:hanging="51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5">
    <w:nsid w:val="6569611E"/>
    <w:multiLevelType w:val="singleLevel"/>
    <w:tmpl w:val="6569611E"/>
    <w:lvl w:ilvl="0" w:tentative="0">
      <w:start w:val="1"/>
      <w:numFmt w:val="decimal"/>
      <w:suff w:val="nothing"/>
      <w:lvlText w:val="%1）"/>
      <w:lvlJc w:val="left"/>
    </w:lvl>
  </w:abstractNum>
  <w:abstractNum w:abstractNumId="6">
    <w:nsid w:val="688B643F"/>
    <w:multiLevelType w:val="multilevel"/>
    <w:tmpl w:val="688B643F"/>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20"/>
  <w:drawingGridVerticalSpacing w:val="163"/>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jZmMwOGYwY2YzYTVhOGViYjJlMmY3NGQxNTFkZGEifQ=="/>
  </w:docVars>
  <w:rsids>
    <w:rsidRoot w:val="009D44D5"/>
    <w:rsid w:val="00000AE1"/>
    <w:rsid w:val="00001432"/>
    <w:rsid w:val="00011EAB"/>
    <w:rsid w:val="0001623D"/>
    <w:rsid w:val="00021DB1"/>
    <w:rsid w:val="00021F0C"/>
    <w:rsid w:val="000271FC"/>
    <w:rsid w:val="00030885"/>
    <w:rsid w:val="00032E7C"/>
    <w:rsid w:val="000333B9"/>
    <w:rsid w:val="00033DC0"/>
    <w:rsid w:val="000458B3"/>
    <w:rsid w:val="000514DA"/>
    <w:rsid w:val="00052333"/>
    <w:rsid w:val="0006055D"/>
    <w:rsid w:val="00061CBC"/>
    <w:rsid w:val="000621C3"/>
    <w:rsid w:val="00063C6A"/>
    <w:rsid w:val="000643A7"/>
    <w:rsid w:val="00066007"/>
    <w:rsid w:val="0007686A"/>
    <w:rsid w:val="00077D4E"/>
    <w:rsid w:val="0008030F"/>
    <w:rsid w:val="00083FCA"/>
    <w:rsid w:val="000A0F66"/>
    <w:rsid w:val="000A3FDA"/>
    <w:rsid w:val="000B22C8"/>
    <w:rsid w:val="000B694C"/>
    <w:rsid w:val="000B698A"/>
    <w:rsid w:val="000C0286"/>
    <w:rsid w:val="000D3FBA"/>
    <w:rsid w:val="000D5767"/>
    <w:rsid w:val="000D5F53"/>
    <w:rsid w:val="000E102C"/>
    <w:rsid w:val="000E14FD"/>
    <w:rsid w:val="000E187E"/>
    <w:rsid w:val="000E3C86"/>
    <w:rsid w:val="000E44A3"/>
    <w:rsid w:val="000E6641"/>
    <w:rsid w:val="000F1A2D"/>
    <w:rsid w:val="000F240F"/>
    <w:rsid w:val="000F3999"/>
    <w:rsid w:val="000F602C"/>
    <w:rsid w:val="000F6A4B"/>
    <w:rsid w:val="000F6AB3"/>
    <w:rsid w:val="001000E2"/>
    <w:rsid w:val="00101D21"/>
    <w:rsid w:val="001022C3"/>
    <w:rsid w:val="0010562D"/>
    <w:rsid w:val="0010619A"/>
    <w:rsid w:val="00110BB8"/>
    <w:rsid w:val="00113499"/>
    <w:rsid w:val="00114A9F"/>
    <w:rsid w:val="00117648"/>
    <w:rsid w:val="0012396A"/>
    <w:rsid w:val="00123B24"/>
    <w:rsid w:val="00124109"/>
    <w:rsid w:val="001301EC"/>
    <w:rsid w:val="001324E6"/>
    <w:rsid w:val="001343FC"/>
    <w:rsid w:val="00136FF5"/>
    <w:rsid w:val="00145CC5"/>
    <w:rsid w:val="00151780"/>
    <w:rsid w:val="0015197E"/>
    <w:rsid w:val="00155CDC"/>
    <w:rsid w:val="0016240F"/>
    <w:rsid w:val="00167DC7"/>
    <w:rsid w:val="001924B9"/>
    <w:rsid w:val="001A0A38"/>
    <w:rsid w:val="001A0CC4"/>
    <w:rsid w:val="001A2107"/>
    <w:rsid w:val="001A494B"/>
    <w:rsid w:val="001A4DBF"/>
    <w:rsid w:val="001A6ACD"/>
    <w:rsid w:val="001B4513"/>
    <w:rsid w:val="001C2168"/>
    <w:rsid w:val="001C2BBA"/>
    <w:rsid w:val="001C62A6"/>
    <w:rsid w:val="001C7DD9"/>
    <w:rsid w:val="001D1957"/>
    <w:rsid w:val="001D7777"/>
    <w:rsid w:val="001E0F0C"/>
    <w:rsid w:val="001E4023"/>
    <w:rsid w:val="001E6476"/>
    <w:rsid w:val="001E68D7"/>
    <w:rsid w:val="001F1F87"/>
    <w:rsid w:val="001F299F"/>
    <w:rsid w:val="001F35C2"/>
    <w:rsid w:val="001F3BAE"/>
    <w:rsid w:val="001F5208"/>
    <w:rsid w:val="00206010"/>
    <w:rsid w:val="00207907"/>
    <w:rsid w:val="00212476"/>
    <w:rsid w:val="002236C6"/>
    <w:rsid w:val="00224AB1"/>
    <w:rsid w:val="00224CCB"/>
    <w:rsid w:val="00224D7C"/>
    <w:rsid w:val="00230FD2"/>
    <w:rsid w:val="00235F54"/>
    <w:rsid w:val="00242108"/>
    <w:rsid w:val="00243AFC"/>
    <w:rsid w:val="002445DD"/>
    <w:rsid w:val="00245B04"/>
    <w:rsid w:val="00246218"/>
    <w:rsid w:val="00251BB1"/>
    <w:rsid w:val="00252133"/>
    <w:rsid w:val="002553C3"/>
    <w:rsid w:val="002557A0"/>
    <w:rsid w:val="00257E5F"/>
    <w:rsid w:val="00257F95"/>
    <w:rsid w:val="0026037B"/>
    <w:rsid w:val="0026364A"/>
    <w:rsid w:val="00264C75"/>
    <w:rsid w:val="00270B7D"/>
    <w:rsid w:val="00271DA7"/>
    <w:rsid w:val="00275027"/>
    <w:rsid w:val="0027547F"/>
    <w:rsid w:val="002768FD"/>
    <w:rsid w:val="00277114"/>
    <w:rsid w:val="00283DC4"/>
    <w:rsid w:val="00284697"/>
    <w:rsid w:val="0028481C"/>
    <w:rsid w:val="002860CF"/>
    <w:rsid w:val="00292EA7"/>
    <w:rsid w:val="00293987"/>
    <w:rsid w:val="002961D5"/>
    <w:rsid w:val="00297836"/>
    <w:rsid w:val="002A1C9F"/>
    <w:rsid w:val="002A398B"/>
    <w:rsid w:val="002A7A93"/>
    <w:rsid w:val="002B1E2A"/>
    <w:rsid w:val="002C0D6E"/>
    <w:rsid w:val="002C1922"/>
    <w:rsid w:val="002C372C"/>
    <w:rsid w:val="002D76BF"/>
    <w:rsid w:val="002E61E6"/>
    <w:rsid w:val="002E78FC"/>
    <w:rsid w:val="002F7806"/>
    <w:rsid w:val="00301375"/>
    <w:rsid w:val="00304A3A"/>
    <w:rsid w:val="00307031"/>
    <w:rsid w:val="00307691"/>
    <w:rsid w:val="003124E7"/>
    <w:rsid w:val="003127D3"/>
    <w:rsid w:val="003129BB"/>
    <w:rsid w:val="00315119"/>
    <w:rsid w:val="00316B13"/>
    <w:rsid w:val="00316B18"/>
    <w:rsid w:val="003206AD"/>
    <w:rsid w:val="0032794E"/>
    <w:rsid w:val="0033443B"/>
    <w:rsid w:val="003346EF"/>
    <w:rsid w:val="0033765A"/>
    <w:rsid w:val="00337AA6"/>
    <w:rsid w:val="00343726"/>
    <w:rsid w:val="00345F8A"/>
    <w:rsid w:val="00353069"/>
    <w:rsid w:val="00355F5F"/>
    <w:rsid w:val="00357EA8"/>
    <w:rsid w:val="0036340A"/>
    <w:rsid w:val="0036369A"/>
    <w:rsid w:val="00364ACE"/>
    <w:rsid w:val="00364F15"/>
    <w:rsid w:val="00371EAE"/>
    <w:rsid w:val="0037622C"/>
    <w:rsid w:val="00382B45"/>
    <w:rsid w:val="003940E5"/>
    <w:rsid w:val="00396AC3"/>
    <w:rsid w:val="003A2ED9"/>
    <w:rsid w:val="003A64E3"/>
    <w:rsid w:val="003A6B28"/>
    <w:rsid w:val="003A74A7"/>
    <w:rsid w:val="003A74BD"/>
    <w:rsid w:val="003B0A3F"/>
    <w:rsid w:val="003B0E43"/>
    <w:rsid w:val="003B5DEA"/>
    <w:rsid w:val="003B60B3"/>
    <w:rsid w:val="003C2D2B"/>
    <w:rsid w:val="003C3884"/>
    <w:rsid w:val="003C72BF"/>
    <w:rsid w:val="003D1178"/>
    <w:rsid w:val="003D7C8C"/>
    <w:rsid w:val="003E10DD"/>
    <w:rsid w:val="003E1B6E"/>
    <w:rsid w:val="003F2556"/>
    <w:rsid w:val="003F391A"/>
    <w:rsid w:val="003F4E04"/>
    <w:rsid w:val="003F69C6"/>
    <w:rsid w:val="00401F0D"/>
    <w:rsid w:val="004127BF"/>
    <w:rsid w:val="004160C5"/>
    <w:rsid w:val="004173B2"/>
    <w:rsid w:val="00417FBF"/>
    <w:rsid w:val="004225C4"/>
    <w:rsid w:val="00423661"/>
    <w:rsid w:val="00424BAA"/>
    <w:rsid w:val="00431D1E"/>
    <w:rsid w:val="004330D2"/>
    <w:rsid w:val="0043391E"/>
    <w:rsid w:val="0043480D"/>
    <w:rsid w:val="00434A29"/>
    <w:rsid w:val="00435D1A"/>
    <w:rsid w:val="004371CD"/>
    <w:rsid w:val="00443C6C"/>
    <w:rsid w:val="00447F70"/>
    <w:rsid w:val="00450266"/>
    <w:rsid w:val="00454F36"/>
    <w:rsid w:val="00455E73"/>
    <w:rsid w:val="00456F8E"/>
    <w:rsid w:val="004640F4"/>
    <w:rsid w:val="0046450F"/>
    <w:rsid w:val="004822B5"/>
    <w:rsid w:val="0048293B"/>
    <w:rsid w:val="0048577C"/>
    <w:rsid w:val="004857CE"/>
    <w:rsid w:val="0049545D"/>
    <w:rsid w:val="004A109B"/>
    <w:rsid w:val="004B0F63"/>
    <w:rsid w:val="004B2079"/>
    <w:rsid w:val="004B7B9C"/>
    <w:rsid w:val="004B7DCA"/>
    <w:rsid w:val="004C5CED"/>
    <w:rsid w:val="004C60CA"/>
    <w:rsid w:val="004D3875"/>
    <w:rsid w:val="004F1B96"/>
    <w:rsid w:val="004F1E62"/>
    <w:rsid w:val="004F4BAC"/>
    <w:rsid w:val="004F4DB9"/>
    <w:rsid w:val="004F6E70"/>
    <w:rsid w:val="00500327"/>
    <w:rsid w:val="0050047B"/>
    <w:rsid w:val="00501A67"/>
    <w:rsid w:val="005068C5"/>
    <w:rsid w:val="00511604"/>
    <w:rsid w:val="00514157"/>
    <w:rsid w:val="0051695D"/>
    <w:rsid w:val="005206BF"/>
    <w:rsid w:val="005238EF"/>
    <w:rsid w:val="00533049"/>
    <w:rsid w:val="005356A0"/>
    <w:rsid w:val="00535A9D"/>
    <w:rsid w:val="00536FBC"/>
    <w:rsid w:val="005425CD"/>
    <w:rsid w:val="00544071"/>
    <w:rsid w:val="00546704"/>
    <w:rsid w:val="00546CDE"/>
    <w:rsid w:val="005510C2"/>
    <w:rsid w:val="0055406D"/>
    <w:rsid w:val="005546C1"/>
    <w:rsid w:val="005561F1"/>
    <w:rsid w:val="00556472"/>
    <w:rsid w:val="00562606"/>
    <w:rsid w:val="005644D4"/>
    <w:rsid w:val="00572B3E"/>
    <w:rsid w:val="005744EC"/>
    <w:rsid w:val="00574E0C"/>
    <w:rsid w:val="0058171A"/>
    <w:rsid w:val="005831C6"/>
    <w:rsid w:val="00586FE6"/>
    <w:rsid w:val="005917C8"/>
    <w:rsid w:val="00594DB2"/>
    <w:rsid w:val="005A2E3B"/>
    <w:rsid w:val="005A4700"/>
    <w:rsid w:val="005B0975"/>
    <w:rsid w:val="005B0A4D"/>
    <w:rsid w:val="005B27CF"/>
    <w:rsid w:val="005B4588"/>
    <w:rsid w:val="005B782F"/>
    <w:rsid w:val="005B7C2B"/>
    <w:rsid w:val="005C20F1"/>
    <w:rsid w:val="005C5AC1"/>
    <w:rsid w:val="005C71B5"/>
    <w:rsid w:val="005D0DDB"/>
    <w:rsid w:val="005D2FEB"/>
    <w:rsid w:val="005D3834"/>
    <w:rsid w:val="005E0CB4"/>
    <w:rsid w:val="005E583B"/>
    <w:rsid w:val="005E5E09"/>
    <w:rsid w:val="005F094C"/>
    <w:rsid w:val="006038B0"/>
    <w:rsid w:val="00603A22"/>
    <w:rsid w:val="00604823"/>
    <w:rsid w:val="00607C19"/>
    <w:rsid w:val="00613C1D"/>
    <w:rsid w:val="00615C41"/>
    <w:rsid w:val="00616F4B"/>
    <w:rsid w:val="00620205"/>
    <w:rsid w:val="00622F58"/>
    <w:rsid w:val="006258B3"/>
    <w:rsid w:val="00627127"/>
    <w:rsid w:val="00636489"/>
    <w:rsid w:val="0064245A"/>
    <w:rsid w:val="00645780"/>
    <w:rsid w:val="0065258C"/>
    <w:rsid w:val="00654E0E"/>
    <w:rsid w:val="00662A5C"/>
    <w:rsid w:val="00664DE6"/>
    <w:rsid w:val="00665C9A"/>
    <w:rsid w:val="00665E27"/>
    <w:rsid w:val="00665FC3"/>
    <w:rsid w:val="00666637"/>
    <w:rsid w:val="006729D4"/>
    <w:rsid w:val="00673A9D"/>
    <w:rsid w:val="00674AF2"/>
    <w:rsid w:val="00682583"/>
    <w:rsid w:val="00684BD7"/>
    <w:rsid w:val="00684D70"/>
    <w:rsid w:val="006855BF"/>
    <w:rsid w:val="00692CA5"/>
    <w:rsid w:val="00693216"/>
    <w:rsid w:val="0069444C"/>
    <w:rsid w:val="00694BD9"/>
    <w:rsid w:val="00695FD0"/>
    <w:rsid w:val="006A0FD5"/>
    <w:rsid w:val="006A2E1F"/>
    <w:rsid w:val="006B1A8E"/>
    <w:rsid w:val="006B4CCD"/>
    <w:rsid w:val="006C06D3"/>
    <w:rsid w:val="006C2F92"/>
    <w:rsid w:val="006C760B"/>
    <w:rsid w:val="006D066A"/>
    <w:rsid w:val="006D1D02"/>
    <w:rsid w:val="006D23F2"/>
    <w:rsid w:val="006D4E29"/>
    <w:rsid w:val="006D51F4"/>
    <w:rsid w:val="006D6808"/>
    <w:rsid w:val="006E5AD7"/>
    <w:rsid w:val="006E73BE"/>
    <w:rsid w:val="006F1861"/>
    <w:rsid w:val="006F252A"/>
    <w:rsid w:val="006F33D1"/>
    <w:rsid w:val="006F4755"/>
    <w:rsid w:val="007007DF"/>
    <w:rsid w:val="00701BB7"/>
    <w:rsid w:val="00702E12"/>
    <w:rsid w:val="00703B35"/>
    <w:rsid w:val="007057AA"/>
    <w:rsid w:val="00706CA6"/>
    <w:rsid w:val="00706F56"/>
    <w:rsid w:val="00711F27"/>
    <w:rsid w:val="00717AB8"/>
    <w:rsid w:val="007211E3"/>
    <w:rsid w:val="00722A5C"/>
    <w:rsid w:val="007239F4"/>
    <w:rsid w:val="007240D8"/>
    <w:rsid w:val="007251BD"/>
    <w:rsid w:val="00736602"/>
    <w:rsid w:val="00737D13"/>
    <w:rsid w:val="007410BD"/>
    <w:rsid w:val="0074317A"/>
    <w:rsid w:val="00746D15"/>
    <w:rsid w:val="007508F1"/>
    <w:rsid w:val="00753CA1"/>
    <w:rsid w:val="007545D0"/>
    <w:rsid w:val="00754805"/>
    <w:rsid w:val="00756636"/>
    <w:rsid w:val="0076399C"/>
    <w:rsid w:val="00772172"/>
    <w:rsid w:val="007732B1"/>
    <w:rsid w:val="00777A3B"/>
    <w:rsid w:val="00777D6D"/>
    <w:rsid w:val="0078008D"/>
    <w:rsid w:val="00780509"/>
    <w:rsid w:val="00780800"/>
    <w:rsid w:val="00780CDA"/>
    <w:rsid w:val="007832EA"/>
    <w:rsid w:val="00783B82"/>
    <w:rsid w:val="007841B4"/>
    <w:rsid w:val="007905C0"/>
    <w:rsid w:val="00794B63"/>
    <w:rsid w:val="00797A71"/>
    <w:rsid w:val="007A04C2"/>
    <w:rsid w:val="007A0984"/>
    <w:rsid w:val="007A495D"/>
    <w:rsid w:val="007A6C42"/>
    <w:rsid w:val="007B1279"/>
    <w:rsid w:val="007B3E5E"/>
    <w:rsid w:val="007B78A3"/>
    <w:rsid w:val="007C6BE6"/>
    <w:rsid w:val="007C7084"/>
    <w:rsid w:val="007D2D55"/>
    <w:rsid w:val="007D40F3"/>
    <w:rsid w:val="007D7847"/>
    <w:rsid w:val="007E2EA9"/>
    <w:rsid w:val="007E61F7"/>
    <w:rsid w:val="0080193A"/>
    <w:rsid w:val="00804007"/>
    <w:rsid w:val="008056CF"/>
    <w:rsid w:val="008128F2"/>
    <w:rsid w:val="00813566"/>
    <w:rsid w:val="008163CE"/>
    <w:rsid w:val="00823556"/>
    <w:rsid w:val="00823F2A"/>
    <w:rsid w:val="00826F01"/>
    <w:rsid w:val="008273B8"/>
    <w:rsid w:val="00834B60"/>
    <w:rsid w:val="00834FB1"/>
    <w:rsid w:val="00835266"/>
    <w:rsid w:val="00840201"/>
    <w:rsid w:val="00841E77"/>
    <w:rsid w:val="0084264E"/>
    <w:rsid w:val="00845253"/>
    <w:rsid w:val="00846480"/>
    <w:rsid w:val="00846F7A"/>
    <w:rsid w:val="0085347E"/>
    <w:rsid w:val="00863B8C"/>
    <w:rsid w:val="00864144"/>
    <w:rsid w:val="00865E95"/>
    <w:rsid w:val="008737C2"/>
    <w:rsid w:val="00874194"/>
    <w:rsid w:val="00874A31"/>
    <w:rsid w:val="00876044"/>
    <w:rsid w:val="008804CB"/>
    <w:rsid w:val="00885B02"/>
    <w:rsid w:val="008873D0"/>
    <w:rsid w:val="008A1883"/>
    <w:rsid w:val="008A1C7D"/>
    <w:rsid w:val="008A55A7"/>
    <w:rsid w:val="008A7C5F"/>
    <w:rsid w:val="008B093F"/>
    <w:rsid w:val="008C666A"/>
    <w:rsid w:val="008C7D82"/>
    <w:rsid w:val="008D3683"/>
    <w:rsid w:val="008D3B87"/>
    <w:rsid w:val="008E29F3"/>
    <w:rsid w:val="008E4EB9"/>
    <w:rsid w:val="008F02FF"/>
    <w:rsid w:val="008F3084"/>
    <w:rsid w:val="008F610C"/>
    <w:rsid w:val="00902CAE"/>
    <w:rsid w:val="00902F98"/>
    <w:rsid w:val="00903B00"/>
    <w:rsid w:val="00907864"/>
    <w:rsid w:val="00911BF2"/>
    <w:rsid w:val="00913937"/>
    <w:rsid w:val="00914840"/>
    <w:rsid w:val="00915A3A"/>
    <w:rsid w:val="00916A88"/>
    <w:rsid w:val="00920618"/>
    <w:rsid w:val="009235AE"/>
    <w:rsid w:val="009239A9"/>
    <w:rsid w:val="00924991"/>
    <w:rsid w:val="0092581E"/>
    <w:rsid w:val="00927A8D"/>
    <w:rsid w:val="00930BD2"/>
    <w:rsid w:val="0093174D"/>
    <w:rsid w:val="0093510D"/>
    <w:rsid w:val="00935CB8"/>
    <w:rsid w:val="00937834"/>
    <w:rsid w:val="00937D8E"/>
    <w:rsid w:val="00941443"/>
    <w:rsid w:val="00941E09"/>
    <w:rsid w:val="00944434"/>
    <w:rsid w:val="009471CD"/>
    <w:rsid w:val="009502B8"/>
    <w:rsid w:val="009511AD"/>
    <w:rsid w:val="009618CB"/>
    <w:rsid w:val="009700E0"/>
    <w:rsid w:val="00976212"/>
    <w:rsid w:val="00981E34"/>
    <w:rsid w:val="0098211D"/>
    <w:rsid w:val="00984DAD"/>
    <w:rsid w:val="009A22D1"/>
    <w:rsid w:val="009A39FE"/>
    <w:rsid w:val="009B0A64"/>
    <w:rsid w:val="009B6F78"/>
    <w:rsid w:val="009C0D8C"/>
    <w:rsid w:val="009C18E4"/>
    <w:rsid w:val="009C3509"/>
    <w:rsid w:val="009C4506"/>
    <w:rsid w:val="009C512A"/>
    <w:rsid w:val="009C7DB8"/>
    <w:rsid w:val="009D44D5"/>
    <w:rsid w:val="009E3B6E"/>
    <w:rsid w:val="009E3D51"/>
    <w:rsid w:val="009E7FAC"/>
    <w:rsid w:val="009F0DAE"/>
    <w:rsid w:val="009F0EEF"/>
    <w:rsid w:val="00A07867"/>
    <w:rsid w:val="00A123AD"/>
    <w:rsid w:val="00A13D33"/>
    <w:rsid w:val="00A24DDA"/>
    <w:rsid w:val="00A31131"/>
    <w:rsid w:val="00A31B10"/>
    <w:rsid w:val="00A33D92"/>
    <w:rsid w:val="00A3633A"/>
    <w:rsid w:val="00A36354"/>
    <w:rsid w:val="00A36A90"/>
    <w:rsid w:val="00A4085B"/>
    <w:rsid w:val="00A424B9"/>
    <w:rsid w:val="00A43AA8"/>
    <w:rsid w:val="00A44CE2"/>
    <w:rsid w:val="00A45C08"/>
    <w:rsid w:val="00A4620A"/>
    <w:rsid w:val="00A50681"/>
    <w:rsid w:val="00A52D68"/>
    <w:rsid w:val="00A5436E"/>
    <w:rsid w:val="00A55CEF"/>
    <w:rsid w:val="00A65B9B"/>
    <w:rsid w:val="00A66516"/>
    <w:rsid w:val="00A679D8"/>
    <w:rsid w:val="00A71C94"/>
    <w:rsid w:val="00A818EE"/>
    <w:rsid w:val="00A81C0E"/>
    <w:rsid w:val="00A83BDB"/>
    <w:rsid w:val="00A90761"/>
    <w:rsid w:val="00A919BE"/>
    <w:rsid w:val="00AA0764"/>
    <w:rsid w:val="00AA1BE3"/>
    <w:rsid w:val="00AA4E3D"/>
    <w:rsid w:val="00AA66B4"/>
    <w:rsid w:val="00AB1198"/>
    <w:rsid w:val="00AB6646"/>
    <w:rsid w:val="00AC0B30"/>
    <w:rsid w:val="00AC2208"/>
    <w:rsid w:val="00AC2341"/>
    <w:rsid w:val="00AC6218"/>
    <w:rsid w:val="00AC72DC"/>
    <w:rsid w:val="00AD5C35"/>
    <w:rsid w:val="00AD7A61"/>
    <w:rsid w:val="00AE0599"/>
    <w:rsid w:val="00AF2E47"/>
    <w:rsid w:val="00AF46CD"/>
    <w:rsid w:val="00B02897"/>
    <w:rsid w:val="00B02F12"/>
    <w:rsid w:val="00B062DA"/>
    <w:rsid w:val="00B07102"/>
    <w:rsid w:val="00B07D56"/>
    <w:rsid w:val="00B132A3"/>
    <w:rsid w:val="00B13509"/>
    <w:rsid w:val="00B13997"/>
    <w:rsid w:val="00B13C66"/>
    <w:rsid w:val="00B1625C"/>
    <w:rsid w:val="00B21492"/>
    <w:rsid w:val="00B3010D"/>
    <w:rsid w:val="00B3016E"/>
    <w:rsid w:val="00B3620F"/>
    <w:rsid w:val="00B36F44"/>
    <w:rsid w:val="00B5030C"/>
    <w:rsid w:val="00B57B16"/>
    <w:rsid w:val="00B6138C"/>
    <w:rsid w:val="00B66F65"/>
    <w:rsid w:val="00B671DD"/>
    <w:rsid w:val="00B702D6"/>
    <w:rsid w:val="00B769D5"/>
    <w:rsid w:val="00B906F4"/>
    <w:rsid w:val="00B92CEF"/>
    <w:rsid w:val="00B94A0D"/>
    <w:rsid w:val="00B9792A"/>
    <w:rsid w:val="00BA3D12"/>
    <w:rsid w:val="00BA5992"/>
    <w:rsid w:val="00BA6408"/>
    <w:rsid w:val="00BB28D0"/>
    <w:rsid w:val="00BB5400"/>
    <w:rsid w:val="00BB6475"/>
    <w:rsid w:val="00BC0328"/>
    <w:rsid w:val="00BC1E96"/>
    <w:rsid w:val="00BC3BFE"/>
    <w:rsid w:val="00BC599A"/>
    <w:rsid w:val="00BC7BFA"/>
    <w:rsid w:val="00BD09FA"/>
    <w:rsid w:val="00BD3429"/>
    <w:rsid w:val="00BD5F9B"/>
    <w:rsid w:val="00BD79EA"/>
    <w:rsid w:val="00BD7FF0"/>
    <w:rsid w:val="00BE0C19"/>
    <w:rsid w:val="00BE1543"/>
    <w:rsid w:val="00BE461B"/>
    <w:rsid w:val="00BF00EF"/>
    <w:rsid w:val="00BF1877"/>
    <w:rsid w:val="00BF5193"/>
    <w:rsid w:val="00BF5AF4"/>
    <w:rsid w:val="00C04055"/>
    <w:rsid w:val="00C04A61"/>
    <w:rsid w:val="00C06FB6"/>
    <w:rsid w:val="00C1586E"/>
    <w:rsid w:val="00C20C0C"/>
    <w:rsid w:val="00C21014"/>
    <w:rsid w:val="00C2506F"/>
    <w:rsid w:val="00C318AA"/>
    <w:rsid w:val="00C35E55"/>
    <w:rsid w:val="00C36B15"/>
    <w:rsid w:val="00C4350A"/>
    <w:rsid w:val="00C436C4"/>
    <w:rsid w:val="00C505BC"/>
    <w:rsid w:val="00C55E14"/>
    <w:rsid w:val="00C56980"/>
    <w:rsid w:val="00C60262"/>
    <w:rsid w:val="00C605B3"/>
    <w:rsid w:val="00C65E1C"/>
    <w:rsid w:val="00C67171"/>
    <w:rsid w:val="00C67D01"/>
    <w:rsid w:val="00C67F1A"/>
    <w:rsid w:val="00C709B2"/>
    <w:rsid w:val="00C709C3"/>
    <w:rsid w:val="00C751CE"/>
    <w:rsid w:val="00C76D57"/>
    <w:rsid w:val="00C77948"/>
    <w:rsid w:val="00C8614F"/>
    <w:rsid w:val="00C91126"/>
    <w:rsid w:val="00C91631"/>
    <w:rsid w:val="00C94679"/>
    <w:rsid w:val="00C96639"/>
    <w:rsid w:val="00CA14F4"/>
    <w:rsid w:val="00CB410F"/>
    <w:rsid w:val="00CC3966"/>
    <w:rsid w:val="00CC50EA"/>
    <w:rsid w:val="00CC6F61"/>
    <w:rsid w:val="00CC747F"/>
    <w:rsid w:val="00CD33F7"/>
    <w:rsid w:val="00CD3952"/>
    <w:rsid w:val="00CD542D"/>
    <w:rsid w:val="00CD663F"/>
    <w:rsid w:val="00CE003D"/>
    <w:rsid w:val="00CE4BD3"/>
    <w:rsid w:val="00CE71CB"/>
    <w:rsid w:val="00CE739E"/>
    <w:rsid w:val="00D00F46"/>
    <w:rsid w:val="00D02A2A"/>
    <w:rsid w:val="00D03D31"/>
    <w:rsid w:val="00D06615"/>
    <w:rsid w:val="00D074BF"/>
    <w:rsid w:val="00D146AE"/>
    <w:rsid w:val="00D1673F"/>
    <w:rsid w:val="00D21857"/>
    <w:rsid w:val="00D225EA"/>
    <w:rsid w:val="00D24B92"/>
    <w:rsid w:val="00D3225A"/>
    <w:rsid w:val="00D34CE9"/>
    <w:rsid w:val="00D358D7"/>
    <w:rsid w:val="00D4057F"/>
    <w:rsid w:val="00D50D66"/>
    <w:rsid w:val="00D57217"/>
    <w:rsid w:val="00D66225"/>
    <w:rsid w:val="00D66B2D"/>
    <w:rsid w:val="00D8185A"/>
    <w:rsid w:val="00D90128"/>
    <w:rsid w:val="00D92AE6"/>
    <w:rsid w:val="00D9385D"/>
    <w:rsid w:val="00D959D6"/>
    <w:rsid w:val="00D97B77"/>
    <w:rsid w:val="00DA0E99"/>
    <w:rsid w:val="00DA2D9F"/>
    <w:rsid w:val="00DA3D44"/>
    <w:rsid w:val="00DB1F7A"/>
    <w:rsid w:val="00DB59D9"/>
    <w:rsid w:val="00DC21D3"/>
    <w:rsid w:val="00DC246B"/>
    <w:rsid w:val="00DD62AA"/>
    <w:rsid w:val="00DD7638"/>
    <w:rsid w:val="00DF1682"/>
    <w:rsid w:val="00DF3AED"/>
    <w:rsid w:val="00DF7E86"/>
    <w:rsid w:val="00E007F3"/>
    <w:rsid w:val="00E01AAE"/>
    <w:rsid w:val="00E1061D"/>
    <w:rsid w:val="00E174DE"/>
    <w:rsid w:val="00E2241A"/>
    <w:rsid w:val="00E233AD"/>
    <w:rsid w:val="00E24456"/>
    <w:rsid w:val="00E31B72"/>
    <w:rsid w:val="00E37CA1"/>
    <w:rsid w:val="00E5304D"/>
    <w:rsid w:val="00E57613"/>
    <w:rsid w:val="00E62422"/>
    <w:rsid w:val="00E6264E"/>
    <w:rsid w:val="00E65CB6"/>
    <w:rsid w:val="00E7382A"/>
    <w:rsid w:val="00E8511C"/>
    <w:rsid w:val="00E8603F"/>
    <w:rsid w:val="00E9141F"/>
    <w:rsid w:val="00E936E8"/>
    <w:rsid w:val="00E977CF"/>
    <w:rsid w:val="00EB08C3"/>
    <w:rsid w:val="00EB5C2A"/>
    <w:rsid w:val="00EB6ACB"/>
    <w:rsid w:val="00EB72F6"/>
    <w:rsid w:val="00EC3CF6"/>
    <w:rsid w:val="00EC6AD5"/>
    <w:rsid w:val="00EC7C46"/>
    <w:rsid w:val="00ED2C90"/>
    <w:rsid w:val="00ED65A9"/>
    <w:rsid w:val="00ED7474"/>
    <w:rsid w:val="00EE076F"/>
    <w:rsid w:val="00EE535D"/>
    <w:rsid w:val="00EE71F8"/>
    <w:rsid w:val="00EE7736"/>
    <w:rsid w:val="00EF0D96"/>
    <w:rsid w:val="00EF403B"/>
    <w:rsid w:val="00F0092A"/>
    <w:rsid w:val="00F044E4"/>
    <w:rsid w:val="00F07B4F"/>
    <w:rsid w:val="00F07D77"/>
    <w:rsid w:val="00F11544"/>
    <w:rsid w:val="00F124E6"/>
    <w:rsid w:val="00F12DFA"/>
    <w:rsid w:val="00F151A8"/>
    <w:rsid w:val="00F17758"/>
    <w:rsid w:val="00F206E7"/>
    <w:rsid w:val="00F237C5"/>
    <w:rsid w:val="00F34451"/>
    <w:rsid w:val="00F34856"/>
    <w:rsid w:val="00F41463"/>
    <w:rsid w:val="00F433A3"/>
    <w:rsid w:val="00F6543E"/>
    <w:rsid w:val="00F66C2E"/>
    <w:rsid w:val="00F705DC"/>
    <w:rsid w:val="00F7380A"/>
    <w:rsid w:val="00F8109F"/>
    <w:rsid w:val="00F859BB"/>
    <w:rsid w:val="00F85E43"/>
    <w:rsid w:val="00F9132D"/>
    <w:rsid w:val="00F96F6C"/>
    <w:rsid w:val="00FA0BB8"/>
    <w:rsid w:val="00FB0AA8"/>
    <w:rsid w:val="00FB1724"/>
    <w:rsid w:val="00FB2BC1"/>
    <w:rsid w:val="00FB47A6"/>
    <w:rsid w:val="00FB5DC6"/>
    <w:rsid w:val="00FC5FC3"/>
    <w:rsid w:val="00FD05C7"/>
    <w:rsid w:val="00FD2040"/>
    <w:rsid w:val="00FD2952"/>
    <w:rsid w:val="00FD5347"/>
    <w:rsid w:val="00FE40A2"/>
    <w:rsid w:val="00FE6C7A"/>
    <w:rsid w:val="00FF50B1"/>
    <w:rsid w:val="01FB3F90"/>
    <w:rsid w:val="024125B6"/>
    <w:rsid w:val="0648701C"/>
    <w:rsid w:val="0B8E453A"/>
    <w:rsid w:val="11142273"/>
    <w:rsid w:val="14DE1EEB"/>
    <w:rsid w:val="150A0AF4"/>
    <w:rsid w:val="16FE430A"/>
    <w:rsid w:val="184751C8"/>
    <w:rsid w:val="1B9925F4"/>
    <w:rsid w:val="1C946885"/>
    <w:rsid w:val="1F6D5C24"/>
    <w:rsid w:val="1F8F67A7"/>
    <w:rsid w:val="21346C28"/>
    <w:rsid w:val="223D19F0"/>
    <w:rsid w:val="22EE6394"/>
    <w:rsid w:val="27A84917"/>
    <w:rsid w:val="2BD92DA8"/>
    <w:rsid w:val="2E6378AA"/>
    <w:rsid w:val="2F2D78DA"/>
    <w:rsid w:val="2F9B6F7F"/>
    <w:rsid w:val="3027534D"/>
    <w:rsid w:val="310C167E"/>
    <w:rsid w:val="331C4EB1"/>
    <w:rsid w:val="378D2A14"/>
    <w:rsid w:val="3A8B6CF4"/>
    <w:rsid w:val="3DA47E2C"/>
    <w:rsid w:val="4061013D"/>
    <w:rsid w:val="410337D8"/>
    <w:rsid w:val="41D40B6B"/>
    <w:rsid w:val="438A4670"/>
    <w:rsid w:val="452718EC"/>
    <w:rsid w:val="48D63FC9"/>
    <w:rsid w:val="496F3284"/>
    <w:rsid w:val="4A475C7F"/>
    <w:rsid w:val="4C196E0C"/>
    <w:rsid w:val="4F481845"/>
    <w:rsid w:val="51625BC6"/>
    <w:rsid w:val="565C1623"/>
    <w:rsid w:val="567B2B99"/>
    <w:rsid w:val="56830667"/>
    <w:rsid w:val="5A4332C1"/>
    <w:rsid w:val="5ACA3E03"/>
    <w:rsid w:val="5CE874EA"/>
    <w:rsid w:val="608A22E6"/>
    <w:rsid w:val="60E55B45"/>
    <w:rsid w:val="61A42C4A"/>
    <w:rsid w:val="64860255"/>
    <w:rsid w:val="66AD6C3F"/>
    <w:rsid w:val="6A9D5D7F"/>
    <w:rsid w:val="6CB974D9"/>
    <w:rsid w:val="6CD147B6"/>
    <w:rsid w:val="6F795D6B"/>
    <w:rsid w:val="717E2FBD"/>
    <w:rsid w:val="722B51EC"/>
    <w:rsid w:val="76E1142B"/>
    <w:rsid w:val="786542C3"/>
    <w:rsid w:val="79A4052B"/>
    <w:rsid w:val="79C67E6D"/>
    <w:rsid w:val="7A573111"/>
    <w:rsid w:val="7AA03EC1"/>
    <w:rsid w:val="7D5041BD"/>
    <w:rsid w:val="7FEE70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66"/>
    <w:qFormat/>
    <w:uiPriority w:val="99"/>
    <w:pPr>
      <w:keepNext/>
      <w:keepLines/>
      <w:spacing w:before="340" w:after="330" w:line="578" w:lineRule="auto"/>
      <w:outlineLvl w:val="0"/>
    </w:pPr>
    <w:rPr>
      <w:rFonts w:eastAsia="楷体_GB2312"/>
      <w:b/>
      <w:kern w:val="44"/>
      <w:sz w:val="20"/>
      <w:szCs w:val="20"/>
    </w:rPr>
  </w:style>
  <w:style w:type="paragraph" w:styleId="4">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b/>
      <w:kern w:val="0"/>
      <w:sz w:val="20"/>
      <w:szCs w:val="20"/>
    </w:rPr>
  </w:style>
  <w:style w:type="paragraph" w:styleId="2">
    <w:name w:val="heading 3"/>
    <w:basedOn w:val="1"/>
    <w:next w:val="1"/>
    <w:link w:val="68"/>
    <w:qFormat/>
    <w:uiPriority w:val="99"/>
    <w:pPr>
      <w:keepNext/>
      <w:keepLines/>
      <w:adjustRightInd w:val="0"/>
      <w:jc w:val="left"/>
      <w:textAlignment w:val="baseline"/>
      <w:outlineLvl w:val="2"/>
    </w:pPr>
    <w:rPr>
      <w:rFonts w:eastAsia="楷体_GB2312"/>
      <w:b/>
      <w:kern w:val="0"/>
      <w:sz w:val="20"/>
      <w:szCs w:val="20"/>
    </w:rPr>
  </w:style>
  <w:style w:type="paragraph" w:styleId="5">
    <w:name w:val="heading 4"/>
    <w:basedOn w:val="1"/>
    <w:next w:val="1"/>
    <w:link w:val="69"/>
    <w:qFormat/>
    <w:uiPriority w:val="99"/>
    <w:pPr>
      <w:keepNext/>
      <w:keepLines/>
      <w:spacing w:before="280" w:after="290" w:line="376" w:lineRule="auto"/>
      <w:outlineLvl w:val="3"/>
    </w:pPr>
    <w:rPr>
      <w:rFonts w:ascii="Cambria" w:hAnsi="Cambria" w:eastAsia="宋体"/>
      <w:b/>
      <w:kern w:val="0"/>
      <w:sz w:val="28"/>
      <w:szCs w:val="20"/>
    </w:rPr>
  </w:style>
  <w:style w:type="paragraph" w:styleId="6">
    <w:name w:val="heading 5"/>
    <w:basedOn w:val="1"/>
    <w:next w:val="7"/>
    <w:link w:val="70"/>
    <w:qFormat/>
    <w:uiPriority w:val="99"/>
    <w:pPr>
      <w:keepNext/>
      <w:keepLines/>
      <w:numPr>
        <w:ilvl w:val="4"/>
        <w:numId w:val="1"/>
      </w:numPr>
      <w:spacing w:before="280" w:after="290" w:line="376" w:lineRule="auto"/>
      <w:outlineLvl w:val="4"/>
    </w:pPr>
    <w:rPr>
      <w:rFonts w:ascii="宋体" w:eastAsia="宋体"/>
      <w:b/>
      <w:spacing w:val="-2"/>
      <w:kern w:val="0"/>
      <w:position w:val="-6"/>
      <w:sz w:val="20"/>
      <w:szCs w:val="20"/>
    </w:rPr>
  </w:style>
  <w:style w:type="paragraph" w:styleId="8">
    <w:name w:val="heading 6"/>
    <w:basedOn w:val="1"/>
    <w:next w:val="7"/>
    <w:link w:val="71"/>
    <w:qFormat/>
    <w:uiPriority w:val="99"/>
    <w:pPr>
      <w:keepNext/>
      <w:keepLines/>
      <w:numPr>
        <w:ilvl w:val="5"/>
        <w:numId w:val="1"/>
      </w:numPr>
      <w:spacing w:before="240" w:after="64" w:line="320" w:lineRule="auto"/>
      <w:outlineLvl w:val="5"/>
    </w:pPr>
    <w:rPr>
      <w:rFonts w:ascii="Arial" w:hAnsi="Arial" w:eastAsia="黑体"/>
      <w:b/>
      <w:spacing w:val="-2"/>
      <w:kern w:val="0"/>
      <w:position w:val="-6"/>
      <w:sz w:val="20"/>
      <w:szCs w:val="20"/>
    </w:rPr>
  </w:style>
  <w:style w:type="paragraph" w:styleId="9">
    <w:name w:val="heading 7"/>
    <w:basedOn w:val="1"/>
    <w:next w:val="7"/>
    <w:link w:val="72"/>
    <w:qFormat/>
    <w:uiPriority w:val="99"/>
    <w:pPr>
      <w:keepNext/>
      <w:keepLines/>
      <w:numPr>
        <w:ilvl w:val="6"/>
        <w:numId w:val="1"/>
      </w:numPr>
      <w:spacing w:before="240" w:after="64" w:line="320" w:lineRule="auto"/>
      <w:outlineLvl w:val="6"/>
    </w:pPr>
    <w:rPr>
      <w:rFonts w:ascii="宋体" w:eastAsia="宋体"/>
      <w:b/>
      <w:spacing w:val="-2"/>
      <w:kern w:val="0"/>
      <w:position w:val="-6"/>
      <w:sz w:val="20"/>
      <w:szCs w:val="20"/>
    </w:rPr>
  </w:style>
  <w:style w:type="paragraph" w:styleId="10">
    <w:name w:val="heading 8"/>
    <w:basedOn w:val="1"/>
    <w:next w:val="7"/>
    <w:link w:val="73"/>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4"/>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3"/>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77"/>
    <w:semiHidden/>
    <w:qFormat/>
    <w:uiPriority w:val="99"/>
    <w:pPr>
      <w:shd w:val="clear" w:color="auto" w:fill="000080"/>
    </w:pPr>
    <w:rPr>
      <w:rFonts w:eastAsia="楷体_GB2312"/>
      <w:kern w:val="0"/>
      <w:sz w:val="20"/>
      <w:szCs w:val="20"/>
    </w:rPr>
  </w:style>
  <w:style w:type="paragraph" w:styleId="16">
    <w:name w:val="annotation text"/>
    <w:basedOn w:val="1"/>
    <w:link w:val="78"/>
    <w:semiHidden/>
    <w:qFormat/>
    <w:uiPriority w:val="99"/>
    <w:pPr>
      <w:jc w:val="left"/>
    </w:pPr>
    <w:rPr>
      <w:rFonts w:eastAsia="宋体"/>
      <w:kern w:val="0"/>
      <w:sz w:val="20"/>
      <w:szCs w:val="20"/>
    </w:rPr>
  </w:style>
  <w:style w:type="paragraph" w:styleId="17">
    <w:name w:val="index 6"/>
    <w:basedOn w:val="1"/>
    <w:next w:val="1"/>
    <w:semiHidden/>
    <w:qFormat/>
    <w:uiPriority w:val="99"/>
    <w:pPr>
      <w:ind w:left="2100"/>
    </w:pPr>
    <w:rPr>
      <w:rFonts w:eastAsia="楷体_GB2312"/>
      <w:sz w:val="26"/>
      <w:szCs w:val="26"/>
    </w:rPr>
  </w:style>
  <w:style w:type="paragraph" w:styleId="18">
    <w:name w:val="Body Text"/>
    <w:basedOn w:val="1"/>
    <w:next w:val="1"/>
    <w:link w:val="79"/>
    <w:qFormat/>
    <w:uiPriority w:val="99"/>
    <w:pPr>
      <w:spacing w:line="400" w:lineRule="exact"/>
    </w:pPr>
    <w:rPr>
      <w:rFonts w:ascii="楷体_GB2312" w:eastAsia="楷体_GB2312"/>
      <w:kern w:val="0"/>
      <w:sz w:val="20"/>
      <w:szCs w:val="20"/>
    </w:rPr>
  </w:style>
  <w:style w:type="paragraph" w:styleId="19">
    <w:name w:val="Body Text Indent"/>
    <w:basedOn w:val="1"/>
    <w:next w:val="20"/>
    <w:link w:val="124"/>
    <w:qFormat/>
    <w:uiPriority w:val="99"/>
    <w:pPr>
      <w:spacing w:line="520" w:lineRule="exact"/>
      <w:ind w:left="570"/>
    </w:pPr>
    <w:rPr>
      <w:rFonts w:eastAsia="宋体"/>
      <w:kern w:val="0"/>
      <w:szCs w:val="20"/>
    </w:rPr>
  </w:style>
  <w:style w:type="paragraph" w:styleId="20">
    <w:name w:val="envelope return"/>
    <w:basedOn w:val="1"/>
    <w:qFormat/>
    <w:locked/>
    <w:uiPriority w:val="99"/>
    <w:pPr>
      <w:snapToGrid w:val="0"/>
    </w:pPr>
    <w:rPr>
      <w:rFonts w:ascii="Arial" w:hAnsi="Arial"/>
    </w:rPr>
  </w:style>
  <w:style w:type="paragraph" w:styleId="21">
    <w:name w:val="index 4"/>
    <w:basedOn w:val="1"/>
    <w:next w:val="1"/>
    <w:semiHidden/>
    <w:qFormat/>
    <w:uiPriority w:val="99"/>
    <w:pPr>
      <w:ind w:left="1260"/>
    </w:pPr>
    <w:rPr>
      <w:rFonts w:eastAsia="楷体_GB2312"/>
      <w:sz w:val="26"/>
      <w:szCs w:val="26"/>
    </w:rPr>
  </w:style>
  <w:style w:type="paragraph" w:styleId="22">
    <w:name w:val="toc 5"/>
    <w:basedOn w:val="1"/>
    <w:next w:val="1"/>
    <w:semiHidden/>
    <w:qFormat/>
    <w:uiPriority w:val="99"/>
    <w:pPr>
      <w:ind w:left="1680"/>
    </w:pPr>
    <w:rPr>
      <w:rFonts w:eastAsia="楷体_GB2312"/>
      <w:sz w:val="26"/>
      <w:szCs w:val="26"/>
    </w:rPr>
  </w:style>
  <w:style w:type="paragraph" w:styleId="23">
    <w:name w:val="toc 3"/>
    <w:basedOn w:val="1"/>
    <w:next w:val="1"/>
    <w:qFormat/>
    <w:uiPriority w:val="99"/>
    <w:pPr>
      <w:ind w:left="840"/>
    </w:pPr>
    <w:rPr>
      <w:rFonts w:eastAsia="楷体_GB2312"/>
      <w:sz w:val="26"/>
      <w:szCs w:val="26"/>
    </w:rPr>
  </w:style>
  <w:style w:type="paragraph" w:styleId="24">
    <w:name w:val="Plain Text"/>
    <w:basedOn w:val="1"/>
    <w:link w:val="120"/>
    <w:qFormat/>
    <w:uiPriority w:val="99"/>
    <w:rPr>
      <w:rFonts w:ascii="宋体" w:hAnsi="Courier New" w:eastAsia="宋体"/>
      <w:kern w:val="0"/>
      <w:sz w:val="21"/>
      <w:szCs w:val="20"/>
    </w:rPr>
  </w:style>
  <w:style w:type="paragraph" w:styleId="25">
    <w:name w:val="toc 8"/>
    <w:basedOn w:val="1"/>
    <w:next w:val="1"/>
    <w:semiHidden/>
    <w:qFormat/>
    <w:uiPriority w:val="99"/>
    <w:pPr>
      <w:ind w:left="2940"/>
    </w:pPr>
    <w:rPr>
      <w:rFonts w:eastAsia="楷体_GB2312"/>
      <w:sz w:val="26"/>
      <w:szCs w:val="26"/>
    </w:rPr>
  </w:style>
  <w:style w:type="paragraph" w:styleId="26">
    <w:name w:val="index 3"/>
    <w:basedOn w:val="1"/>
    <w:next w:val="1"/>
    <w:semiHidden/>
    <w:qFormat/>
    <w:uiPriority w:val="99"/>
    <w:pPr>
      <w:ind w:left="840"/>
    </w:pPr>
    <w:rPr>
      <w:rFonts w:eastAsia="楷体_GB2312"/>
      <w:sz w:val="26"/>
      <w:szCs w:val="26"/>
    </w:rPr>
  </w:style>
  <w:style w:type="paragraph" w:styleId="27">
    <w:name w:val="Date"/>
    <w:basedOn w:val="1"/>
    <w:next w:val="1"/>
    <w:link w:val="81"/>
    <w:qFormat/>
    <w:uiPriority w:val="99"/>
    <w:rPr>
      <w:rFonts w:ascii="宋体" w:hAnsi="宋体" w:eastAsia="楷体_GB2312"/>
      <w:kern w:val="0"/>
      <w:sz w:val="20"/>
      <w:szCs w:val="20"/>
    </w:rPr>
  </w:style>
  <w:style w:type="paragraph" w:styleId="28">
    <w:name w:val="Body Text Indent 2"/>
    <w:basedOn w:val="1"/>
    <w:link w:val="82"/>
    <w:qFormat/>
    <w:uiPriority w:val="99"/>
    <w:pPr>
      <w:tabs>
        <w:tab w:val="left" w:pos="0"/>
      </w:tabs>
      <w:spacing w:line="360" w:lineRule="auto"/>
      <w:ind w:firstLine="502" w:firstLineChars="209"/>
    </w:pPr>
    <w:rPr>
      <w:rFonts w:ascii="宋体" w:eastAsia="宋体"/>
      <w:b/>
      <w:kern w:val="0"/>
      <w:sz w:val="20"/>
      <w:szCs w:val="20"/>
    </w:rPr>
  </w:style>
  <w:style w:type="paragraph" w:styleId="29">
    <w:name w:val="Balloon Text"/>
    <w:basedOn w:val="1"/>
    <w:link w:val="83"/>
    <w:semiHidden/>
    <w:qFormat/>
    <w:uiPriority w:val="99"/>
    <w:rPr>
      <w:rFonts w:eastAsia="楷体_GB2312"/>
      <w:kern w:val="0"/>
      <w:sz w:val="18"/>
      <w:szCs w:val="20"/>
    </w:rPr>
  </w:style>
  <w:style w:type="paragraph" w:styleId="30">
    <w:name w:val="footer"/>
    <w:basedOn w:val="1"/>
    <w:link w:val="111"/>
    <w:qFormat/>
    <w:uiPriority w:val="99"/>
    <w:pPr>
      <w:tabs>
        <w:tab w:val="center" w:pos="4153"/>
        <w:tab w:val="right" w:pos="8306"/>
      </w:tabs>
      <w:snapToGrid w:val="0"/>
      <w:jc w:val="left"/>
    </w:pPr>
    <w:rPr>
      <w:rFonts w:eastAsia="宋体"/>
      <w:kern w:val="0"/>
      <w:sz w:val="18"/>
      <w:szCs w:val="20"/>
    </w:rPr>
  </w:style>
  <w:style w:type="paragraph" w:styleId="31">
    <w:name w:val="header"/>
    <w:basedOn w:val="1"/>
    <w:link w:val="114"/>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2">
    <w:name w:val="toc 1"/>
    <w:basedOn w:val="1"/>
    <w:next w:val="1"/>
    <w:qFormat/>
    <w:uiPriority w:val="99"/>
    <w:pPr>
      <w:adjustRightInd w:val="0"/>
      <w:jc w:val="left"/>
      <w:textAlignment w:val="baseline"/>
    </w:pPr>
    <w:rPr>
      <w:rFonts w:eastAsia="楷体_GB2312"/>
    </w:rPr>
  </w:style>
  <w:style w:type="paragraph" w:styleId="33">
    <w:name w:val="toc 4"/>
    <w:basedOn w:val="1"/>
    <w:next w:val="1"/>
    <w:semiHidden/>
    <w:qFormat/>
    <w:uiPriority w:val="99"/>
    <w:pPr>
      <w:ind w:left="1260"/>
    </w:pPr>
    <w:rPr>
      <w:rFonts w:eastAsia="楷体_GB2312"/>
      <w:sz w:val="26"/>
      <w:szCs w:val="26"/>
    </w:rPr>
  </w:style>
  <w:style w:type="paragraph" w:styleId="34">
    <w:name w:val="index heading"/>
    <w:basedOn w:val="1"/>
    <w:next w:val="35"/>
    <w:semiHidden/>
    <w:qFormat/>
    <w:uiPriority w:val="99"/>
    <w:rPr>
      <w:rFonts w:eastAsia="楷体_GB2312"/>
      <w:sz w:val="26"/>
      <w:szCs w:val="26"/>
    </w:rPr>
  </w:style>
  <w:style w:type="paragraph" w:styleId="35">
    <w:name w:val="index 1"/>
    <w:basedOn w:val="1"/>
    <w:next w:val="1"/>
    <w:semiHidden/>
    <w:qFormat/>
    <w:uiPriority w:val="99"/>
    <w:rPr>
      <w:rFonts w:eastAsia="楷体_GB2312"/>
      <w:sz w:val="26"/>
      <w:szCs w:val="26"/>
    </w:rPr>
  </w:style>
  <w:style w:type="paragraph" w:styleId="36">
    <w:name w:val="footnote text"/>
    <w:basedOn w:val="1"/>
    <w:link w:val="86"/>
    <w:semiHidden/>
    <w:qFormat/>
    <w:uiPriority w:val="99"/>
    <w:pPr>
      <w:snapToGrid w:val="0"/>
      <w:jc w:val="left"/>
    </w:pPr>
    <w:rPr>
      <w:rFonts w:eastAsia="楷体_GB2312"/>
      <w:kern w:val="0"/>
      <w:sz w:val="20"/>
      <w:szCs w:val="20"/>
    </w:rPr>
  </w:style>
  <w:style w:type="paragraph" w:styleId="37">
    <w:name w:val="toc 6"/>
    <w:basedOn w:val="1"/>
    <w:next w:val="1"/>
    <w:semiHidden/>
    <w:qFormat/>
    <w:uiPriority w:val="99"/>
    <w:pPr>
      <w:ind w:left="2100"/>
    </w:pPr>
    <w:rPr>
      <w:rFonts w:eastAsia="楷体_GB2312"/>
      <w:sz w:val="26"/>
      <w:szCs w:val="26"/>
    </w:rPr>
  </w:style>
  <w:style w:type="paragraph" w:styleId="38">
    <w:name w:val="Body Text Indent 3"/>
    <w:basedOn w:val="1"/>
    <w:link w:val="87"/>
    <w:qFormat/>
    <w:uiPriority w:val="99"/>
    <w:pPr>
      <w:spacing w:line="360" w:lineRule="auto"/>
      <w:ind w:firstLine="617" w:firstLineChars="257"/>
    </w:pPr>
    <w:rPr>
      <w:rFonts w:eastAsia="宋体"/>
      <w:kern w:val="0"/>
      <w:sz w:val="20"/>
      <w:szCs w:val="20"/>
    </w:rPr>
  </w:style>
  <w:style w:type="paragraph" w:styleId="39">
    <w:name w:val="index 7"/>
    <w:basedOn w:val="1"/>
    <w:next w:val="1"/>
    <w:semiHidden/>
    <w:qFormat/>
    <w:uiPriority w:val="99"/>
    <w:pPr>
      <w:ind w:left="2520"/>
    </w:pPr>
    <w:rPr>
      <w:rFonts w:eastAsia="楷体_GB2312"/>
      <w:sz w:val="26"/>
      <w:szCs w:val="26"/>
    </w:rPr>
  </w:style>
  <w:style w:type="paragraph" w:styleId="40">
    <w:name w:val="index 9"/>
    <w:basedOn w:val="1"/>
    <w:next w:val="1"/>
    <w:semiHidden/>
    <w:qFormat/>
    <w:uiPriority w:val="99"/>
    <w:pPr>
      <w:ind w:left="3360"/>
    </w:pPr>
    <w:rPr>
      <w:rFonts w:eastAsia="楷体_GB2312"/>
      <w:sz w:val="26"/>
      <w:szCs w:val="26"/>
    </w:rPr>
  </w:style>
  <w:style w:type="paragraph" w:styleId="41">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2">
    <w:name w:val="toc 2"/>
    <w:basedOn w:val="1"/>
    <w:next w:val="1"/>
    <w:semiHidden/>
    <w:qFormat/>
    <w:uiPriority w:val="99"/>
    <w:pPr>
      <w:ind w:left="420"/>
    </w:pPr>
    <w:rPr>
      <w:rFonts w:eastAsia="楷体_GB2312"/>
      <w:sz w:val="26"/>
      <w:szCs w:val="26"/>
    </w:rPr>
  </w:style>
  <w:style w:type="paragraph" w:styleId="43">
    <w:name w:val="toc 9"/>
    <w:basedOn w:val="1"/>
    <w:next w:val="1"/>
    <w:semiHidden/>
    <w:qFormat/>
    <w:uiPriority w:val="99"/>
    <w:pPr>
      <w:ind w:left="3360"/>
    </w:pPr>
    <w:rPr>
      <w:rFonts w:eastAsia="楷体_GB2312"/>
      <w:sz w:val="26"/>
      <w:szCs w:val="26"/>
    </w:rPr>
  </w:style>
  <w:style w:type="paragraph" w:styleId="44">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99"/>
    <w:pPr>
      <w:ind w:left="420"/>
    </w:pPr>
    <w:rPr>
      <w:rFonts w:eastAsia="楷体_GB2312"/>
      <w:sz w:val="26"/>
      <w:szCs w:val="26"/>
    </w:rPr>
  </w:style>
  <w:style w:type="paragraph" w:styleId="47">
    <w:name w:val="annotation subject"/>
    <w:basedOn w:val="16"/>
    <w:next w:val="16"/>
    <w:link w:val="89"/>
    <w:semiHidden/>
    <w:qFormat/>
    <w:uiPriority w:val="99"/>
    <w:rPr>
      <w:rFonts w:eastAsia="楷体_GB2312"/>
      <w:b/>
    </w:rPr>
  </w:style>
  <w:style w:type="paragraph" w:styleId="48">
    <w:name w:val="Body Text First Indent"/>
    <w:basedOn w:val="18"/>
    <w:qFormat/>
    <w:locked/>
    <w:uiPriority w:val="0"/>
    <w:pPr>
      <w:spacing w:line="360" w:lineRule="auto"/>
      <w:ind w:firstLine="200" w:firstLineChars="200"/>
    </w:pPr>
    <w:rPr>
      <w:rFonts w:ascii="仿宋_GB2312" w:eastAsia="仿宋_GB2312"/>
      <w:sz w:val="30"/>
      <w:szCs w:val="30"/>
    </w:rPr>
  </w:style>
  <w:style w:type="paragraph" w:styleId="49">
    <w:name w:val="Body Text First Indent 2"/>
    <w:basedOn w:val="19"/>
    <w:link w:val="76"/>
    <w:qFormat/>
    <w:locked/>
    <w:uiPriority w:val="99"/>
    <w:pPr>
      <w:ind w:firstLine="420" w:firstLineChars="200"/>
    </w:pPr>
    <w:rPr>
      <w:rFonts w:ascii="方正仿宋简体" w:hAnsi="创艺简仿宋" w:eastAsia="仿宋_GB2312"/>
      <w:szCs w:val="24"/>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99"/>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auto"/>
      <w:u w:val="single"/>
    </w:rPr>
  </w:style>
  <w:style w:type="character" w:styleId="56">
    <w:name w:val="Emphasis"/>
    <w:qFormat/>
    <w:uiPriority w:val="99"/>
    <w:rPr>
      <w:rFonts w:cs="Times New Roman"/>
      <w:i/>
    </w:rPr>
  </w:style>
  <w:style w:type="character" w:styleId="57">
    <w:name w:val="line number"/>
    <w:qFormat/>
    <w:uiPriority w:val="99"/>
    <w:rPr>
      <w:rFonts w:cs="Times New Roman"/>
    </w:rPr>
  </w:style>
  <w:style w:type="character" w:styleId="58">
    <w:name w:val="HTML Definition"/>
    <w:qFormat/>
    <w:uiPriority w:val="99"/>
    <w:rPr>
      <w:rFonts w:cs="Times New Roman"/>
      <w:i/>
    </w:rPr>
  </w:style>
  <w:style w:type="character" w:styleId="59">
    <w:name w:val="Hyperlink"/>
    <w:qFormat/>
    <w:uiPriority w:val="99"/>
    <w:rPr>
      <w:rFonts w:cs="Times New Roman"/>
      <w:color w:val="0000FF"/>
      <w:u w:val="single"/>
    </w:rPr>
  </w:style>
  <w:style w:type="character" w:styleId="60">
    <w:name w:val="HTML Code"/>
    <w:qFormat/>
    <w:uiPriority w:val="99"/>
    <w:rPr>
      <w:rFonts w:ascii="Menlo" w:hAnsi="Menlo" w:cs="Times New Roman"/>
      <w:color w:val="auto"/>
      <w:sz w:val="21"/>
      <w:shd w:val="clear" w:color="auto" w:fill="auto"/>
    </w:rPr>
  </w:style>
  <w:style w:type="character" w:styleId="61">
    <w:name w:val="annotation reference"/>
    <w:semiHidden/>
    <w:qFormat/>
    <w:uiPriority w:val="99"/>
    <w:rPr>
      <w:rFonts w:cs="Times New Roman"/>
      <w:sz w:val="21"/>
    </w:rPr>
  </w:style>
  <w:style w:type="character" w:styleId="62">
    <w:name w:val="HTML Cite"/>
    <w:qFormat/>
    <w:uiPriority w:val="99"/>
    <w:rPr>
      <w:rFonts w:cs="Times New Roman"/>
    </w:rPr>
  </w:style>
  <w:style w:type="character" w:styleId="63">
    <w:name w:val="footnote reference"/>
    <w:semiHidden/>
    <w:qFormat/>
    <w:uiPriority w:val="99"/>
    <w:rPr>
      <w:rFonts w:cs="Times New Roman"/>
      <w:vertAlign w:val="superscript"/>
    </w:rPr>
  </w:style>
  <w:style w:type="character" w:styleId="64">
    <w:name w:val="HTML Keyboard"/>
    <w:qFormat/>
    <w:uiPriority w:val="99"/>
    <w:rPr>
      <w:rFonts w:ascii="Menlo" w:hAnsi="Menlo" w:cs="Times New Roman"/>
      <w:sz w:val="21"/>
    </w:rPr>
  </w:style>
  <w:style w:type="character" w:styleId="65">
    <w:name w:val="HTML Sample"/>
    <w:qFormat/>
    <w:uiPriority w:val="99"/>
    <w:rPr>
      <w:rFonts w:ascii="Menlo" w:hAnsi="Menlo" w:cs="Times New Roman"/>
      <w:sz w:val="21"/>
    </w:rPr>
  </w:style>
  <w:style w:type="character" w:customStyle="1" w:styleId="66">
    <w:name w:val="标题 1 Char"/>
    <w:link w:val="3"/>
    <w:qFormat/>
    <w:locked/>
    <w:uiPriority w:val="99"/>
    <w:rPr>
      <w:rFonts w:eastAsia="楷体_GB2312"/>
      <w:b/>
      <w:kern w:val="44"/>
      <w:sz w:val="20"/>
    </w:rPr>
  </w:style>
  <w:style w:type="character" w:customStyle="1" w:styleId="67">
    <w:name w:val="标题 2 Char"/>
    <w:link w:val="4"/>
    <w:qFormat/>
    <w:locked/>
    <w:uiPriority w:val="99"/>
    <w:rPr>
      <w:rFonts w:ascii="宋体" w:hAnsi="宋体" w:eastAsia="楷体_GB2312"/>
      <w:b/>
      <w:sz w:val="20"/>
    </w:rPr>
  </w:style>
  <w:style w:type="character" w:customStyle="1" w:styleId="68">
    <w:name w:val="标题 3 Char"/>
    <w:link w:val="2"/>
    <w:qFormat/>
    <w:locked/>
    <w:uiPriority w:val="99"/>
    <w:rPr>
      <w:rFonts w:eastAsia="楷体_GB2312"/>
      <w:b/>
      <w:sz w:val="20"/>
    </w:rPr>
  </w:style>
  <w:style w:type="character" w:customStyle="1" w:styleId="69">
    <w:name w:val="标题 4 Char"/>
    <w:link w:val="5"/>
    <w:qFormat/>
    <w:locked/>
    <w:uiPriority w:val="99"/>
    <w:rPr>
      <w:rFonts w:ascii="Cambria" w:hAnsi="Cambria" w:eastAsia="宋体"/>
      <w:b/>
      <w:sz w:val="28"/>
    </w:rPr>
  </w:style>
  <w:style w:type="character" w:customStyle="1" w:styleId="70">
    <w:name w:val="标题 5 Char"/>
    <w:link w:val="6"/>
    <w:qFormat/>
    <w:locked/>
    <w:uiPriority w:val="99"/>
    <w:rPr>
      <w:rFonts w:ascii="宋体" w:eastAsia="宋体"/>
      <w:b/>
      <w:spacing w:val="-2"/>
      <w:position w:val="-6"/>
      <w:sz w:val="20"/>
    </w:rPr>
  </w:style>
  <w:style w:type="character" w:customStyle="1" w:styleId="71">
    <w:name w:val="标题 6 Char"/>
    <w:link w:val="8"/>
    <w:qFormat/>
    <w:locked/>
    <w:uiPriority w:val="99"/>
    <w:rPr>
      <w:rFonts w:ascii="Arial" w:hAnsi="Arial" w:eastAsia="黑体"/>
      <w:b/>
      <w:spacing w:val="-2"/>
      <w:position w:val="-6"/>
      <w:sz w:val="20"/>
    </w:rPr>
  </w:style>
  <w:style w:type="character" w:customStyle="1" w:styleId="72">
    <w:name w:val="标题 7 Char"/>
    <w:link w:val="9"/>
    <w:qFormat/>
    <w:locked/>
    <w:uiPriority w:val="99"/>
    <w:rPr>
      <w:rFonts w:ascii="宋体" w:eastAsia="宋体"/>
      <w:b/>
      <w:spacing w:val="-2"/>
      <w:position w:val="-6"/>
      <w:sz w:val="20"/>
    </w:rPr>
  </w:style>
  <w:style w:type="character" w:customStyle="1" w:styleId="73">
    <w:name w:val="标题 8 Char"/>
    <w:link w:val="10"/>
    <w:qFormat/>
    <w:locked/>
    <w:uiPriority w:val="99"/>
    <w:rPr>
      <w:rFonts w:ascii="Arial" w:hAnsi="Arial" w:eastAsia="黑体"/>
      <w:spacing w:val="-2"/>
      <w:position w:val="-6"/>
      <w:sz w:val="20"/>
    </w:rPr>
  </w:style>
  <w:style w:type="character" w:customStyle="1" w:styleId="74">
    <w:name w:val="标题 9 Char"/>
    <w:link w:val="11"/>
    <w:qFormat/>
    <w:locked/>
    <w:uiPriority w:val="99"/>
    <w:rPr>
      <w:rFonts w:ascii="Arial" w:hAnsi="Arial" w:eastAsia="黑体"/>
      <w:spacing w:val="-2"/>
      <w:position w:val="-6"/>
      <w:sz w:val="20"/>
    </w:rPr>
  </w:style>
  <w:style w:type="character" w:customStyle="1" w:styleId="75">
    <w:name w:val="Body Text Indent Char"/>
    <w:qFormat/>
    <w:locked/>
    <w:uiPriority w:val="99"/>
    <w:rPr>
      <w:rFonts w:ascii="方正仿宋简体" w:hAnsi="创艺简仿宋" w:eastAsia="方正仿宋简体"/>
    </w:rPr>
  </w:style>
  <w:style w:type="character" w:customStyle="1" w:styleId="76">
    <w:name w:val="正文首行缩进 2 Char"/>
    <w:link w:val="49"/>
    <w:semiHidden/>
    <w:qFormat/>
    <w:locked/>
    <w:uiPriority w:val="99"/>
    <w:rPr>
      <w:rFonts w:ascii="方正仿宋简体" w:hAnsi="创艺简仿宋" w:eastAsia="仿宋_GB2312"/>
      <w:sz w:val="24"/>
    </w:rPr>
  </w:style>
  <w:style w:type="character" w:customStyle="1" w:styleId="77">
    <w:name w:val="文档结构图 Char"/>
    <w:link w:val="15"/>
    <w:semiHidden/>
    <w:qFormat/>
    <w:locked/>
    <w:uiPriority w:val="99"/>
    <w:rPr>
      <w:rFonts w:eastAsia="楷体_GB2312"/>
      <w:sz w:val="20"/>
      <w:shd w:val="clear" w:color="auto" w:fill="000080"/>
    </w:rPr>
  </w:style>
  <w:style w:type="character" w:customStyle="1" w:styleId="78">
    <w:name w:val="批注文字 Char"/>
    <w:basedOn w:val="52"/>
    <w:link w:val="16"/>
    <w:semiHidden/>
    <w:qFormat/>
    <w:locked/>
    <w:uiPriority w:val="99"/>
  </w:style>
  <w:style w:type="character" w:customStyle="1" w:styleId="79">
    <w:name w:val="正文文本 Char"/>
    <w:link w:val="18"/>
    <w:qFormat/>
    <w:locked/>
    <w:uiPriority w:val="99"/>
    <w:rPr>
      <w:rFonts w:ascii="楷体_GB2312" w:eastAsia="楷体_GB2312"/>
      <w:sz w:val="20"/>
    </w:rPr>
  </w:style>
  <w:style w:type="character" w:customStyle="1" w:styleId="80">
    <w:name w:val="Plain Text Char"/>
    <w:qFormat/>
    <w:locked/>
    <w:uiPriority w:val="99"/>
    <w:rPr>
      <w:rFonts w:ascii="宋体" w:hAnsi="Courier New" w:eastAsia="楷体_GB2312"/>
      <w:sz w:val="26"/>
    </w:rPr>
  </w:style>
  <w:style w:type="character" w:customStyle="1" w:styleId="81">
    <w:name w:val="日期 Char"/>
    <w:link w:val="27"/>
    <w:qFormat/>
    <w:locked/>
    <w:uiPriority w:val="99"/>
    <w:rPr>
      <w:rFonts w:ascii="宋体" w:hAnsi="宋体" w:eastAsia="楷体_GB2312"/>
      <w:sz w:val="20"/>
    </w:rPr>
  </w:style>
  <w:style w:type="character" w:customStyle="1" w:styleId="82">
    <w:name w:val="正文文本缩进 2 Char"/>
    <w:link w:val="28"/>
    <w:qFormat/>
    <w:locked/>
    <w:uiPriority w:val="99"/>
    <w:rPr>
      <w:rFonts w:ascii="宋体" w:eastAsia="宋体"/>
      <w:b/>
      <w:sz w:val="20"/>
    </w:rPr>
  </w:style>
  <w:style w:type="character" w:customStyle="1" w:styleId="83">
    <w:name w:val="批注框文本 Char"/>
    <w:link w:val="29"/>
    <w:semiHidden/>
    <w:qFormat/>
    <w:locked/>
    <w:uiPriority w:val="99"/>
    <w:rPr>
      <w:rFonts w:eastAsia="楷体_GB2312"/>
      <w:sz w:val="18"/>
    </w:rPr>
  </w:style>
  <w:style w:type="character" w:customStyle="1" w:styleId="84">
    <w:name w:val="Footer Char"/>
    <w:qFormat/>
    <w:locked/>
    <w:uiPriority w:val="99"/>
    <w:rPr>
      <w:rFonts w:eastAsia="楷体_GB2312"/>
      <w:sz w:val="18"/>
    </w:rPr>
  </w:style>
  <w:style w:type="character" w:customStyle="1" w:styleId="85">
    <w:name w:val="Header Char"/>
    <w:qFormat/>
    <w:locked/>
    <w:uiPriority w:val="99"/>
    <w:rPr>
      <w:rFonts w:eastAsia="楷体_GB2312"/>
      <w:sz w:val="18"/>
    </w:rPr>
  </w:style>
  <w:style w:type="character" w:customStyle="1" w:styleId="86">
    <w:name w:val="脚注文本 Char"/>
    <w:link w:val="36"/>
    <w:semiHidden/>
    <w:qFormat/>
    <w:locked/>
    <w:uiPriority w:val="99"/>
    <w:rPr>
      <w:rFonts w:eastAsia="楷体_GB2312"/>
      <w:sz w:val="20"/>
    </w:rPr>
  </w:style>
  <w:style w:type="character" w:customStyle="1" w:styleId="87">
    <w:name w:val="正文文本缩进 3 Char"/>
    <w:link w:val="38"/>
    <w:qFormat/>
    <w:locked/>
    <w:uiPriority w:val="99"/>
    <w:rPr>
      <w:rFonts w:eastAsia="宋体"/>
    </w:rPr>
  </w:style>
  <w:style w:type="character" w:customStyle="1" w:styleId="88">
    <w:name w:val="HTML 预设格式 Char"/>
    <w:link w:val="44"/>
    <w:qFormat/>
    <w:locked/>
    <w:uiPriority w:val="99"/>
    <w:rPr>
      <w:rFonts w:ascii="黑体" w:hAnsi="Courier New" w:eastAsia="黑体"/>
      <w:kern w:val="0"/>
      <w:sz w:val="20"/>
    </w:rPr>
  </w:style>
  <w:style w:type="character" w:customStyle="1" w:styleId="89">
    <w:name w:val="批注主题 Char"/>
    <w:link w:val="47"/>
    <w:semiHidden/>
    <w:qFormat/>
    <w:locked/>
    <w:uiPriority w:val="99"/>
    <w:rPr>
      <w:rFonts w:eastAsia="楷体_GB2312"/>
      <w:b/>
      <w:sz w:val="20"/>
    </w:rPr>
  </w:style>
  <w:style w:type="character" w:customStyle="1" w:styleId="90">
    <w:name w:val="grid"/>
    <w:qFormat/>
    <w:uiPriority w:val="99"/>
  </w:style>
  <w:style w:type="character" w:customStyle="1" w:styleId="91">
    <w:name w:val="hilite"/>
    <w:qFormat/>
    <w:uiPriority w:val="99"/>
    <w:rPr>
      <w:color w:val="FFFFFF"/>
      <w:shd w:val="clear" w:color="auto" w:fill="auto"/>
    </w:rPr>
  </w:style>
  <w:style w:type="character" w:customStyle="1" w:styleId="92">
    <w:name w:val="bds_nopic"/>
    <w:qFormat/>
    <w:uiPriority w:val="99"/>
  </w:style>
  <w:style w:type="character" w:customStyle="1" w:styleId="93">
    <w:name w:val="正文缩进 Char"/>
    <w:link w:val="7"/>
    <w:qFormat/>
    <w:locked/>
    <w:uiPriority w:val="99"/>
    <w:rPr>
      <w:rFonts w:eastAsia="楷体_GB2312"/>
    </w:rPr>
  </w:style>
  <w:style w:type="character" w:customStyle="1" w:styleId="94">
    <w:name w:val="bds_more4"/>
    <w:qFormat/>
    <w:uiPriority w:val="99"/>
    <w:rPr>
      <w:rFonts w:ascii="宋体" w:hAnsi="宋体" w:eastAsia="宋体"/>
    </w:rPr>
  </w:style>
  <w:style w:type="character" w:customStyle="1" w:styleId="95">
    <w:name w:val="批注文字 字符"/>
    <w:semiHidden/>
    <w:qFormat/>
    <w:uiPriority w:val="99"/>
    <w:rPr>
      <w:rFonts w:eastAsia="楷体_GB2312"/>
      <w:kern w:val="2"/>
      <w:sz w:val="26"/>
    </w:rPr>
  </w:style>
  <w:style w:type="character" w:customStyle="1" w:styleId="96">
    <w:name w:val="active"/>
    <w:qFormat/>
    <w:uiPriority w:val="99"/>
    <w:rPr>
      <w:color w:val="00FF00"/>
      <w:shd w:val="clear" w:color="auto" w:fill="000000"/>
    </w:rPr>
  </w:style>
  <w:style w:type="character" w:customStyle="1" w:styleId="97">
    <w:name w:val="other"/>
    <w:qFormat/>
    <w:uiPriority w:val="99"/>
  </w:style>
  <w:style w:type="character" w:customStyle="1" w:styleId="98">
    <w:name w:val="grid2"/>
    <w:qFormat/>
    <w:uiPriority w:val="99"/>
  </w:style>
  <w:style w:type="character" w:customStyle="1" w:styleId="99">
    <w:name w:val="active8"/>
    <w:qFormat/>
    <w:uiPriority w:val="99"/>
    <w:rPr>
      <w:color w:val="00FF00"/>
      <w:shd w:val="clear" w:color="auto" w:fill="000000"/>
    </w:rPr>
  </w:style>
  <w:style w:type="character" w:customStyle="1" w:styleId="100">
    <w:name w:val="hilite6"/>
    <w:qFormat/>
    <w:uiPriority w:val="99"/>
    <w:rPr>
      <w:color w:val="FFFFFF"/>
      <w:shd w:val="clear" w:color="auto" w:fill="auto"/>
    </w:rPr>
  </w:style>
  <w:style w:type="character" w:customStyle="1" w:styleId="101">
    <w:name w:val="bds_more6"/>
    <w:qFormat/>
    <w:uiPriority w:val="99"/>
  </w:style>
  <w:style w:type="character" w:customStyle="1" w:styleId="102">
    <w:name w:val="bds_more8"/>
    <w:qFormat/>
    <w:uiPriority w:val="99"/>
    <w:rPr>
      <w:rFonts w:ascii="宋体" w:hAnsi="宋体" w:eastAsia="宋体"/>
    </w:rPr>
  </w:style>
  <w:style w:type="character" w:customStyle="1" w:styleId="103">
    <w:name w:val="noused"/>
    <w:qFormat/>
    <w:uiPriority w:val="99"/>
    <w:rPr>
      <w:b/>
      <w:color w:val="FFFFFF"/>
      <w:sz w:val="21"/>
    </w:rPr>
  </w:style>
  <w:style w:type="character" w:customStyle="1" w:styleId="104">
    <w:name w:val="bds_nopic1"/>
    <w:qFormat/>
    <w:uiPriority w:val="99"/>
  </w:style>
  <w:style w:type="character" w:customStyle="1" w:styleId="105">
    <w:name w:val="bds_more7"/>
    <w:qFormat/>
    <w:uiPriority w:val="99"/>
  </w:style>
  <w:style w:type="character" w:customStyle="1" w:styleId="106">
    <w:name w:val="bds_more5"/>
    <w:qFormat/>
    <w:uiPriority w:val="99"/>
  </w:style>
  <w:style w:type="character" w:customStyle="1" w:styleId="107">
    <w:name w:val="bds_nopic2"/>
    <w:qFormat/>
    <w:uiPriority w:val="99"/>
  </w:style>
  <w:style w:type="character" w:customStyle="1" w:styleId="108">
    <w:name w:val="Char Char2"/>
    <w:qFormat/>
    <w:uiPriority w:val="99"/>
    <w:rPr>
      <w:rFonts w:ascii="宋体" w:hAnsi="宋体" w:eastAsia="楷体_GB2312"/>
      <w:b/>
      <w:kern w:val="2"/>
      <w:sz w:val="26"/>
      <w:lang w:val="en-US" w:eastAsia="zh-CN"/>
    </w:rPr>
  </w:style>
  <w:style w:type="character" w:customStyle="1" w:styleId="109">
    <w:name w:val="hover61"/>
    <w:qFormat/>
    <w:uiPriority w:val="99"/>
    <w:rPr>
      <w:shd w:val="clear" w:color="auto" w:fill="FF0000"/>
    </w:rPr>
  </w:style>
  <w:style w:type="character" w:customStyle="1" w:styleId="110">
    <w:name w:val="state"/>
    <w:qFormat/>
    <w:uiPriority w:val="99"/>
    <w:rPr>
      <w:b/>
      <w:color w:val="FFFFFF"/>
      <w:sz w:val="19"/>
    </w:rPr>
  </w:style>
  <w:style w:type="character" w:customStyle="1" w:styleId="111">
    <w:name w:val="页脚 Char"/>
    <w:link w:val="30"/>
    <w:qFormat/>
    <w:locked/>
    <w:uiPriority w:val="99"/>
    <w:rPr>
      <w:sz w:val="18"/>
    </w:rPr>
  </w:style>
  <w:style w:type="character" w:customStyle="1" w:styleId="112">
    <w:name w:val="页脚 字符1"/>
    <w:semiHidden/>
    <w:qFormat/>
    <w:uiPriority w:val="99"/>
    <w:rPr>
      <w:sz w:val="18"/>
    </w:rPr>
  </w:style>
  <w:style w:type="paragraph" w:customStyle="1" w:styleId="113">
    <w:name w:val="Char"/>
    <w:basedOn w:val="1"/>
    <w:qFormat/>
    <w:uiPriority w:val="99"/>
    <w:rPr>
      <w:rFonts w:ascii="Tahoma" w:hAnsi="Tahoma" w:eastAsia="宋体" w:cs="Tahoma"/>
    </w:rPr>
  </w:style>
  <w:style w:type="character" w:customStyle="1" w:styleId="114">
    <w:name w:val="页眉 Char"/>
    <w:link w:val="31"/>
    <w:qFormat/>
    <w:locked/>
    <w:uiPriority w:val="99"/>
    <w:rPr>
      <w:sz w:val="18"/>
    </w:rPr>
  </w:style>
  <w:style w:type="character" w:customStyle="1" w:styleId="115">
    <w:name w:val="页眉 字符1"/>
    <w:semiHidden/>
    <w:qFormat/>
    <w:uiPriority w:val="99"/>
    <w:rPr>
      <w:sz w:val="18"/>
    </w:rPr>
  </w:style>
  <w:style w:type="paragraph" w:customStyle="1" w:styleId="116">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17">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8">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19">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0">
    <w:name w:val="纯文本 Char"/>
    <w:link w:val="24"/>
    <w:qFormat/>
    <w:locked/>
    <w:uiPriority w:val="99"/>
    <w:rPr>
      <w:rFonts w:ascii="宋体" w:hAnsi="Courier New" w:eastAsia="宋体"/>
      <w:sz w:val="21"/>
    </w:rPr>
  </w:style>
  <w:style w:type="character" w:customStyle="1" w:styleId="121">
    <w:name w:val="纯文本 字符1"/>
    <w:semiHidden/>
    <w:qFormat/>
    <w:uiPriority w:val="99"/>
    <w:rPr>
      <w:rFonts w:ascii="等线" w:hAnsi="Courier New" w:eastAsia="等线"/>
    </w:rPr>
  </w:style>
  <w:style w:type="paragraph" w:styleId="122">
    <w:name w:val="List Paragraph"/>
    <w:basedOn w:val="1"/>
    <w:qFormat/>
    <w:uiPriority w:val="99"/>
    <w:pPr>
      <w:ind w:firstLine="420" w:firstLineChars="200"/>
    </w:pPr>
    <w:rPr>
      <w:rFonts w:eastAsia="宋体"/>
      <w:sz w:val="21"/>
      <w:szCs w:val="21"/>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正文文本缩进 Char"/>
    <w:link w:val="19"/>
    <w:qFormat/>
    <w:locked/>
    <w:uiPriority w:val="99"/>
    <w:rPr>
      <w:sz w:val="24"/>
    </w:rPr>
  </w:style>
  <w:style w:type="character" w:customStyle="1" w:styleId="125">
    <w:name w:val="正文文本缩进 字符1"/>
    <w:semiHidden/>
    <w:qFormat/>
    <w:uiPriority w:val="99"/>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b/>
      <w:color w:val="000000"/>
      <w:sz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Char Char21"/>
    <w:qFormat/>
    <w:uiPriority w:val="99"/>
    <w:rPr>
      <w:rFonts w:ascii="宋体" w:hAnsi="宋体" w:eastAsia="楷体_GB2312"/>
      <w:b/>
      <w:kern w:val="2"/>
      <w:sz w:val="26"/>
      <w:lang w:val="en-US" w:eastAsia="zh-CN"/>
    </w:rPr>
  </w:style>
  <w:style w:type="paragraph" w:customStyle="1" w:styleId="133">
    <w:name w:val="Char Char1 Char Char Char Char1"/>
    <w:basedOn w:val="15"/>
    <w:qFormat/>
    <w:uiPriority w:val="99"/>
    <w:pPr>
      <w:adjustRightInd w:val="0"/>
      <w:snapToGrid w:val="0"/>
      <w:spacing w:line="360" w:lineRule="auto"/>
    </w:pPr>
    <w:rPr>
      <w:rFonts w:ascii="Tahoma" w:hAnsi="Tahoma" w:eastAsia="宋体"/>
      <w:kern w:val="2"/>
      <w:sz w:val="24"/>
      <w:szCs w:val="24"/>
    </w:rPr>
  </w:style>
  <w:style w:type="paragraph" w:customStyle="1" w:styleId="134">
    <w:name w:val="Char2"/>
    <w:basedOn w:val="1"/>
    <w:qFormat/>
    <w:uiPriority w:val="99"/>
    <w:pPr>
      <w:widowControl/>
      <w:spacing w:after="160" w:line="240" w:lineRule="exact"/>
      <w:jc w:val="left"/>
    </w:pPr>
    <w:rPr>
      <w:rFonts w:ascii="Verdana" w:hAnsi="Verdana" w:eastAsia="宋体"/>
      <w:kern w:val="0"/>
      <w:sz w:val="21"/>
      <w:szCs w:val="20"/>
      <w:lang w:eastAsia="en-US"/>
    </w:rPr>
  </w:style>
  <w:style w:type="paragraph" w:customStyle="1" w:styleId="135">
    <w:name w:val="纯文本2"/>
    <w:basedOn w:val="1"/>
    <w:qFormat/>
    <w:uiPriority w:val="99"/>
    <w:pPr>
      <w:adjustRightInd w:val="0"/>
      <w:textAlignment w:val="baseline"/>
    </w:pPr>
    <w:rPr>
      <w:rFonts w:ascii="宋体" w:hAnsi="Courier New" w:eastAsia="楷体_GB2312"/>
      <w:sz w:val="26"/>
      <w:szCs w:val="20"/>
    </w:rPr>
  </w:style>
  <w:style w:type="table" w:customStyle="1" w:styleId="136">
    <w:name w:val="网格型2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9">
    <w:name w:val="flType"/>
    <w:basedOn w:val="1"/>
    <w:qFormat/>
    <w:uiPriority w:val="99"/>
    <w:pPr>
      <w:adjustRightInd w:val="0"/>
      <w:spacing w:after="284" w:line="113" w:lineRule="atLeast"/>
      <w:jc w:val="center"/>
      <w:textAlignment w:val="baseline"/>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CC36-74FC-4E6D-BC0C-CF1B8FAF4ABE}">
  <ds:schemaRefs/>
</ds:datastoreItem>
</file>

<file path=docProps/app.xml><?xml version="1.0" encoding="utf-8"?>
<Properties xmlns="http://schemas.openxmlformats.org/officeDocument/2006/extended-properties" xmlns:vt="http://schemas.openxmlformats.org/officeDocument/2006/docPropsVTypes">
  <Template>Normal</Template>
  <Company>ql</Company>
  <Pages>35</Pages>
  <Words>7779</Words>
  <Characters>7936</Characters>
  <Lines>133</Lines>
  <Paragraphs>37</Paragraphs>
  <TotalTime>7</TotalTime>
  <ScaleCrop>false</ScaleCrop>
  <LinksUpToDate>false</LinksUpToDate>
  <CharactersWithSpaces>8012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2023-06-07T07:42:00Z</dcterms:created>
  <dc:creator>戴 健秋</dc:creator>
  <cp:lastModifiedBy>琉璃</cp:lastModifiedBy>
  <dcterms:modified xsi:type="dcterms:W3CDTF">2024-11-04T07:51:56Z</dcterms:modified>
  <dc:title>南通市崇川区环境卫生管理处小型路面养护车采购项目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A133F703CD564FC79DCEDA47BC7AEA31</vt:lpwstr>
  </property>
</Properties>
</file>