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7BEAD8">
      <w:pPr>
        <w:keepNext w:val="0"/>
        <w:keepLines w:val="0"/>
        <w:pageBreakBefore w:val="0"/>
        <w:bidi w:val="0"/>
        <w:spacing w:beforeAutospacing="0" w:afterAutospacing="0" w:line="440" w:lineRule="exact"/>
        <w:ind w:left="0" w:leftChars="0" w:right="0" w:rightChars="0"/>
        <w:jc w:val="center"/>
        <w:rPr>
          <w:rFonts w:ascii="宋体" w:hAnsi="宋体"/>
          <w:b/>
          <w:color w:val="auto"/>
          <w:sz w:val="44"/>
          <w:szCs w:val="44"/>
          <w:highlight w:val="none"/>
        </w:rPr>
      </w:pPr>
    </w:p>
    <w:p w14:paraId="0698909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宋体" w:hAnsi="宋体"/>
          <w:color w:val="auto"/>
          <w:w w:val="90"/>
          <w:kern w:val="0"/>
          <w:sz w:val="48"/>
          <w:szCs w:val="48"/>
          <w:highlight w:val="none"/>
        </w:rPr>
      </w:pPr>
    </w:p>
    <w:p w14:paraId="4476FE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b/>
          <w:bCs/>
          <w:color w:val="auto"/>
          <w:w w:val="90"/>
          <w:kern w:val="0"/>
          <w:sz w:val="48"/>
          <w:szCs w:val="48"/>
          <w:highlight w:val="none"/>
          <w:lang w:eastAsia="zh-CN"/>
        </w:rPr>
      </w:pPr>
      <w:r>
        <w:rPr>
          <w:rFonts w:hint="eastAsia" w:ascii="宋体" w:hAnsi="宋体"/>
          <w:b/>
          <w:bCs/>
          <w:color w:val="auto"/>
          <w:w w:val="90"/>
          <w:kern w:val="0"/>
          <w:sz w:val="48"/>
          <w:szCs w:val="48"/>
          <w:highlight w:val="none"/>
          <w:lang w:eastAsia="zh-CN"/>
        </w:rPr>
        <w:t>南通老节制闸安全检测项目</w:t>
      </w:r>
    </w:p>
    <w:p w14:paraId="31D6E3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宋体" w:hAnsi="宋体" w:cs="宋体"/>
          <w:b/>
          <w:color w:val="auto"/>
          <w:sz w:val="72"/>
          <w:szCs w:val="72"/>
          <w:highlight w:val="none"/>
        </w:rPr>
      </w:pPr>
    </w:p>
    <w:p w14:paraId="5950F29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color w:val="auto"/>
          <w:highlight w:val="none"/>
        </w:rPr>
      </w:pPr>
    </w:p>
    <w:p w14:paraId="3F9CF19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color w:val="auto"/>
          <w:highlight w:val="none"/>
        </w:rPr>
      </w:pPr>
    </w:p>
    <w:p w14:paraId="593699D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color w:val="auto"/>
          <w:highlight w:val="none"/>
        </w:rPr>
      </w:pPr>
    </w:p>
    <w:p w14:paraId="5DD1C6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宋体"/>
          <w:color w:val="auto"/>
          <w:highlight w:val="none"/>
        </w:rPr>
      </w:pPr>
    </w:p>
    <w:p w14:paraId="4FBAB9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宋体" w:hAnsi="宋体" w:cs="宋体"/>
          <w:b/>
          <w:color w:val="auto"/>
          <w:sz w:val="96"/>
          <w:szCs w:val="96"/>
          <w:highlight w:val="none"/>
        </w:rPr>
      </w:pPr>
      <w:r>
        <w:rPr>
          <w:rFonts w:hint="eastAsia" w:ascii="宋体" w:hAnsi="宋体" w:cs="宋体"/>
          <w:b/>
          <w:color w:val="auto"/>
          <w:sz w:val="72"/>
          <w:szCs w:val="72"/>
          <w:highlight w:val="none"/>
        </w:rPr>
        <w:t>公开招标文件</w:t>
      </w:r>
    </w:p>
    <w:p w14:paraId="09C0A3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宋体" w:hAnsi="宋体"/>
          <w:b/>
          <w:color w:val="auto"/>
          <w:sz w:val="44"/>
          <w:szCs w:val="44"/>
          <w:highlight w:val="none"/>
        </w:rPr>
      </w:pPr>
      <w:r>
        <w:rPr>
          <w:rFonts w:hint="eastAsia" w:ascii="宋体" w:hAnsi="宋体"/>
          <w:b/>
          <w:color w:val="auto"/>
          <w:sz w:val="44"/>
          <w:szCs w:val="44"/>
          <w:highlight w:val="none"/>
        </w:rPr>
        <w:t>（资格后审）</w:t>
      </w:r>
    </w:p>
    <w:p w14:paraId="0C802AB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宋体" w:hAnsi="宋体"/>
          <w:color w:val="auto"/>
          <w:sz w:val="28"/>
          <w:szCs w:val="21"/>
          <w:highlight w:val="none"/>
        </w:rPr>
      </w:pPr>
    </w:p>
    <w:p w14:paraId="4C6E00B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宋体" w:hAnsi="宋体"/>
          <w:b/>
          <w:color w:val="auto"/>
          <w:sz w:val="36"/>
          <w:szCs w:val="36"/>
          <w:highlight w:val="none"/>
        </w:rPr>
      </w:pPr>
    </w:p>
    <w:p w14:paraId="1ADCA24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宋体" w:hAnsi="宋体"/>
          <w:b/>
          <w:bCs/>
          <w:color w:val="auto"/>
          <w:sz w:val="36"/>
          <w:szCs w:val="36"/>
          <w:highlight w:val="none"/>
        </w:rPr>
      </w:pPr>
    </w:p>
    <w:p w14:paraId="4AC936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宋体" w:hAnsi="宋体"/>
          <w:b/>
          <w:bCs/>
          <w:color w:val="auto"/>
          <w:sz w:val="36"/>
          <w:szCs w:val="36"/>
          <w:highlight w:val="none"/>
        </w:rPr>
      </w:pPr>
    </w:p>
    <w:p w14:paraId="423CB28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color w:val="auto"/>
          <w:highlight w:val="none"/>
        </w:rPr>
      </w:pPr>
    </w:p>
    <w:p w14:paraId="5FB9DF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宋体"/>
          <w:color w:val="auto"/>
          <w:highlight w:val="none"/>
        </w:rPr>
      </w:pPr>
    </w:p>
    <w:p w14:paraId="73631EE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宋体"/>
          <w:color w:val="auto"/>
          <w:highlight w:val="none"/>
        </w:rPr>
      </w:pPr>
    </w:p>
    <w:p w14:paraId="638AC05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宋体"/>
          <w:color w:val="auto"/>
          <w:highlight w:val="none"/>
        </w:rPr>
      </w:pPr>
    </w:p>
    <w:p w14:paraId="66AEE49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宋体"/>
          <w:color w:val="auto"/>
          <w:highlight w:val="none"/>
        </w:rPr>
      </w:pPr>
    </w:p>
    <w:p w14:paraId="05B544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964" w:firstLineChars="200"/>
        <w:textAlignment w:val="auto"/>
        <w:rPr>
          <w:rFonts w:ascii="宋体" w:hAnsi="宋体"/>
          <w:b/>
          <w:color w:val="auto"/>
          <w:sz w:val="32"/>
          <w:szCs w:val="32"/>
          <w:highlight w:val="none"/>
        </w:rPr>
      </w:pPr>
      <w:bookmarkStart w:id="0" w:name="_Toc257275442"/>
      <w:bookmarkStart w:id="1" w:name="_Toc241913651"/>
      <w:bookmarkStart w:id="2" w:name="_Toc312608845"/>
      <w:r>
        <w:rPr>
          <w:rFonts w:hint="eastAsia" w:ascii="宋体" w:hAnsi="宋体"/>
          <w:b/>
          <w:color w:val="auto"/>
          <w:spacing w:val="81"/>
          <w:kern w:val="0"/>
          <w:sz w:val="32"/>
          <w:szCs w:val="32"/>
          <w:highlight w:val="none"/>
          <w:fitText w:val="1284" w:id="-1688883709"/>
        </w:rPr>
        <w:t>采购</w:t>
      </w:r>
      <w:r>
        <w:rPr>
          <w:rFonts w:hint="eastAsia" w:ascii="宋体" w:hAnsi="宋体"/>
          <w:b/>
          <w:color w:val="auto"/>
          <w:spacing w:val="0"/>
          <w:kern w:val="0"/>
          <w:sz w:val="32"/>
          <w:szCs w:val="32"/>
          <w:highlight w:val="none"/>
          <w:fitText w:val="1284" w:id="-1688883709"/>
        </w:rPr>
        <w:t>人</w:t>
      </w:r>
      <w:r>
        <w:rPr>
          <w:rFonts w:hint="eastAsia" w:ascii="宋体" w:hAnsi="宋体"/>
          <w:b/>
          <w:color w:val="auto"/>
          <w:sz w:val="32"/>
          <w:szCs w:val="32"/>
          <w:highlight w:val="none"/>
        </w:rPr>
        <w:t>：</w:t>
      </w:r>
      <w:r>
        <w:rPr>
          <w:rFonts w:hint="eastAsia" w:ascii="宋体" w:hAnsi="宋体"/>
          <w:b/>
          <w:color w:val="auto"/>
          <w:kern w:val="0"/>
          <w:sz w:val="32"/>
          <w:szCs w:val="32"/>
          <w:highlight w:val="none"/>
        </w:rPr>
        <w:t>南通市通吕运河水利工程管理所</w:t>
      </w:r>
    </w:p>
    <w:p w14:paraId="327E9E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960" w:firstLineChars="300"/>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代理单位：</w:t>
      </w:r>
      <w:r>
        <w:rPr>
          <w:rFonts w:hint="eastAsia" w:ascii="宋体" w:hAnsi="宋体"/>
          <w:b/>
          <w:color w:val="auto"/>
          <w:sz w:val="32"/>
          <w:szCs w:val="32"/>
          <w:highlight w:val="none"/>
          <w:lang w:eastAsia="zh-CN"/>
        </w:rPr>
        <w:t>江苏建博工程管理咨询有限公司</w:t>
      </w:r>
    </w:p>
    <w:p w14:paraId="7946D6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964" w:firstLineChars="100"/>
        <w:textAlignment w:val="auto"/>
        <w:rPr>
          <w:rFonts w:ascii="宋体" w:hAnsi="宋体"/>
          <w:b/>
          <w:color w:val="auto"/>
          <w:sz w:val="32"/>
          <w:szCs w:val="32"/>
          <w:highlight w:val="none"/>
        </w:rPr>
      </w:pPr>
      <w:r>
        <w:rPr>
          <w:rFonts w:hint="eastAsia" w:ascii="宋体" w:hAnsi="宋体"/>
          <w:b/>
          <w:color w:val="auto"/>
          <w:spacing w:val="322"/>
          <w:kern w:val="0"/>
          <w:sz w:val="32"/>
          <w:szCs w:val="32"/>
          <w:highlight w:val="none"/>
          <w:fitText w:val="1284" w:id="-1688883707"/>
        </w:rPr>
        <w:t>日</w:t>
      </w:r>
      <w:r>
        <w:rPr>
          <w:rFonts w:hint="eastAsia" w:ascii="宋体" w:hAnsi="宋体"/>
          <w:b/>
          <w:color w:val="auto"/>
          <w:spacing w:val="0"/>
          <w:kern w:val="0"/>
          <w:sz w:val="32"/>
          <w:szCs w:val="32"/>
          <w:highlight w:val="none"/>
          <w:fitText w:val="1284" w:id="-1688883707"/>
        </w:rPr>
        <w:t>期</w:t>
      </w:r>
      <w:r>
        <w:rPr>
          <w:rFonts w:hint="eastAsia" w:ascii="宋体" w:hAnsi="宋体"/>
          <w:b/>
          <w:color w:val="auto"/>
          <w:sz w:val="32"/>
          <w:szCs w:val="32"/>
          <w:highlight w:val="none"/>
        </w:rPr>
        <w:t>：</w:t>
      </w:r>
      <w:r>
        <w:rPr>
          <w:rFonts w:hint="eastAsia" w:ascii="宋体" w:hAnsi="宋体"/>
          <w:b/>
          <w:color w:val="auto"/>
          <w:sz w:val="32"/>
          <w:szCs w:val="32"/>
          <w:highlight w:val="none"/>
          <w:lang w:eastAsia="zh-CN"/>
        </w:rPr>
        <w:t>2026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月</w:t>
      </w:r>
      <w:r>
        <w:rPr>
          <w:rFonts w:hint="eastAsia" w:ascii="宋体" w:hAnsi="宋体"/>
          <w:b/>
          <w:color w:val="auto"/>
          <w:sz w:val="32"/>
          <w:szCs w:val="32"/>
          <w:highlight w:val="none"/>
          <w:lang w:val="en-US" w:eastAsia="zh-CN"/>
        </w:rPr>
        <w:t>14</w:t>
      </w:r>
      <w:r>
        <w:rPr>
          <w:rFonts w:hint="eastAsia" w:ascii="宋体" w:hAnsi="宋体"/>
          <w:b/>
          <w:color w:val="auto"/>
          <w:sz w:val="32"/>
          <w:szCs w:val="32"/>
          <w:highlight w:val="none"/>
        </w:rPr>
        <w:t>日</w:t>
      </w:r>
    </w:p>
    <w:p w14:paraId="789EADC1">
      <w:pPr>
        <w:pStyle w:val="63"/>
        <w:keepNext w:val="0"/>
        <w:keepLines w:val="0"/>
        <w:pageBreakBefore w:val="0"/>
        <w:widowControl w:val="0"/>
        <w:kinsoku/>
        <w:wordWrap/>
        <w:overflowPunct/>
        <w:topLinePunct w:val="0"/>
        <w:autoSpaceDE/>
        <w:autoSpaceDN/>
        <w:bidi w:val="0"/>
        <w:adjustRightInd/>
        <w:snapToGrid/>
        <w:spacing w:beforeAutospacing="0" w:after="0" w:afterLines="0" w:afterAutospacing="0" w:line="360" w:lineRule="auto"/>
        <w:ind w:left="0" w:leftChars="0" w:right="0" w:rightChars="0"/>
        <w:textAlignment w:val="auto"/>
        <w:rPr>
          <w:color w:val="auto"/>
          <w:szCs w:val="28"/>
          <w:highlight w:val="none"/>
        </w:rPr>
      </w:pPr>
      <w:r>
        <w:rPr>
          <w:color w:val="auto"/>
          <w:highlight w:val="none"/>
        </w:rPr>
        <w:br w:type="page"/>
      </w:r>
      <w:bookmarkEnd w:id="0"/>
      <w:bookmarkEnd w:id="1"/>
      <w:bookmarkEnd w:id="2"/>
    </w:p>
    <w:p w14:paraId="3C554ABC">
      <w:pPr>
        <w:keepNext w:val="0"/>
        <w:keepLines w:val="0"/>
        <w:pageBreakBefore w:val="0"/>
        <w:bidi w:val="0"/>
        <w:spacing w:beforeAutospacing="0" w:afterAutospacing="0" w:line="440" w:lineRule="exact"/>
        <w:ind w:left="0" w:leftChars="0" w:right="0" w:rightChars="0"/>
        <w:jc w:val="center"/>
        <w:rPr>
          <w:rFonts w:ascii="宋体" w:hAnsi="宋体"/>
          <w:b/>
          <w:color w:val="auto"/>
          <w:sz w:val="44"/>
          <w:szCs w:val="44"/>
          <w:highlight w:val="none"/>
        </w:rPr>
      </w:pPr>
      <w:r>
        <w:rPr>
          <w:rFonts w:ascii="宋体" w:hAnsi="宋体"/>
          <w:b/>
          <w:color w:val="auto"/>
          <w:sz w:val="44"/>
          <w:szCs w:val="44"/>
          <w:highlight w:val="none"/>
        </w:rPr>
        <w:t>目      录</w:t>
      </w:r>
    </w:p>
    <w:p w14:paraId="05D5D196">
      <w:pPr>
        <w:keepNext w:val="0"/>
        <w:keepLines w:val="0"/>
        <w:pageBreakBefore w:val="0"/>
        <w:bidi w:val="0"/>
        <w:spacing w:beforeAutospacing="0" w:afterAutospacing="0" w:line="440" w:lineRule="exact"/>
        <w:ind w:left="0" w:leftChars="0" w:right="0" w:rightChars="0"/>
        <w:jc w:val="center"/>
        <w:rPr>
          <w:rFonts w:ascii="宋体" w:hAnsi="宋体"/>
          <w:b/>
          <w:color w:val="auto"/>
          <w:sz w:val="28"/>
          <w:szCs w:val="28"/>
          <w:highlight w:val="none"/>
        </w:rPr>
      </w:pPr>
    </w:p>
    <w:p w14:paraId="3841988C">
      <w:pPr>
        <w:keepNext w:val="0"/>
        <w:keepLines w:val="0"/>
        <w:pageBreakBefore w:val="0"/>
        <w:tabs>
          <w:tab w:val="left" w:pos="7740"/>
        </w:tabs>
        <w:bidi w:val="0"/>
        <w:spacing w:beforeAutospacing="0" w:afterAutospacing="0" w:line="440" w:lineRule="exact"/>
        <w:ind w:left="0" w:leftChars="0" w:right="0" w:rightChars="0"/>
        <w:rPr>
          <w:rFonts w:ascii="宋体" w:hAnsi="宋体"/>
          <w:b/>
          <w:color w:val="auto"/>
          <w:spacing w:val="2"/>
          <w:sz w:val="28"/>
          <w:szCs w:val="28"/>
          <w:highlight w:val="none"/>
        </w:rPr>
      </w:pPr>
      <w:r>
        <w:rPr>
          <w:rFonts w:ascii="宋体" w:hAnsi="宋体"/>
          <w:b/>
          <w:bCs/>
          <w:color w:val="auto"/>
          <w:sz w:val="28"/>
          <w:szCs w:val="28"/>
          <w:highlight w:val="none"/>
        </w:rPr>
        <w:t>第一章  招标公告</w:t>
      </w:r>
    </w:p>
    <w:p w14:paraId="0E877592">
      <w:pPr>
        <w:keepNext w:val="0"/>
        <w:keepLines w:val="0"/>
        <w:pageBreakBefore w:val="0"/>
        <w:tabs>
          <w:tab w:val="left" w:pos="7740"/>
        </w:tabs>
        <w:bidi w:val="0"/>
        <w:spacing w:beforeAutospacing="0" w:afterAutospacing="0" w:line="440" w:lineRule="exact"/>
        <w:ind w:left="0" w:leftChars="0" w:right="0" w:rightChars="0"/>
        <w:rPr>
          <w:rFonts w:ascii="宋体" w:hAnsi="宋体"/>
          <w:b/>
          <w:color w:val="auto"/>
          <w:sz w:val="28"/>
          <w:szCs w:val="28"/>
          <w:highlight w:val="none"/>
        </w:rPr>
      </w:pPr>
    </w:p>
    <w:p w14:paraId="0F1F18E2">
      <w:pPr>
        <w:keepNext w:val="0"/>
        <w:keepLines w:val="0"/>
        <w:pageBreakBefore w:val="0"/>
        <w:tabs>
          <w:tab w:val="left" w:pos="7740"/>
        </w:tabs>
        <w:bidi w:val="0"/>
        <w:spacing w:beforeAutospacing="0" w:afterAutospacing="0" w:line="440" w:lineRule="exact"/>
        <w:ind w:left="0" w:leftChars="0" w:right="0" w:rightChars="0"/>
        <w:rPr>
          <w:rFonts w:ascii="宋体" w:hAnsi="宋体"/>
          <w:b/>
          <w:color w:val="auto"/>
          <w:spacing w:val="2"/>
          <w:sz w:val="28"/>
          <w:szCs w:val="28"/>
          <w:highlight w:val="none"/>
        </w:rPr>
      </w:pPr>
      <w:r>
        <w:rPr>
          <w:rFonts w:ascii="宋体" w:hAnsi="宋体"/>
          <w:b/>
          <w:bCs/>
          <w:color w:val="auto"/>
          <w:sz w:val="28"/>
          <w:szCs w:val="28"/>
          <w:highlight w:val="none"/>
        </w:rPr>
        <w:t>第二章  投标人须知</w:t>
      </w:r>
    </w:p>
    <w:p w14:paraId="58C3B71D">
      <w:pPr>
        <w:keepNext w:val="0"/>
        <w:keepLines w:val="0"/>
        <w:pageBreakBefore w:val="0"/>
        <w:bidi w:val="0"/>
        <w:spacing w:beforeAutospacing="0" w:afterAutospacing="0" w:line="440" w:lineRule="exact"/>
        <w:ind w:left="0" w:leftChars="0" w:right="0" w:rightChars="0"/>
        <w:rPr>
          <w:rFonts w:ascii="宋体" w:hAnsi="宋体"/>
          <w:b/>
          <w:color w:val="auto"/>
          <w:sz w:val="28"/>
          <w:szCs w:val="28"/>
          <w:highlight w:val="none"/>
        </w:rPr>
      </w:pPr>
    </w:p>
    <w:p w14:paraId="7D8D0A92">
      <w:pPr>
        <w:keepNext w:val="0"/>
        <w:keepLines w:val="0"/>
        <w:pageBreakBefore w:val="0"/>
        <w:tabs>
          <w:tab w:val="left" w:pos="7740"/>
        </w:tabs>
        <w:bidi w:val="0"/>
        <w:spacing w:beforeAutospacing="0" w:afterAutospacing="0" w:line="440" w:lineRule="exact"/>
        <w:ind w:left="0" w:leftChars="0" w:right="0" w:rightChars="0"/>
        <w:rPr>
          <w:rFonts w:ascii="宋体" w:hAnsi="宋体"/>
          <w:b/>
          <w:color w:val="auto"/>
          <w:spacing w:val="2"/>
          <w:sz w:val="28"/>
          <w:szCs w:val="28"/>
          <w:highlight w:val="none"/>
        </w:rPr>
      </w:pPr>
      <w:r>
        <w:rPr>
          <w:rFonts w:ascii="宋体" w:hAnsi="宋体"/>
          <w:b/>
          <w:bCs/>
          <w:color w:val="auto"/>
          <w:sz w:val="28"/>
          <w:szCs w:val="28"/>
          <w:highlight w:val="none"/>
        </w:rPr>
        <w:t>第三章  项目需求</w:t>
      </w:r>
    </w:p>
    <w:p w14:paraId="51A240DF">
      <w:pPr>
        <w:pStyle w:val="27"/>
        <w:keepNext w:val="0"/>
        <w:keepLines w:val="0"/>
        <w:pageBreakBefore w:val="0"/>
        <w:tabs>
          <w:tab w:val="left" w:pos="7740"/>
          <w:tab w:val="left" w:pos="7920"/>
        </w:tabs>
        <w:bidi w:val="0"/>
        <w:spacing w:beforeAutospacing="0" w:after="0" w:afterAutospacing="0" w:line="440" w:lineRule="exact"/>
        <w:ind w:left="0" w:leftChars="0" w:right="0" w:rightChars="0"/>
        <w:rPr>
          <w:rFonts w:ascii="宋体" w:hAnsi="宋体"/>
          <w:b/>
          <w:color w:val="auto"/>
          <w:sz w:val="28"/>
          <w:szCs w:val="28"/>
          <w:highlight w:val="none"/>
        </w:rPr>
      </w:pPr>
    </w:p>
    <w:p w14:paraId="0A3DB9E7">
      <w:pPr>
        <w:keepNext w:val="0"/>
        <w:keepLines w:val="0"/>
        <w:pageBreakBefore w:val="0"/>
        <w:tabs>
          <w:tab w:val="left" w:pos="7740"/>
        </w:tabs>
        <w:bidi w:val="0"/>
        <w:spacing w:beforeAutospacing="0" w:afterAutospacing="0" w:line="440" w:lineRule="exact"/>
        <w:ind w:left="0" w:leftChars="0" w:right="0" w:rightChars="0"/>
        <w:rPr>
          <w:rFonts w:ascii="宋体" w:hAnsi="宋体"/>
          <w:b/>
          <w:bCs/>
          <w:color w:val="auto"/>
          <w:sz w:val="28"/>
          <w:szCs w:val="28"/>
          <w:highlight w:val="none"/>
        </w:rPr>
      </w:pPr>
      <w:r>
        <w:rPr>
          <w:rFonts w:ascii="宋体" w:hAnsi="宋体"/>
          <w:b/>
          <w:color w:val="auto"/>
          <w:sz w:val="28"/>
          <w:szCs w:val="28"/>
          <w:highlight w:val="none"/>
        </w:rPr>
        <w:t xml:space="preserve">第四章  </w:t>
      </w:r>
      <w:r>
        <w:rPr>
          <w:rFonts w:ascii="宋体" w:hAnsi="宋体"/>
          <w:b/>
          <w:bCs/>
          <w:color w:val="auto"/>
          <w:sz w:val="28"/>
          <w:szCs w:val="28"/>
          <w:highlight w:val="none"/>
        </w:rPr>
        <w:t>评审方法和程序</w:t>
      </w:r>
    </w:p>
    <w:p w14:paraId="2BF76C51">
      <w:pPr>
        <w:keepNext w:val="0"/>
        <w:keepLines w:val="0"/>
        <w:pageBreakBefore w:val="0"/>
        <w:bidi w:val="0"/>
        <w:spacing w:beforeAutospacing="0" w:afterAutospacing="0" w:line="440" w:lineRule="exact"/>
        <w:ind w:left="0" w:leftChars="0" w:right="0" w:rightChars="0"/>
        <w:rPr>
          <w:rFonts w:ascii="宋体" w:hAnsi="宋体"/>
          <w:b/>
          <w:color w:val="auto"/>
          <w:sz w:val="28"/>
          <w:szCs w:val="28"/>
          <w:highlight w:val="none"/>
        </w:rPr>
      </w:pPr>
    </w:p>
    <w:p w14:paraId="52F93790">
      <w:pPr>
        <w:keepNext w:val="0"/>
        <w:keepLines w:val="0"/>
        <w:pageBreakBefore w:val="0"/>
        <w:tabs>
          <w:tab w:val="left" w:pos="7740"/>
        </w:tabs>
        <w:bidi w:val="0"/>
        <w:spacing w:beforeAutospacing="0" w:afterAutospacing="0" w:line="440" w:lineRule="exact"/>
        <w:ind w:left="0" w:leftChars="0" w:right="0" w:rightChars="0"/>
        <w:rPr>
          <w:rFonts w:ascii="宋体" w:hAnsi="宋体"/>
          <w:b/>
          <w:bCs/>
          <w:color w:val="auto"/>
          <w:sz w:val="28"/>
          <w:szCs w:val="28"/>
          <w:highlight w:val="none"/>
        </w:rPr>
      </w:pPr>
      <w:r>
        <w:rPr>
          <w:rFonts w:ascii="宋体" w:hAnsi="宋体"/>
          <w:b/>
          <w:bCs/>
          <w:color w:val="auto"/>
          <w:sz w:val="28"/>
          <w:szCs w:val="28"/>
          <w:highlight w:val="none"/>
        </w:rPr>
        <w:t xml:space="preserve">第五章  </w:t>
      </w:r>
      <w:r>
        <w:rPr>
          <w:rFonts w:hint="eastAsia" w:ascii="宋体" w:hAnsi="宋体"/>
          <w:b/>
          <w:bCs/>
          <w:color w:val="auto"/>
          <w:sz w:val="28"/>
          <w:szCs w:val="28"/>
          <w:highlight w:val="none"/>
        </w:rPr>
        <w:t>合同主要条款</w:t>
      </w:r>
    </w:p>
    <w:p w14:paraId="0EC42CAF">
      <w:pPr>
        <w:keepNext w:val="0"/>
        <w:keepLines w:val="0"/>
        <w:pageBreakBefore w:val="0"/>
        <w:tabs>
          <w:tab w:val="left" w:pos="7740"/>
        </w:tabs>
        <w:bidi w:val="0"/>
        <w:spacing w:beforeAutospacing="0" w:afterAutospacing="0" w:line="440" w:lineRule="exact"/>
        <w:ind w:left="0" w:leftChars="0" w:right="0" w:rightChars="0"/>
        <w:rPr>
          <w:rFonts w:ascii="宋体" w:hAnsi="宋体"/>
          <w:b/>
          <w:bCs/>
          <w:color w:val="auto"/>
          <w:sz w:val="28"/>
          <w:szCs w:val="28"/>
          <w:highlight w:val="none"/>
        </w:rPr>
      </w:pPr>
    </w:p>
    <w:p w14:paraId="4319FC30">
      <w:pPr>
        <w:keepNext w:val="0"/>
        <w:keepLines w:val="0"/>
        <w:pageBreakBefore w:val="0"/>
        <w:tabs>
          <w:tab w:val="left" w:pos="7740"/>
        </w:tabs>
        <w:bidi w:val="0"/>
        <w:spacing w:beforeAutospacing="0" w:afterAutospacing="0" w:line="440" w:lineRule="exact"/>
        <w:ind w:left="0" w:leftChars="0" w:right="0" w:rightChars="0"/>
        <w:rPr>
          <w:rFonts w:ascii="宋体" w:hAnsi="宋体"/>
          <w:b/>
          <w:color w:val="auto"/>
          <w:spacing w:val="2"/>
          <w:sz w:val="28"/>
          <w:szCs w:val="28"/>
          <w:highlight w:val="none"/>
        </w:rPr>
      </w:pPr>
      <w:r>
        <w:rPr>
          <w:rFonts w:ascii="宋体" w:hAnsi="宋体"/>
          <w:b/>
          <w:bCs/>
          <w:color w:val="auto"/>
          <w:sz w:val="28"/>
          <w:szCs w:val="28"/>
          <w:highlight w:val="none"/>
        </w:rPr>
        <w:t>第六章  合同授予</w:t>
      </w:r>
    </w:p>
    <w:p w14:paraId="11EC8D46">
      <w:pPr>
        <w:keepNext w:val="0"/>
        <w:keepLines w:val="0"/>
        <w:pageBreakBefore w:val="0"/>
        <w:tabs>
          <w:tab w:val="left" w:pos="7740"/>
        </w:tabs>
        <w:bidi w:val="0"/>
        <w:spacing w:beforeAutospacing="0" w:afterAutospacing="0" w:line="440" w:lineRule="exact"/>
        <w:ind w:left="0" w:leftChars="0" w:right="0" w:rightChars="0"/>
        <w:rPr>
          <w:rFonts w:ascii="宋体" w:hAnsi="宋体"/>
          <w:b/>
          <w:bCs/>
          <w:color w:val="auto"/>
          <w:sz w:val="28"/>
          <w:szCs w:val="28"/>
          <w:highlight w:val="none"/>
        </w:rPr>
      </w:pPr>
    </w:p>
    <w:p w14:paraId="1F9E59C7">
      <w:pPr>
        <w:keepNext w:val="0"/>
        <w:keepLines w:val="0"/>
        <w:pageBreakBefore w:val="0"/>
        <w:tabs>
          <w:tab w:val="left" w:pos="7740"/>
        </w:tabs>
        <w:bidi w:val="0"/>
        <w:spacing w:beforeAutospacing="0" w:afterAutospacing="0" w:line="440" w:lineRule="exact"/>
        <w:ind w:left="0" w:leftChars="0" w:right="0" w:rightChars="0"/>
        <w:rPr>
          <w:rFonts w:ascii="宋体" w:hAnsi="宋体"/>
          <w:b/>
          <w:bCs/>
          <w:color w:val="auto"/>
          <w:sz w:val="28"/>
          <w:szCs w:val="28"/>
          <w:highlight w:val="none"/>
        </w:rPr>
      </w:pPr>
      <w:r>
        <w:rPr>
          <w:rFonts w:ascii="宋体" w:hAnsi="宋体"/>
          <w:b/>
          <w:color w:val="auto"/>
          <w:sz w:val="28"/>
          <w:szCs w:val="28"/>
          <w:highlight w:val="none"/>
        </w:rPr>
        <w:t>第七章</w:t>
      </w:r>
      <w:r>
        <w:rPr>
          <w:rFonts w:hint="eastAsia" w:ascii="宋体" w:hAnsi="宋体"/>
          <w:b/>
          <w:color w:val="auto"/>
          <w:sz w:val="28"/>
          <w:szCs w:val="28"/>
          <w:highlight w:val="none"/>
        </w:rPr>
        <w:t xml:space="preserve"> </w:t>
      </w:r>
      <w:r>
        <w:rPr>
          <w:rFonts w:ascii="宋体" w:hAnsi="宋体"/>
          <w:b/>
          <w:color w:val="auto"/>
          <w:sz w:val="28"/>
          <w:szCs w:val="28"/>
          <w:highlight w:val="none"/>
        </w:rPr>
        <w:t xml:space="preserve"> </w:t>
      </w:r>
      <w:r>
        <w:rPr>
          <w:rFonts w:ascii="宋体" w:hAnsi="宋体"/>
          <w:b/>
          <w:bCs/>
          <w:color w:val="auto"/>
          <w:sz w:val="28"/>
          <w:szCs w:val="28"/>
          <w:highlight w:val="none"/>
        </w:rPr>
        <w:t>质疑提出和处理</w:t>
      </w:r>
    </w:p>
    <w:p w14:paraId="303DF672">
      <w:pPr>
        <w:keepNext w:val="0"/>
        <w:keepLines w:val="0"/>
        <w:pageBreakBefore w:val="0"/>
        <w:tabs>
          <w:tab w:val="left" w:pos="7740"/>
        </w:tabs>
        <w:bidi w:val="0"/>
        <w:spacing w:beforeAutospacing="0" w:afterAutospacing="0" w:line="440" w:lineRule="exact"/>
        <w:ind w:left="0" w:leftChars="0" w:right="0" w:rightChars="0"/>
        <w:rPr>
          <w:rFonts w:ascii="宋体" w:hAnsi="宋体"/>
          <w:b/>
          <w:color w:val="auto"/>
          <w:sz w:val="28"/>
          <w:szCs w:val="28"/>
          <w:highlight w:val="none"/>
        </w:rPr>
      </w:pPr>
    </w:p>
    <w:p w14:paraId="7E76E4F5">
      <w:pPr>
        <w:keepNext w:val="0"/>
        <w:keepLines w:val="0"/>
        <w:pageBreakBefore w:val="0"/>
        <w:bidi w:val="0"/>
        <w:spacing w:beforeAutospacing="0" w:afterAutospacing="0" w:line="440" w:lineRule="exact"/>
        <w:ind w:left="0" w:leftChars="0" w:right="0" w:rightChars="0"/>
        <w:rPr>
          <w:rFonts w:ascii="宋体" w:hAnsi="宋体"/>
          <w:b/>
          <w:color w:val="auto"/>
          <w:sz w:val="28"/>
          <w:szCs w:val="28"/>
          <w:highlight w:val="none"/>
        </w:rPr>
      </w:pPr>
      <w:bookmarkStart w:id="3" w:name="_Hlk86587575"/>
      <w:r>
        <w:rPr>
          <w:rFonts w:ascii="宋体" w:hAnsi="宋体"/>
          <w:b/>
          <w:color w:val="auto"/>
          <w:sz w:val="28"/>
          <w:szCs w:val="28"/>
          <w:highlight w:val="none"/>
        </w:rPr>
        <w:t>第</w:t>
      </w:r>
      <w:r>
        <w:rPr>
          <w:rFonts w:hint="eastAsia" w:ascii="宋体" w:hAnsi="宋体"/>
          <w:b/>
          <w:color w:val="auto"/>
          <w:sz w:val="28"/>
          <w:szCs w:val="28"/>
          <w:highlight w:val="none"/>
        </w:rPr>
        <w:t>八</w:t>
      </w:r>
      <w:r>
        <w:rPr>
          <w:rFonts w:ascii="宋体" w:hAnsi="宋体"/>
          <w:b/>
          <w:color w:val="auto"/>
          <w:sz w:val="28"/>
          <w:szCs w:val="28"/>
          <w:highlight w:val="none"/>
        </w:rPr>
        <w:t>章</w:t>
      </w:r>
      <w:bookmarkEnd w:id="3"/>
      <w:r>
        <w:rPr>
          <w:rFonts w:ascii="宋体" w:hAnsi="宋体"/>
          <w:b/>
          <w:color w:val="auto"/>
          <w:sz w:val="28"/>
          <w:szCs w:val="28"/>
          <w:highlight w:val="none"/>
        </w:rPr>
        <w:t xml:space="preserve">  投标文件组成</w:t>
      </w:r>
    </w:p>
    <w:p w14:paraId="3E5A5CDA">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p>
    <w:p w14:paraId="06408B4C">
      <w:pPr>
        <w:pStyle w:val="63"/>
        <w:keepNext w:val="0"/>
        <w:keepLines w:val="0"/>
        <w:pageBreakBefore w:val="0"/>
        <w:bidi w:val="0"/>
        <w:spacing w:beforeAutospacing="0" w:after="0" w:afterLines="0" w:afterAutospacing="0" w:line="440" w:lineRule="exact"/>
        <w:ind w:left="0" w:leftChars="0" w:right="0" w:rightChars="0"/>
        <w:rPr>
          <w:rStyle w:val="124"/>
          <w:rFonts w:hint="default"/>
          <w:color w:val="auto"/>
          <w:sz w:val="28"/>
          <w:szCs w:val="28"/>
          <w:highlight w:val="none"/>
        </w:rPr>
      </w:pPr>
      <w:r>
        <w:rPr>
          <w:color w:val="auto"/>
          <w:sz w:val="24"/>
          <w:highlight w:val="none"/>
        </w:rPr>
        <w:br w:type="page"/>
      </w:r>
      <w:r>
        <w:rPr>
          <w:rStyle w:val="124"/>
          <w:rFonts w:hint="default"/>
          <w:color w:val="auto"/>
          <w:sz w:val="28"/>
          <w:szCs w:val="28"/>
          <w:highlight w:val="none"/>
        </w:rPr>
        <w:t xml:space="preserve">第一章  </w:t>
      </w:r>
      <w:bookmarkStart w:id="4" w:name="OLE_LINK3"/>
      <w:bookmarkStart w:id="5" w:name="OLE_LINK4"/>
      <w:bookmarkStart w:id="6" w:name="OLE_LINK2"/>
      <w:bookmarkStart w:id="7" w:name="OLE_LINK1"/>
      <w:bookmarkStart w:id="8" w:name="OLE_LINK5"/>
      <w:r>
        <w:rPr>
          <w:rStyle w:val="124"/>
          <w:rFonts w:hint="default"/>
          <w:color w:val="auto"/>
          <w:sz w:val="28"/>
          <w:szCs w:val="28"/>
          <w:highlight w:val="none"/>
        </w:rPr>
        <w:t>招标公告</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14:paraId="1D6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14:paraId="2C10B519">
            <w:pPr>
              <w:keepNext w:val="0"/>
              <w:keepLines w:val="0"/>
              <w:pageBreakBefore w:val="0"/>
              <w:widowControl/>
              <w:bidi w:val="0"/>
              <w:snapToGrid w:val="0"/>
              <w:spacing w:beforeAutospacing="0" w:afterAutospacing="0" w:line="440" w:lineRule="exact"/>
              <w:ind w:left="0" w:leftChars="0" w:right="0" w:rightChars="0"/>
              <w:jc w:val="left"/>
              <w:rPr>
                <w:rFonts w:ascii="宋体" w:hAnsi="宋体"/>
                <w:color w:val="auto"/>
                <w:sz w:val="24"/>
                <w:highlight w:val="none"/>
              </w:rPr>
            </w:pPr>
            <w:bookmarkStart w:id="9" w:name="OLE_LINK6"/>
            <w:r>
              <w:rPr>
                <w:rFonts w:ascii="宋体" w:hAnsi="宋体"/>
                <w:color w:val="auto"/>
                <w:sz w:val="24"/>
                <w:highlight w:val="none"/>
              </w:rPr>
              <w:t>项目概况</w:t>
            </w:r>
          </w:p>
          <w:p w14:paraId="0D68C18F">
            <w:pPr>
              <w:keepNext w:val="0"/>
              <w:keepLines w:val="0"/>
              <w:pageBreakBefore w:val="0"/>
              <w:kinsoku w:val="0"/>
              <w:overflowPunct w:val="0"/>
              <w:autoSpaceDE w:val="0"/>
              <w:autoSpaceDN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hint="eastAsia" w:ascii="宋体" w:hAnsi="宋体"/>
                <w:color w:val="auto"/>
                <w:sz w:val="24"/>
                <w:highlight w:val="none"/>
                <w:u w:val="single"/>
                <w:lang w:eastAsia="zh-CN"/>
              </w:rPr>
              <w:t>南通老节制闸安全检测项目</w:t>
            </w:r>
            <w:r>
              <w:rPr>
                <w:rFonts w:ascii="宋体" w:hAnsi="宋体"/>
                <w:color w:val="auto"/>
                <w:sz w:val="24"/>
                <w:highlight w:val="none"/>
              </w:rPr>
              <w:t>的潜在供应商应在</w:t>
            </w:r>
            <w:r>
              <w:rPr>
                <w:rFonts w:hint="eastAsia" w:ascii="宋体" w:hAnsi="宋体"/>
                <w:color w:val="auto"/>
                <w:sz w:val="24"/>
                <w:szCs w:val="21"/>
                <w:highlight w:val="none"/>
                <w:u w:val="single"/>
                <w:lang w:val="zh-CN"/>
              </w:rPr>
              <w:t>南通市水利局网站（</w:t>
            </w:r>
            <w:r>
              <w:rPr>
                <w:rFonts w:ascii="宋体" w:hAnsi="宋体"/>
                <w:color w:val="auto"/>
                <w:szCs w:val="21"/>
                <w:highlight w:val="none"/>
                <w:u w:val="single"/>
                <w:lang w:val="zh-CN"/>
              </w:rPr>
              <w:t>http://slj.nantong.gov.cn/</w:t>
            </w:r>
            <w:r>
              <w:rPr>
                <w:rFonts w:hint="eastAsia" w:ascii="宋体" w:hAnsi="宋体"/>
                <w:color w:val="auto"/>
                <w:sz w:val="24"/>
                <w:szCs w:val="21"/>
                <w:highlight w:val="none"/>
                <w:u w:val="single"/>
                <w:lang w:val="zh-CN"/>
              </w:rPr>
              <w:t>）</w:t>
            </w:r>
            <w:r>
              <w:rPr>
                <w:rFonts w:ascii="宋体" w:hAnsi="宋体"/>
                <w:color w:val="auto"/>
                <w:szCs w:val="21"/>
                <w:highlight w:val="none"/>
                <w:u w:val="single"/>
                <w:lang w:val="zh-CN"/>
              </w:rPr>
              <w:t>-</w:t>
            </w:r>
            <w:r>
              <w:rPr>
                <w:rFonts w:hint="eastAsia" w:ascii="宋体" w:hAnsi="宋体"/>
                <w:color w:val="auto"/>
                <w:sz w:val="24"/>
                <w:szCs w:val="21"/>
                <w:highlight w:val="none"/>
                <w:u w:val="single"/>
                <w:lang w:val="zh-CN"/>
              </w:rPr>
              <w:t>公告公示栏目</w:t>
            </w:r>
            <w:r>
              <w:rPr>
                <w:rFonts w:ascii="宋体" w:hAnsi="宋体"/>
                <w:color w:val="auto"/>
                <w:sz w:val="24"/>
                <w:highlight w:val="none"/>
                <w:u w:val="single"/>
              </w:rPr>
              <w:t>本公告附件中</w:t>
            </w:r>
            <w:r>
              <w:rPr>
                <w:rFonts w:ascii="宋体" w:hAnsi="宋体"/>
                <w:color w:val="auto"/>
                <w:sz w:val="24"/>
                <w:highlight w:val="none"/>
              </w:rPr>
              <w:t>获取采购文件，并于</w:t>
            </w:r>
            <w:r>
              <w:rPr>
                <w:rFonts w:hint="eastAsia" w:ascii="宋体" w:hAnsi="宋体"/>
                <w:color w:val="auto"/>
                <w:sz w:val="24"/>
                <w:highlight w:val="none"/>
                <w:u w:val="single"/>
                <w:lang w:eastAsia="zh-CN"/>
              </w:rPr>
              <w:t>2026</w:t>
            </w:r>
            <w:r>
              <w:rPr>
                <w:rFonts w:ascii="宋体" w:hAnsi="宋体"/>
                <w:color w:val="auto"/>
                <w:sz w:val="24"/>
                <w:highlight w:val="none"/>
                <w:u w:val="single"/>
              </w:rPr>
              <w:t>年</w:t>
            </w:r>
            <w:r>
              <w:rPr>
                <w:rFonts w:hint="eastAsia" w:ascii="宋体" w:hAnsi="宋体"/>
                <w:color w:val="auto"/>
                <w:sz w:val="24"/>
                <w:highlight w:val="none"/>
                <w:u w:val="single"/>
                <w:lang w:val="en-US" w:eastAsia="zh-CN"/>
              </w:rPr>
              <w:t>6</w:t>
            </w:r>
            <w:r>
              <w:rPr>
                <w:rFonts w:ascii="宋体" w:hAnsi="宋体"/>
                <w:color w:val="auto"/>
                <w:sz w:val="24"/>
                <w:highlight w:val="none"/>
                <w:u w:val="single"/>
              </w:rPr>
              <w:t>月</w:t>
            </w:r>
            <w:r>
              <w:rPr>
                <w:rFonts w:hint="eastAsia" w:ascii="宋体" w:hAnsi="宋体"/>
                <w:color w:val="auto"/>
                <w:sz w:val="24"/>
                <w:highlight w:val="none"/>
                <w:u w:val="single"/>
                <w:lang w:val="en-US" w:eastAsia="zh-CN"/>
              </w:rPr>
              <w:t>4</w:t>
            </w:r>
            <w:r>
              <w:rPr>
                <w:rFonts w:ascii="宋体" w:hAnsi="宋体"/>
                <w:color w:val="auto"/>
                <w:sz w:val="24"/>
                <w:highlight w:val="none"/>
                <w:u w:val="single"/>
              </w:rPr>
              <w:t>日</w:t>
            </w:r>
            <w:r>
              <w:rPr>
                <w:rFonts w:hint="eastAsia" w:ascii="宋体" w:hAnsi="宋体"/>
                <w:color w:val="auto"/>
                <w:sz w:val="24"/>
                <w:highlight w:val="none"/>
                <w:u w:val="single"/>
                <w:lang w:val="en-US" w:eastAsia="zh-CN"/>
              </w:rPr>
              <w:t>14</w:t>
            </w:r>
            <w:r>
              <w:rPr>
                <w:rFonts w:ascii="宋体" w:hAnsi="宋体"/>
                <w:color w:val="auto"/>
                <w:sz w:val="24"/>
                <w:highlight w:val="none"/>
                <w:u w:val="single"/>
              </w:rPr>
              <w:t>时</w:t>
            </w:r>
            <w:r>
              <w:rPr>
                <w:rFonts w:hint="eastAsia" w:ascii="宋体" w:hAnsi="宋体"/>
                <w:color w:val="auto"/>
                <w:sz w:val="24"/>
                <w:highlight w:val="none"/>
                <w:u w:val="single"/>
                <w:lang w:val="en-US" w:eastAsia="zh-CN"/>
              </w:rPr>
              <w:t>00</w:t>
            </w:r>
            <w:r>
              <w:rPr>
                <w:rFonts w:ascii="宋体" w:hAnsi="宋体"/>
                <w:color w:val="auto"/>
                <w:sz w:val="24"/>
                <w:highlight w:val="none"/>
                <w:u w:val="single"/>
              </w:rPr>
              <w:t>分</w:t>
            </w:r>
            <w:r>
              <w:rPr>
                <w:rFonts w:ascii="宋体" w:hAnsi="宋体"/>
                <w:color w:val="auto"/>
                <w:sz w:val="24"/>
                <w:highlight w:val="none"/>
              </w:rPr>
              <w:t>（北京时间）前提交响应文件。</w:t>
            </w:r>
          </w:p>
        </w:tc>
      </w:tr>
    </w:tbl>
    <w:p w14:paraId="75A7DED6">
      <w:pPr>
        <w:keepNext w:val="0"/>
        <w:keepLines w:val="0"/>
        <w:pageBreakBefore w:val="0"/>
        <w:kinsoku w:val="0"/>
        <w:overflowPunct w:val="0"/>
        <w:autoSpaceDE w:val="0"/>
        <w:autoSpaceDN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ascii="宋体" w:hAnsi="宋体"/>
          <w:b/>
          <w:color w:val="auto"/>
          <w:sz w:val="24"/>
          <w:highlight w:val="none"/>
        </w:rPr>
        <w:t>一、项目基本情况</w:t>
      </w:r>
    </w:p>
    <w:p w14:paraId="71161644">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hint="eastAsia" w:ascii="宋体" w:hAnsi="宋体" w:eastAsia="宋体"/>
          <w:color w:val="auto"/>
          <w:sz w:val="24"/>
          <w:highlight w:val="none"/>
          <w:lang w:eastAsia="zh-CN"/>
        </w:rPr>
      </w:pPr>
      <w:r>
        <w:rPr>
          <w:rFonts w:ascii="宋体" w:hAnsi="宋体"/>
          <w:color w:val="auto"/>
          <w:sz w:val="24"/>
          <w:highlight w:val="none"/>
        </w:rPr>
        <w:t>1、项目名称：</w:t>
      </w:r>
      <w:r>
        <w:rPr>
          <w:rFonts w:hint="eastAsia" w:ascii="宋体" w:hAnsi="宋体"/>
          <w:color w:val="auto"/>
          <w:sz w:val="24"/>
          <w:highlight w:val="none"/>
          <w:lang w:eastAsia="zh-CN"/>
        </w:rPr>
        <w:t>南通老节制闸安全检测项目</w:t>
      </w:r>
    </w:p>
    <w:p w14:paraId="49AEF456">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ascii="宋体" w:hAnsi="宋体"/>
          <w:color w:val="auto"/>
          <w:sz w:val="24"/>
          <w:highlight w:val="none"/>
        </w:rPr>
        <w:t>2、预算金额：</w:t>
      </w:r>
      <w:r>
        <w:rPr>
          <w:rFonts w:hint="eastAsia" w:ascii="宋体" w:hAnsi="宋体"/>
          <w:color w:val="auto"/>
          <w:sz w:val="24"/>
          <w:highlight w:val="none"/>
          <w:lang w:val="en-US" w:eastAsia="zh-CN"/>
        </w:rPr>
        <w:t>42</w:t>
      </w:r>
      <w:r>
        <w:rPr>
          <w:rFonts w:hint="eastAsia" w:ascii="宋体" w:hAnsi="宋体"/>
          <w:color w:val="auto"/>
          <w:sz w:val="24"/>
          <w:highlight w:val="none"/>
        </w:rPr>
        <w:t>万</w:t>
      </w:r>
      <w:r>
        <w:rPr>
          <w:rFonts w:ascii="宋体" w:hAnsi="宋体"/>
          <w:color w:val="auto"/>
          <w:sz w:val="24"/>
          <w:highlight w:val="none"/>
        </w:rPr>
        <w:t>元</w:t>
      </w:r>
    </w:p>
    <w:p w14:paraId="4ACEE0A6">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hint="eastAsia" w:ascii="宋体" w:hAnsi="宋体"/>
          <w:color w:val="auto"/>
          <w:sz w:val="24"/>
          <w:highlight w:val="none"/>
        </w:rPr>
        <w:t>3、最高限价：</w:t>
      </w:r>
      <w:r>
        <w:rPr>
          <w:rFonts w:hint="eastAsia" w:ascii="宋体" w:hAnsi="宋体"/>
          <w:color w:val="auto"/>
          <w:sz w:val="24"/>
          <w:highlight w:val="none"/>
          <w:lang w:val="en-US" w:eastAsia="zh-CN"/>
        </w:rPr>
        <w:t>42</w:t>
      </w:r>
      <w:r>
        <w:rPr>
          <w:rFonts w:hint="eastAsia" w:ascii="宋体" w:hAnsi="宋体"/>
          <w:color w:val="auto"/>
          <w:sz w:val="24"/>
          <w:highlight w:val="none"/>
        </w:rPr>
        <w:t>万</w:t>
      </w:r>
      <w:r>
        <w:rPr>
          <w:rFonts w:ascii="宋体" w:hAnsi="宋体"/>
          <w:color w:val="auto"/>
          <w:sz w:val="24"/>
          <w:highlight w:val="none"/>
        </w:rPr>
        <w:t>元，报价超过</w:t>
      </w:r>
      <w:r>
        <w:rPr>
          <w:rFonts w:hint="eastAsia" w:ascii="宋体" w:hAnsi="宋体"/>
          <w:color w:val="auto"/>
          <w:sz w:val="24"/>
          <w:highlight w:val="none"/>
        </w:rPr>
        <w:t>最高限价</w:t>
      </w:r>
      <w:r>
        <w:rPr>
          <w:rFonts w:ascii="宋体" w:hAnsi="宋体"/>
          <w:color w:val="auto"/>
          <w:sz w:val="24"/>
          <w:highlight w:val="none"/>
        </w:rPr>
        <w:t>的为无效响应文件。</w:t>
      </w:r>
    </w:p>
    <w:p w14:paraId="2A00138C">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、采购需求：详见第三章</w:t>
      </w:r>
    </w:p>
    <w:p w14:paraId="39DFF7EF">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5、检测完成工期：</w:t>
      </w:r>
      <w:r>
        <w:rPr>
          <w:rFonts w:hint="eastAsia" w:ascii="宋体" w:hAnsi="宋体" w:cs="宋体"/>
          <w:color w:val="auto"/>
          <w:sz w:val="24"/>
          <w:highlight w:val="none"/>
        </w:rPr>
        <w:t>合同签订后</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天内提交工程检测试验报告、水下检查报告、结构验算报告以及</w:t>
      </w:r>
      <w:r>
        <w:rPr>
          <w:rFonts w:hint="eastAsia" w:ascii="宋体" w:hAnsi="宋体" w:cs="宋体"/>
          <w:color w:val="auto"/>
          <w:sz w:val="24"/>
          <w:highlight w:val="none"/>
          <w:lang w:eastAsia="zh-CN"/>
        </w:rPr>
        <w:t>综合评估报告</w:t>
      </w:r>
    </w:p>
    <w:p w14:paraId="14C66679">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hint="eastAsia" w:ascii="宋体" w:hAnsi="宋体"/>
          <w:color w:val="auto"/>
          <w:sz w:val="24"/>
          <w:highlight w:val="none"/>
        </w:rPr>
        <w:t>6、本项目不接受联合体投标。</w:t>
      </w:r>
    </w:p>
    <w:p w14:paraId="27872F44">
      <w:pPr>
        <w:keepNext w:val="0"/>
        <w:keepLines w:val="0"/>
        <w:pageBreakBefore w:val="0"/>
        <w:kinsoku w:val="0"/>
        <w:overflowPunct w:val="0"/>
        <w:autoSpaceDE w:val="0"/>
        <w:autoSpaceDN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ascii="宋体" w:hAnsi="宋体"/>
          <w:b/>
          <w:color w:val="auto"/>
          <w:sz w:val="24"/>
          <w:highlight w:val="none"/>
        </w:rPr>
        <w:t>二、</w:t>
      </w:r>
      <w:r>
        <w:rPr>
          <w:rFonts w:hint="eastAsia" w:ascii="宋体" w:hAnsi="宋体"/>
          <w:b/>
          <w:color w:val="auto"/>
          <w:sz w:val="24"/>
          <w:highlight w:val="none"/>
        </w:rPr>
        <w:t>投标人</w:t>
      </w:r>
      <w:r>
        <w:rPr>
          <w:rFonts w:ascii="宋体" w:hAnsi="宋体"/>
          <w:b/>
          <w:color w:val="auto"/>
          <w:sz w:val="24"/>
          <w:highlight w:val="none"/>
        </w:rPr>
        <w:t>的资格要求：</w:t>
      </w:r>
    </w:p>
    <w:p w14:paraId="44B5C4DF">
      <w:pPr>
        <w:keepNext w:val="0"/>
        <w:keepLines w:val="0"/>
        <w:pageBreakBefore w:val="0"/>
        <w:widowControl/>
        <w:shd w:val="clear" w:color="auto" w:fill="FFFFFF"/>
        <w:bidi w:val="0"/>
        <w:spacing w:beforeAutospacing="0" w:afterAutospacing="0" w:line="440" w:lineRule="exact"/>
        <w:ind w:left="0" w:leftChars="0" w:right="0" w:rightChars="0"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1、满足《中华人民共和国政府采购法》第二十二条规定。</w:t>
      </w:r>
    </w:p>
    <w:p w14:paraId="7103C255">
      <w:pPr>
        <w:keepNext w:val="0"/>
        <w:keepLines w:val="0"/>
        <w:pageBreakBefore w:val="0"/>
        <w:bidi w:val="0"/>
        <w:adjustRightInd w:val="0"/>
        <w:snapToGrid w:val="0"/>
        <w:spacing w:beforeAutospacing="0" w:afterAutospacing="0" w:line="440" w:lineRule="exact"/>
        <w:ind w:left="0" w:leftChars="0" w:right="0" w:righ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落实政府采购政策需满足的资格要求：</w:t>
      </w:r>
      <w:r>
        <w:rPr>
          <w:rFonts w:hint="eastAsia" w:ascii="宋体" w:hAnsi="宋体" w:cs="宋体"/>
          <w:color w:val="auto"/>
          <w:sz w:val="24"/>
          <w:highlight w:val="none"/>
          <w:u w:val="single"/>
        </w:rPr>
        <w:t>本项目属于专门面向中小企业（含残疾人福利性单位、监狱企业）采购的项目,供应商应为中小微企业、监狱企业或残疾人福利性单位，并按照采购文件要求提供《中小企业声明函》、《残疾人福利性单位声明函》或监狱和戒毒企业证明材料</w:t>
      </w:r>
      <w:r>
        <w:rPr>
          <w:rFonts w:hint="eastAsia" w:ascii="宋体" w:hAnsi="宋体" w:cs="宋体"/>
          <w:color w:val="auto"/>
          <w:sz w:val="24"/>
          <w:highlight w:val="none"/>
        </w:rPr>
        <w:t>。</w:t>
      </w:r>
    </w:p>
    <w:p w14:paraId="4D5209CD">
      <w:pPr>
        <w:keepNext w:val="0"/>
        <w:keepLines w:val="0"/>
        <w:pageBreakBefore w:val="0"/>
        <w:bidi w:val="0"/>
        <w:adjustRightInd w:val="0"/>
        <w:snapToGrid w:val="0"/>
        <w:spacing w:beforeAutospacing="0" w:afterAutospacing="0" w:line="440" w:lineRule="exact"/>
        <w:ind w:left="0" w:leftChars="0" w:right="0" w:rightChars="0" w:firstLine="480" w:firstLineChars="200"/>
        <w:rPr>
          <w:rFonts w:hint="eastAsia" w:ascii="宋体" w:hAnsi="宋体" w:cs="宋体"/>
          <w:bCs/>
          <w:color w:val="auto"/>
          <w:sz w:val="24"/>
          <w:highlight w:val="none"/>
        </w:rPr>
      </w:pPr>
      <w:r>
        <w:rPr>
          <w:rFonts w:hint="eastAsia" w:ascii="宋体" w:hAnsi="宋体" w:cs="宋体"/>
          <w:color w:val="auto"/>
          <w:sz w:val="24"/>
          <w:highlight w:val="none"/>
        </w:rPr>
        <w:t>本项目采购标的对应的中小企业划分标准所属行业为</w:t>
      </w:r>
      <w:r>
        <w:rPr>
          <w:rFonts w:hint="eastAsia" w:ascii="宋体" w:hAnsi="宋体" w:cs="宋体"/>
          <w:color w:val="auto"/>
          <w:sz w:val="24"/>
          <w:highlight w:val="none"/>
          <w:u w:val="single"/>
        </w:rPr>
        <w:t>其他未列明行业</w:t>
      </w:r>
      <w:r>
        <w:rPr>
          <w:rFonts w:hint="eastAsia" w:ascii="宋体" w:hAnsi="宋体" w:cs="宋体"/>
          <w:color w:val="auto"/>
          <w:sz w:val="24"/>
          <w:highlight w:val="none"/>
        </w:rPr>
        <w:t>。</w:t>
      </w:r>
      <w:r>
        <w:rPr>
          <w:rFonts w:hint="eastAsia" w:ascii="宋体" w:hAnsi="宋体" w:cs="宋体"/>
          <w:color w:val="auto"/>
          <w:sz w:val="24"/>
          <w:highlight w:val="none"/>
          <w:shd w:val="clear" w:color="auto" w:fill="FFFFFF"/>
        </w:rPr>
        <w:t>从业人员300人以下的为中小微型企业。其中，从业人员100人及以上的为中型企业；从业人员10人及以上的为小型企业；从业人员10人以下的为微型企业</w:t>
      </w:r>
      <w:r>
        <w:rPr>
          <w:rFonts w:hint="eastAsia" w:ascii="宋体" w:hAnsi="宋体" w:cs="宋体"/>
          <w:color w:val="auto"/>
          <w:sz w:val="24"/>
          <w:highlight w:val="none"/>
        </w:rPr>
        <w:t>。</w:t>
      </w:r>
    </w:p>
    <w:p w14:paraId="05B4FC56">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投标单位具有独立法人资格；</w:t>
      </w:r>
    </w:p>
    <w:p w14:paraId="5777A8E7">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hint="eastAsia" w:ascii="宋体" w:hAnsi="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val="zh-CN"/>
        </w:rPr>
        <w:t>具有</w:t>
      </w:r>
      <w:r>
        <w:rPr>
          <w:rFonts w:hint="eastAsia" w:ascii="宋体" w:hAnsi="宋体"/>
          <w:color w:val="auto"/>
          <w:sz w:val="24"/>
          <w:highlight w:val="none"/>
        </w:rPr>
        <w:t>水利行业设计乙级及以上设计资质或水利行业（灌溉排涝、城市防洪）设计乙级及以上设计资质</w:t>
      </w:r>
      <w:r>
        <w:rPr>
          <w:rFonts w:hint="eastAsia" w:ascii="宋体" w:hAnsi="宋体"/>
          <w:color w:val="auto"/>
          <w:sz w:val="24"/>
          <w:highlight w:val="none"/>
          <w:lang w:eastAsia="zh-CN"/>
        </w:rPr>
        <w:t>；</w:t>
      </w:r>
    </w:p>
    <w:p w14:paraId="394AD89A">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、投标单位未被“信用中国”网站列入失信被执行人、重大税收违法</w:t>
      </w:r>
      <w:r>
        <w:rPr>
          <w:rFonts w:hint="eastAsia" w:ascii="宋体" w:hAnsi="宋体"/>
          <w:color w:val="auto"/>
          <w:sz w:val="24"/>
          <w:highlight w:val="none"/>
          <w:lang w:val="en-US" w:eastAsia="zh-CN"/>
        </w:rPr>
        <w:t>失信主体</w:t>
      </w:r>
      <w:r>
        <w:rPr>
          <w:rFonts w:hint="eastAsia" w:ascii="宋体" w:hAnsi="宋体"/>
          <w:color w:val="auto"/>
          <w:sz w:val="24"/>
          <w:highlight w:val="none"/>
        </w:rPr>
        <w:t>、政府采购严重违法失信行为记录名单、</w:t>
      </w:r>
      <w:r>
        <w:rPr>
          <w:rFonts w:hint="eastAsia" w:ascii="宋体" w:hAnsi="宋体"/>
          <w:color w:val="auto"/>
          <w:sz w:val="24"/>
          <w:highlight w:val="none"/>
          <w:lang w:val="en-US" w:eastAsia="zh-CN"/>
        </w:rPr>
        <w:t>经营（活动）</w:t>
      </w:r>
      <w:r>
        <w:rPr>
          <w:rFonts w:hint="eastAsia" w:ascii="宋体" w:hAnsi="宋体"/>
          <w:color w:val="auto"/>
          <w:sz w:val="24"/>
          <w:highlight w:val="none"/>
        </w:rPr>
        <w:t>异常名录、严重失信</w:t>
      </w:r>
      <w:r>
        <w:rPr>
          <w:rFonts w:hint="eastAsia" w:ascii="宋体" w:hAnsi="宋体"/>
          <w:color w:val="auto"/>
          <w:sz w:val="24"/>
          <w:highlight w:val="none"/>
          <w:lang w:val="en-US" w:eastAsia="zh-CN"/>
        </w:rPr>
        <w:t>主体</w:t>
      </w:r>
      <w:r>
        <w:rPr>
          <w:rFonts w:hint="eastAsia" w:ascii="宋体" w:hAnsi="宋体"/>
          <w:color w:val="auto"/>
          <w:sz w:val="24"/>
          <w:highlight w:val="none"/>
        </w:rPr>
        <w:t>名单；</w:t>
      </w:r>
    </w:p>
    <w:p w14:paraId="7393A5A2">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val="en-US" w:eastAsia="zh-CN"/>
        </w:rPr>
        <w:t>关于</w:t>
      </w:r>
      <w:r>
        <w:rPr>
          <w:rFonts w:hint="eastAsia" w:ascii="宋体" w:hAnsi="宋体"/>
          <w:color w:val="auto"/>
          <w:sz w:val="24"/>
          <w:highlight w:val="none"/>
        </w:rPr>
        <w:t>资格</w:t>
      </w:r>
      <w:r>
        <w:rPr>
          <w:rFonts w:hint="eastAsia" w:ascii="宋体" w:hAnsi="宋体"/>
          <w:color w:val="auto"/>
          <w:sz w:val="24"/>
          <w:highlight w:val="none"/>
          <w:lang w:val="en-US" w:eastAsia="zh-CN"/>
        </w:rPr>
        <w:t>文件的</w:t>
      </w:r>
      <w:r>
        <w:rPr>
          <w:rFonts w:hint="eastAsia" w:ascii="宋体" w:hAnsi="宋体"/>
          <w:color w:val="auto"/>
          <w:sz w:val="24"/>
          <w:highlight w:val="none"/>
        </w:rPr>
        <w:t>声明函；</w:t>
      </w:r>
    </w:p>
    <w:p w14:paraId="4E519817">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、法定代表人为同一个人或者存在投资、控股以及其他关联关系的不同单位，不得参加同一项目的招标活动；</w:t>
      </w:r>
    </w:p>
    <w:p w14:paraId="23CAF91E">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、本项目不接受联合体投标。</w:t>
      </w:r>
    </w:p>
    <w:p w14:paraId="049509A2">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、符合相关法律、法规规定的其他要求。</w:t>
      </w:r>
    </w:p>
    <w:p w14:paraId="6E97D648">
      <w:pPr>
        <w:keepNext w:val="0"/>
        <w:keepLines w:val="0"/>
        <w:pageBreakBefore w:val="0"/>
        <w:kinsoku w:val="0"/>
        <w:overflowPunct w:val="0"/>
        <w:autoSpaceDE w:val="0"/>
        <w:autoSpaceDN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ascii="宋体" w:hAnsi="宋体"/>
          <w:b/>
          <w:color w:val="auto"/>
          <w:sz w:val="24"/>
          <w:highlight w:val="none"/>
        </w:rPr>
        <w:t>三、获取招标文件</w:t>
      </w:r>
    </w:p>
    <w:p w14:paraId="0B9EEEAD">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szCs w:val="21"/>
          <w:highlight w:val="none"/>
          <w:lang w:val="zh-CN"/>
        </w:rPr>
      </w:pPr>
      <w:r>
        <w:rPr>
          <w:rFonts w:ascii="宋体" w:hAnsi="宋体"/>
          <w:color w:val="auto"/>
          <w:sz w:val="24"/>
          <w:szCs w:val="21"/>
          <w:highlight w:val="none"/>
          <w:lang w:val="zh-CN"/>
        </w:rPr>
        <w:t>1、时间：</w:t>
      </w:r>
      <w:r>
        <w:rPr>
          <w:rFonts w:ascii="宋体" w:hAnsi="宋体"/>
          <w:color w:val="auto"/>
          <w:sz w:val="24"/>
          <w:szCs w:val="21"/>
          <w:highlight w:val="none"/>
          <w:u w:val="single"/>
          <w:lang w:val="zh-CN"/>
        </w:rPr>
        <w:t>自本招标公告发布之日起</w:t>
      </w:r>
      <w:r>
        <w:rPr>
          <w:rFonts w:hint="eastAsia" w:ascii="宋体" w:hAnsi="宋体"/>
          <w:color w:val="auto"/>
          <w:sz w:val="24"/>
          <w:szCs w:val="21"/>
          <w:highlight w:val="none"/>
          <w:u w:val="single"/>
        </w:rPr>
        <w:t>至</w:t>
      </w:r>
      <w:r>
        <w:rPr>
          <w:rFonts w:hint="eastAsia" w:ascii="宋体" w:hAnsi="宋体"/>
          <w:color w:val="auto"/>
          <w:sz w:val="24"/>
          <w:szCs w:val="21"/>
          <w:highlight w:val="none"/>
          <w:u w:val="single"/>
          <w:lang w:eastAsia="zh-CN"/>
        </w:rPr>
        <w:t>2026</w:t>
      </w:r>
      <w:r>
        <w:rPr>
          <w:rFonts w:hint="eastAsia" w:ascii="宋体" w:hAnsi="宋体"/>
          <w:color w:val="auto"/>
          <w:sz w:val="24"/>
          <w:szCs w:val="21"/>
          <w:highlight w:val="none"/>
          <w:u w:val="single"/>
        </w:rPr>
        <w:t>年</w:t>
      </w:r>
      <w:r>
        <w:rPr>
          <w:rFonts w:hint="eastAsia" w:ascii="宋体" w:hAnsi="宋体"/>
          <w:color w:val="auto"/>
          <w:sz w:val="24"/>
          <w:szCs w:val="21"/>
          <w:highlight w:val="none"/>
          <w:u w:val="single"/>
          <w:lang w:val="en-US" w:eastAsia="zh-CN"/>
        </w:rPr>
        <w:t>6</w:t>
      </w:r>
      <w:r>
        <w:rPr>
          <w:rFonts w:hint="eastAsia" w:ascii="宋体" w:hAnsi="宋体"/>
          <w:color w:val="auto"/>
          <w:sz w:val="24"/>
          <w:szCs w:val="21"/>
          <w:highlight w:val="none"/>
          <w:u w:val="single"/>
        </w:rPr>
        <w:t>月</w:t>
      </w:r>
      <w:r>
        <w:rPr>
          <w:rFonts w:hint="eastAsia" w:ascii="宋体" w:hAnsi="宋体"/>
          <w:color w:val="auto"/>
          <w:sz w:val="24"/>
          <w:szCs w:val="21"/>
          <w:highlight w:val="none"/>
          <w:u w:val="single"/>
          <w:lang w:val="en-US" w:eastAsia="zh-CN"/>
        </w:rPr>
        <w:t>4</w:t>
      </w:r>
      <w:r>
        <w:rPr>
          <w:rFonts w:hint="eastAsia" w:ascii="宋体" w:hAnsi="宋体"/>
          <w:color w:val="auto"/>
          <w:sz w:val="24"/>
          <w:szCs w:val="21"/>
          <w:highlight w:val="none"/>
          <w:u w:val="single"/>
        </w:rPr>
        <w:t>日</w:t>
      </w:r>
      <w:r>
        <w:rPr>
          <w:rFonts w:hint="eastAsia" w:ascii="宋体" w:hAnsi="宋体"/>
          <w:color w:val="auto"/>
          <w:sz w:val="24"/>
          <w:szCs w:val="21"/>
          <w:highlight w:val="none"/>
          <w:u w:val="single"/>
          <w:lang w:val="en-US" w:eastAsia="zh-CN"/>
        </w:rPr>
        <w:t>14时00分</w:t>
      </w:r>
      <w:r>
        <w:rPr>
          <w:rFonts w:ascii="宋体" w:hAnsi="宋体"/>
          <w:color w:val="auto"/>
          <w:sz w:val="24"/>
          <w:szCs w:val="21"/>
          <w:highlight w:val="none"/>
          <w:lang w:val="zh-CN"/>
        </w:rPr>
        <w:t>。</w:t>
      </w:r>
    </w:p>
    <w:p w14:paraId="49803671">
      <w:pPr>
        <w:keepNext w:val="0"/>
        <w:keepLines w:val="0"/>
        <w:pageBreakBefore w:val="0"/>
        <w:bidi w:val="0"/>
        <w:adjustRightInd w:val="0"/>
        <w:snapToGrid w:val="0"/>
        <w:spacing w:beforeAutospacing="0" w:afterAutospacing="0" w:line="440" w:lineRule="exact"/>
        <w:ind w:left="0" w:leftChars="0" w:right="0" w:rightChars="0" w:firstLine="480" w:firstLineChars="200"/>
        <w:rPr>
          <w:rFonts w:ascii="宋体" w:hAnsi="宋体"/>
          <w:color w:val="auto"/>
          <w:sz w:val="24"/>
          <w:szCs w:val="21"/>
          <w:highlight w:val="none"/>
          <w:u w:val="single"/>
          <w:lang w:val="zh-CN"/>
        </w:rPr>
      </w:pPr>
      <w:bookmarkStart w:id="10" w:name="_Toc387526173"/>
      <w:bookmarkStart w:id="11" w:name="_Toc387526277"/>
      <w:bookmarkStart w:id="12" w:name="_Toc387526369"/>
      <w:r>
        <w:rPr>
          <w:rFonts w:ascii="宋体" w:hAnsi="宋体"/>
          <w:color w:val="auto"/>
          <w:sz w:val="24"/>
          <w:szCs w:val="21"/>
          <w:highlight w:val="none"/>
          <w:lang w:val="zh-CN"/>
        </w:rPr>
        <w:t>2、方式：</w:t>
      </w:r>
      <w:r>
        <w:rPr>
          <w:rFonts w:ascii="宋体" w:hAnsi="宋体"/>
          <w:color w:val="auto"/>
          <w:sz w:val="24"/>
          <w:szCs w:val="21"/>
          <w:highlight w:val="none"/>
          <w:u w:val="single"/>
          <w:lang w:val="zh-CN"/>
        </w:rPr>
        <w:t>本项目资格审查采用资格后审方式，无报名环节，投标人直接从</w:t>
      </w:r>
      <w:r>
        <w:rPr>
          <w:rFonts w:hint="eastAsia" w:ascii="宋体" w:hAnsi="宋体"/>
          <w:color w:val="auto"/>
          <w:sz w:val="24"/>
          <w:szCs w:val="21"/>
          <w:highlight w:val="none"/>
          <w:u w:val="single"/>
          <w:lang w:val="zh-CN"/>
        </w:rPr>
        <w:t>南通市水利局网站（</w:t>
      </w:r>
      <w:r>
        <w:rPr>
          <w:rFonts w:ascii="宋体" w:hAnsi="宋体"/>
          <w:color w:val="auto"/>
          <w:szCs w:val="21"/>
          <w:highlight w:val="none"/>
          <w:u w:val="single"/>
          <w:lang w:val="zh-CN"/>
        </w:rPr>
        <w:t>http://slj.nantong.gov.cn/-</w:t>
      </w:r>
      <w:r>
        <w:rPr>
          <w:rFonts w:hint="eastAsia" w:ascii="宋体" w:hAnsi="宋体"/>
          <w:color w:val="auto"/>
          <w:sz w:val="24"/>
          <w:szCs w:val="21"/>
          <w:highlight w:val="none"/>
          <w:u w:val="single"/>
          <w:lang w:val="zh-CN"/>
        </w:rPr>
        <w:t>公告公示栏目）下载</w:t>
      </w:r>
      <w:r>
        <w:rPr>
          <w:rFonts w:ascii="宋体" w:hAnsi="宋体"/>
          <w:color w:val="auto"/>
          <w:sz w:val="24"/>
          <w:szCs w:val="21"/>
          <w:highlight w:val="none"/>
          <w:u w:val="single"/>
          <w:lang w:val="zh-CN"/>
        </w:rPr>
        <w:t>招标文件、澄清答疑等相关招标资料</w:t>
      </w:r>
      <w:r>
        <w:rPr>
          <w:rFonts w:hint="eastAsia" w:ascii="宋体" w:hAnsi="宋体"/>
          <w:color w:val="auto"/>
          <w:sz w:val="24"/>
          <w:szCs w:val="21"/>
          <w:highlight w:val="none"/>
          <w:u w:val="single"/>
          <w:lang w:val="zh-CN"/>
        </w:rPr>
        <w:t>。</w:t>
      </w:r>
    </w:p>
    <w:bookmarkEnd w:id="10"/>
    <w:bookmarkEnd w:id="11"/>
    <w:bookmarkEnd w:id="12"/>
    <w:p w14:paraId="2D1E68E6">
      <w:pPr>
        <w:keepNext w:val="0"/>
        <w:keepLines w:val="0"/>
        <w:pageBreakBefore w:val="0"/>
        <w:kinsoku w:val="0"/>
        <w:overflowPunct w:val="0"/>
        <w:autoSpaceDE w:val="0"/>
        <w:autoSpaceDN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ascii="宋体" w:hAnsi="宋体"/>
          <w:b/>
          <w:color w:val="auto"/>
          <w:sz w:val="24"/>
          <w:highlight w:val="none"/>
        </w:rPr>
        <w:t>四、提交投标文件截止时间、开标时间和地点</w:t>
      </w:r>
    </w:p>
    <w:p w14:paraId="13B325B6">
      <w:pPr>
        <w:keepNext w:val="0"/>
        <w:keepLines w:val="0"/>
        <w:pageBreakBefore w:val="0"/>
        <w:widowControl/>
        <w:bidi w:val="0"/>
        <w:snapToGrid w:val="0"/>
        <w:spacing w:beforeAutospacing="0" w:afterAutospacing="0" w:line="440" w:lineRule="exact"/>
        <w:ind w:left="0" w:leftChars="0" w:right="0" w:rightChars="0" w:firstLine="470" w:firstLineChars="196"/>
        <w:jc w:val="left"/>
        <w:rPr>
          <w:rFonts w:ascii="宋体" w:hAnsi="宋体"/>
          <w:color w:val="auto"/>
          <w:sz w:val="24"/>
          <w:highlight w:val="none"/>
        </w:rPr>
      </w:pPr>
      <w:r>
        <w:rPr>
          <w:rFonts w:ascii="宋体" w:hAnsi="宋体"/>
          <w:color w:val="auto"/>
          <w:sz w:val="24"/>
          <w:highlight w:val="none"/>
        </w:rPr>
        <w:t>截止时间及开标时间：</w:t>
      </w:r>
      <w:r>
        <w:rPr>
          <w:rFonts w:hint="eastAsia" w:ascii="宋体" w:hAnsi="宋体"/>
          <w:color w:val="auto"/>
          <w:sz w:val="24"/>
          <w:highlight w:val="none"/>
          <w:u w:val="single"/>
          <w:lang w:eastAsia="zh-CN"/>
        </w:rPr>
        <w:t>2026</w:t>
      </w:r>
      <w:r>
        <w:rPr>
          <w:rFonts w:ascii="宋体" w:hAnsi="宋体"/>
          <w:color w:val="auto"/>
          <w:sz w:val="24"/>
          <w:highlight w:val="none"/>
          <w:u w:val="single"/>
        </w:rPr>
        <w:t>年</w:t>
      </w:r>
      <w:r>
        <w:rPr>
          <w:rFonts w:hint="eastAsia" w:ascii="宋体" w:hAnsi="宋体"/>
          <w:color w:val="auto"/>
          <w:sz w:val="24"/>
          <w:highlight w:val="none"/>
          <w:u w:val="single"/>
          <w:lang w:val="en-US" w:eastAsia="zh-CN"/>
        </w:rPr>
        <w:t>6</w:t>
      </w:r>
      <w:r>
        <w:rPr>
          <w:rFonts w:ascii="宋体" w:hAnsi="宋体"/>
          <w:color w:val="auto"/>
          <w:sz w:val="24"/>
          <w:highlight w:val="none"/>
          <w:u w:val="single"/>
        </w:rPr>
        <w:t>月</w:t>
      </w:r>
      <w:r>
        <w:rPr>
          <w:rFonts w:hint="eastAsia" w:ascii="宋体" w:hAnsi="宋体"/>
          <w:color w:val="auto"/>
          <w:sz w:val="24"/>
          <w:highlight w:val="none"/>
          <w:u w:val="single"/>
          <w:lang w:val="en-US" w:eastAsia="zh-CN"/>
        </w:rPr>
        <w:t>4</w:t>
      </w:r>
      <w:r>
        <w:rPr>
          <w:rFonts w:ascii="宋体" w:hAnsi="宋体"/>
          <w:color w:val="auto"/>
          <w:sz w:val="24"/>
          <w:highlight w:val="none"/>
          <w:u w:val="single"/>
        </w:rPr>
        <w:t>日</w:t>
      </w:r>
      <w:r>
        <w:rPr>
          <w:rFonts w:hint="eastAsia" w:ascii="宋体" w:hAnsi="宋体"/>
          <w:color w:val="auto"/>
          <w:sz w:val="24"/>
          <w:highlight w:val="none"/>
          <w:u w:val="single"/>
          <w:lang w:val="en-US" w:eastAsia="zh-CN"/>
        </w:rPr>
        <w:t>14</w:t>
      </w:r>
      <w:r>
        <w:rPr>
          <w:rFonts w:ascii="宋体" w:hAnsi="宋体"/>
          <w:color w:val="auto"/>
          <w:sz w:val="24"/>
          <w:highlight w:val="none"/>
          <w:u w:val="single"/>
        </w:rPr>
        <w:t>时</w:t>
      </w:r>
      <w:r>
        <w:rPr>
          <w:rFonts w:hint="eastAsia" w:ascii="宋体" w:hAnsi="宋体"/>
          <w:color w:val="auto"/>
          <w:sz w:val="24"/>
          <w:highlight w:val="none"/>
          <w:u w:val="single"/>
          <w:lang w:val="en-US" w:eastAsia="zh-CN"/>
        </w:rPr>
        <w:t>00</w:t>
      </w:r>
      <w:r>
        <w:rPr>
          <w:rFonts w:ascii="宋体" w:hAnsi="宋体"/>
          <w:color w:val="auto"/>
          <w:sz w:val="24"/>
          <w:highlight w:val="none"/>
          <w:u w:val="single"/>
        </w:rPr>
        <w:t>分</w:t>
      </w:r>
      <w:r>
        <w:rPr>
          <w:rFonts w:ascii="宋体" w:hAnsi="宋体"/>
          <w:color w:val="auto"/>
          <w:sz w:val="24"/>
          <w:highlight w:val="none"/>
        </w:rPr>
        <w:t>；</w:t>
      </w:r>
    </w:p>
    <w:p w14:paraId="5D9643EB">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ascii="宋体" w:hAnsi="宋体"/>
          <w:color w:val="auto"/>
          <w:sz w:val="24"/>
          <w:highlight w:val="none"/>
        </w:rPr>
        <w:t>地点：</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rPr>
        <w:t xml:space="preserve">南通市通吕运河水利工程管理所（外环西路397号）三楼会议室 </w:t>
      </w:r>
      <w:r>
        <w:rPr>
          <w:rFonts w:ascii="宋体" w:hAnsi="宋体"/>
          <w:color w:val="auto"/>
          <w:kern w:val="0"/>
          <w:sz w:val="24"/>
          <w:highlight w:val="none"/>
        </w:rPr>
        <w:t>。</w:t>
      </w:r>
    </w:p>
    <w:p w14:paraId="79F82497">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b/>
          <w:bCs/>
          <w:color w:val="auto"/>
          <w:sz w:val="24"/>
          <w:highlight w:val="none"/>
        </w:rPr>
      </w:pPr>
      <w:r>
        <w:rPr>
          <w:rFonts w:hint="eastAsia" w:ascii="宋体" w:hAnsi="宋体"/>
          <w:b/>
          <w:bCs/>
          <w:color w:val="auto"/>
          <w:sz w:val="24"/>
          <w:highlight w:val="none"/>
        </w:rPr>
        <w:t>投标人递交投标文件时，投标人的法定代表人（或其授权代理人）必须携带本人身份证件原件、法定代表人身份证明（或授权委托书）原件准时参加开标会议。否则，其投标文件不予受理。</w:t>
      </w:r>
    </w:p>
    <w:p w14:paraId="5DD9D87F">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b/>
          <w:bCs/>
          <w:color w:val="auto"/>
          <w:sz w:val="24"/>
          <w:highlight w:val="none"/>
        </w:rPr>
      </w:pPr>
      <w:r>
        <w:rPr>
          <w:rFonts w:hint="eastAsia" w:ascii="宋体" w:hAnsi="宋体"/>
          <w:b/>
          <w:bCs/>
          <w:color w:val="auto"/>
          <w:sz w:val="24"/>
          <w:highlight w:val="none"/>
        </w:rPr>
        <w:t>注：法定代表人身份证明（或授权委托书）不仅需要装订在投标文件中，还需要一份原件由法定代表人（或其授权代理人）在投标时随身携带，供递交投标文件时核验。</w:t>
      </w:r>
    </w:p>
    <w:p w14:paraId="59D95290">
      <w:pPr>
        <w:keepNext w:val="0"/>
        <w:keepLines w:val="0"/>
        <w:pageBreakBefore w:val="0"/>
        <w:kinsoku w:val="0"/>
        <w:overflowPunct w:val="0"/>
        <w:autoSpaceDE w:val="0"/>
        <w:autoSpaceDN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ascii="宋体" w:hAnsi="宋体"/>
          <w:b/>
          <w:color w:val="auto"/>
          <w:sz w:val="24"/>
          <w:highlight w:val="none"/>
        </w:rPr>
        <w:t>五、公告期限</w:t>
      </w:r>
    </w:p>
    <w:p w14:paraId="45818708">
      <w:pPr>
        <w:keepNext w:val="0"/>
        <w:keepLines w:val="0"/>
        <w:pageBreakBefore w:val="0"/>
        <w:widowControl/>
        <w:bidi w:val="0"/>
        <w:snapToGrid w:val="0"/>
        <w:spacing w:beforeAutospacing="0" w:afterAutospacing="0" w:line="440" w:lineRule="exact"/>
        <w:ind w:left="0" w:leftChars="0" w:right="0" w:rightChars="0" w:firstLine="470" w:firstLineChars="196"/>
        <w:jc w:val="left"/>
        <w:rPr>
          <w:rFonts w:ascii="宋体" w:hAnsi="宋体"/>
          <w:color w:val="auto"/>
          <w:sz w:val="24"/>
          <w:highlight w:val="none"/>
        </w:rPr>
      </w:pPr>
      <w:r>
        <w:rPr>
          <w:rFonts w:ascii="宋体" w:hAnsi="宋体"/>
          <w:color w:val="auto"/>
          <w:sz w:val="24"/>
          <w:highlight w:val="none"/>
        </w:rPr>
        <w:t>自本公告发布之日起5个工作日。</w:t>
      </w:r>
    </w:p>
    <w:p w14:paraId="095872BE">
      <w:pPr>
        <w:keepNext w:val="0"/>
        <w:keepLines w:val="0"/>
        <w:pageBreakBefore w:val="0"/>
        <w:kinsoku w:val="0"/>
        <w:overflowPunct w:val="0"/>
        <w:autoSpaceDE w:val="0"/>
        <w:autoSpaceDN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hint="eastAsia" w:ascii="宋体" w:hAnsi="宋体"/>
          <w:b/>
          <w:color w:val="auto"/>
          <w:sz w:val="24"/>
          <w:highlight w:val="none"/>
        </w:rPr>
        <w:t>六、其他补充事宜</w:t>
      </w:r>
    </w:p>
    <w:p w14:paraId="1A10C0A8">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hint="eastAsia" w:ascii="宋体" w:hAnsi="宋体"/>
          <w:color w:val="auto"/>
          <w:sz w:val="24"/>
          <w:highlight w:val="none"/>
        </w:rPr>
        <w:t>本项目采用现场开标模式，投标人须在提交投标文件的截止时间前到达开标现场提交纸质投标文件。</w:t>
      </w:r>
    </w:p>
    <w:p w14:paraId="568C198B">
      <w:pPr>
        <w:keepNext w:val="0"/>
        <w:keepLines w:val="0"/>
        <w:pageBreakBefore w:val="0"/>
        <w:kinsoku w:val="0"/>
        <w:overflowPunct w:val="0"/>
        <w:autoSpaceDE w:val="0"/>
        <w:autoSpaceDN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hint="eastAsia" w:ascii="宋体" w:hAnsi="宋体"/>
          <w:b/>
          <w:color w:val="auto"/>
          <w:sz w:val="24"/>
          <w:highlight w:val="none"/>
        </w:rPr>
        <w:t>七</w:t>
      </w:r>
      <w:r>
        <w:rPr>
          <w:rFonts w:ascii="宋体" w:hAnsi="宋体"/>
          <w:b/>
          <w:color w:val="auto"/>
          <w:sz w:val="24"/>
          <w:highlight w:val="none"/>
        </w:rPr>
        <w:t>、凡对本次采购提出询问，请按以下方式联系。</w:t>
      </w:r>
    </w:p>
    <w:bookmarkEnd w:id="4"/>
    <w:bookmarkEnd w:id="5"/>
    <w:bookmarkEnd w:id="6"/>
    <w:bookmarkEnd w:id="7"/>
    <w:p w14:paraId="36899913">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hint="eastAsia" w:ascii="宋体" w:hAnsi="宋体"/>
          <w:color w:val="auto"/>
          <w:sz w:val="24"/>
          <w:highlight w:val="none"/>
        </w:rPr>
        <w:t>1.采购人：南通市通吕运河水利工程管理所</w:t>
      </w:r>
    </w:p>
    <w:p w14:paraId="14370324">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rPr>
        <w:t>0513-83530190</w:t>
      </w:r>
    </w:p>
    <w:p w14:paraId="05B40AB4">
      <w:pPr>
        <w:keepNext w:val="0"/>
        <w:keepLines w:val="0"/>
        <w:pageBreakBefore w:val="0"/>
        <w:bidi w:val="0"/>
        <w:adjustRightInd w:val="0"/>
        <w:snapToGrid w:val="0"/>
        <w:spacing w:beforeAutospacing="0" w:afterAutospacing="0" w:line="440" w:lineRule="exact"/>
        <w:ind w:left="0" w:leftChars="0" w:right="0" w:righ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2、采购代理机构：江苏建博工程管理咨询有限公司</w:t>
      </w:r>
    </w:p>
    <w:p w14:paraId="4EDA0BCF">
      <w:pPr>
        <w:keepNext w:val="0"/>
        <w:keepLines w:val="0"/>
        <w:pageBreakBefore w:val="0"/>
        <w:bidi w:val="0"/>
        <w:adjustRightInd w:val="0"/>
        <w:snapToGrid w:val="0"/>
        <w:spacing w:beforeAutospacing="0" w:afterAutospacing="0" w:line="440" w:lineRule="exact"/>
        <w:ind w:left="0" w:leftChars="0" w:right="0" w:righ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址：南通市崇川区新胜路北同济科技园B7栋四楼</w:t>
      </w:r>
    </w:p>
    <w:p w14:paraId="03A920BC">
      <w:pPr>
        <w:keepNext w:val="0"/>
        <w:keepLines w:val="0"/>
        <w:pageBreakBefore w:val="0"/>
        <w:bidi w:val="0"/>
        <w:adjustRightInd w:val="0"/>
        <w:snapToGrid w:val="0"/>
        <w:spacing w:beforeAutospacing="0" w:afterAutospacing="0" w:line="440" w:lineRule="exact"/>
        <w:ind w:left="0" w:leftChars="0" w:right="0" w:righ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联系人：刘丽敏</w:t>
      </w:r>
    </w:p>
    <w:p w14:paraId="76A2F92E">
      <w:pPr>
        <w:keepNext w:val="0"/>
        <w:keepLines w:val="0"/>
        <w:pageBreakBefore w:val="0"/>
        <w:bidi w:val="0"/>
        <w:adjustRightInd w:val="0"/>
        <w:snapToGrid w:val="0"/>
        <w:spacing w:beforeAutospacing="0" w:afterAutospacing="0" w:line="440" w:lineRule="exact"/>
        <w:ind w:left="0" w:leftChars="0" w:right="0" w:righ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联系电话：18251304156</w:t>
      </w:r>
    </w:p>
    <w:p w14:paraId="49F3F0A4">
      <w:pPr>
        <w:keepNext w:val="0"/>
        <w:keepLines w:val="0"/>
        <w:pageBreakBefore w:val="0"/>
        <w:bidi w:val="0"/>
        <w:adjustRightInd w:val="0"/>
        <w:snapToGrid w:val="0"/>
        <w:spacing w:beforeAutospacing="0" w:afterAutospacing="0" w:line="440" w:lineRule="exact"/>
        <w:ind w:left="0" w:leftChars="0" w:right="0" w:righ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4AD092A6">
      <w:pPr>
        <w:keepNext w:val="0"/>
        <w:keepLines w:val="0"/>
        <w:pageBreakBefore w:val="0"/>
        <w:bidi w:val="0"/>
        <w:adjustRightInd w:val="0"/>
        <w:snapToGrid w:val="0"/>
        <w:spacing w:beforeAutospacing="0" w:afterAutospacing="0" w:line="440" w:lineRule="exact"/>
        <w:ind w:left="0" w:leftChars="0" w:right="0" w:righ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项目联系人：刘丽敏</w:t>
      </w:r>
    </w:p>
    <w:p w14:paraId="3760B960">
      <w:pPr>
        <w:keepNext w:val="0"/>
        <w:keepLines w:val="0"/>
        <w:pageBreakBefore w:val="0"/>
        <w:bidi w:val="0"/>
        <w:adjustRightInd w:val="0"/>
        <w:snapToGrid w:val="0"/>
        <w:spacing w:beforeAutospacing="0" w:afterAutospacing="0" w:line="440" w:lineRule="exact"/>
        <w:ind w:left="0" w:leftChars="0" w:right="0" w:righ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话：18251304156</w:t>
      </w:r>
    </w:p>
    <w:bookmarkEnd w:id="8"/>
    <w:bookmarkEnd w:id="9"/>
    <w:p w14:paraId="509D8B13">
      <w:pPr>
        <w:rPr>
          <w:rStyle w:val="124"/>
          <w:rFonts w:hint="default"/>
          <w:color w:val="auto"/>
          <w:sz w:val="28"/>
          <w:szCs w:val="28"/>
          <w:highlight w:val="none"/>
        </w:rPr>
      </w:pPr>
      <w:bookmarkStart w:id="13" w:name="_Toc182848970"/>
      <w:r>
        <w:rPr>
          <w:rStyle w:val="124"/>
          <w:rFonts w:hint="default"/>
          <w:color w:val="auto"/>
          <w:sz w:val="28"/>
          <w:szCs w:val="28"/>
          <w:highlight w:val="none"/>
        </w:rPr>
        <w:br w:type="page"/>
      </w:r>
    </w:p>
    <w:p w14:paraId="5A7A22AC">
      <w:pPr>
        <w:pStyle w:val="63"/>
        <w:keepNext w:val="0"/>
        <w:keepLines w:val="0"/>
        <w:pageBreakBefore w:val="0"/>
        <w:bidi w:val="0"/>
        <w:spacing w:beforeAutospacing="0" w:after="0" w:afterLines="0" w:afterAutospacing="0" w:line="440" w:lineRule="exact"/>
        <w:ind w:left="0" w:leftChars="0" w:right="0" w:rightChars="0"/>
        <w:rPr>
          <w:color w:val="auto"/>
          <w:kern w:val="0"/>
          <w:sz w:val="24"/>
          <w:highlight w:val="none"/>
        </w:rPr>
      </w:pPr>
      <w:r>
        <w:rPr>
          <w:rStyle w:val="124"/>
          <w:rFonts w:hint="default"/>
          <w:color w:val="auto"/>
          <w:sz w:val="28"/>
          <w:szCs w:val="28"/>
          <w:highlight w:val="none"/>
        </w:rPr>
        <w:t>第二章  投标人须知</w:t>
      </w:r>
      <w:bookmarkEnd w:id="13"/>
    </w:p>
    <w:p w14:paraId="04283A4D">
      <w:pPr>
        <w:keepNext w:val="0"/>
        <w:keepLines w:val="0"/>
        <w:pageBreakBefore w:val="0"/>
        <w:kinsoku w:val="0"/>
        <w:overflowPunct w:val="0"/>
        <w:autoSpaceDE w:val="0"/>
        <w:autoSpaceDN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ascii="宋体" w:hAnsi="宋体"/>
          <w:b/>
          <w:color w:val="auto"/>
          <w:sz w:val="24"/>
          <w:highlight w:val="none"/>
        </w:rPr>
        <w:t>一、说明</w:t>
      </w:r>
    </w:p>
    <w:p w14:paraId="79D912A6">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bCs/>
          <w:color w:val="auto"/>
          <w:sz w:val="24"/>
          <w:highlight w:val="none"/>
        </w:rPr>
      </w:pPr>
      <w:r>
        <w:rPr>
          <w:rFonts w:hint="eastAsia" w:ascii="宋体" w:hAnsi="宋体" w:cs="宋体"/>
          <w:bCs/>
          <w:color w:val="auto"/>
          <w:sz w:val="24"/>
          <w:highlight w:val="none"/>
        </w:rPr>
        <w:t>1、本招标文件仅适用于采购人组织的本次公开招标活动。</w:t>
      </w:r>
    </w:p>
    <w:p w14:paraId="0DE4BD11">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bCs/>
          <w:color w:val="auto"/>
          <w:sz w:val="24"/>
          <w:highlight w:val="none"/>
        </w:rPr>
      </w:pPr>
      <w:r>
        <w:rPr>
          <w:rFonts w:hint="eastAsia" w:ascii="宋体" w:hAnsi="宋体" w:cs="宋体"/>
          <w:bCs/>
          <w:color w:val="auto"/>
          <w:sz w:val="24"/>
          <w:highlight w:val="none"/>
        </w:rPr>
        <w:t>2、公开招标活动及因本次招标产生的合同受中国法律制约和保护。</w:t>
      </w:r>
    </w:p>
    <w:p w14:paraId="48403FFD">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bCs/>
          <w:color w:val="auto"/>
          <w:sz w:val="24"/>
          <w:highlight w:val="none"/>
        </w:rPr>
      </w:pPr>
      <w:r>
        <w:rPr>
          <w:rFonts w:hint="eastAsia" w:ascii="宋体" w:hAnsi="宋体" w:cs="宋体"/>
          <w:bCs/>
          <w:color w:val="auto"/>
          <w:sz w:val="24"/>
          <w:highlight w:val="none"/>
        </w:rPr>
        <w:t>3、招标文件的解释权属于采购人。</w:t>
      </w:r>
    </w:p>
    <w:p w14:paraId="2027588B">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color w:val="auto"/>
          <w:sz w:val="24"/>
          <w:highlight w:val="none"/>
        </w:rPr>
        <w:t>投标人在知道或应当知道本项目招标公告及招标文件中的所有内容：如内容或页码短缺、资格要求和技术参数出现倾向性或排他性等表述的，</w:t>
      </w:r>
      <w:r>
        <w:rPr>
          <w:rFonts w:hint="eastAsia" w:ascii="宋体" w:hAnsi="宋体" w:cs="宋体"/>
          <w:b/>
          <w:color w:val="auto"/>
          <w:sz w:val="24"/>
          <w:highlight w:val="none"/>
        </w:rPr>
        <w:t>应在本项目招标公告发布之日起的7个工作日内提出询问或以书面实名制形式提出质疑</w:t>
      </w:r>
      <w:r>
        <w:rPr>
          <w:rFonts w:hint="eastAsia" w:ascii="宋体" w:hAnsi="宋体" w:cs="宋体"/>
          <w:color w:val="auto"/>
          <w:sz w:val="24"/>
          <w:highlight w:val="none"/>
        </w:rPr>
        <w:t>；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rFonts w:hint="eastAsia" w:ascii="宋体" w:hAnsi="宋体" w:cs="宋体"/>
          <w:b/>
          <w:bCs/>
          <w:color w:val="auto"/>
          <w:sz w:val="24"/>
          <w:highlight w:val="none"/>
        </w:rPr>
        <w:t>非书面形式的不作为日后质疑提出的依据。</w:t>
      </w:r>
    </w:p>
    <w:p w14:paraId="35F8A8E5">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bCs/>
          <w:color w:val="auto"/>
          <w:sz w:val="24"/>
          <w:highlight w:val="none"/>
        </w:rPr>
        <w:t>5、投标人应认真审阅招标文件中所有的事项、格式、条款和规范要求等，如果投标人没有按照招标文件要求提交投标文件，或者投标文件没有对招标文件做出实质性响应，将被拒绝参</w:t>
      </w:r>
      <w:r>
        <w:rPr>
          <w:rFonts w:hint="eastAsia" w:ascii="宋体" w:hAnsi="宋体" w:cs="宋体"/>
          <w:color w:val="auto"/>
          <w:sz w:val="24"/>
          <w:highlight w:val="none"/>
        </w:rPr>
        <w:t>与投标。</w:t>
      </w:r>
    </w:p>
    <w:p w14:paraId="5E96570D">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ascii="宋体" w:hAnsi="宋体"/>
          <w:b/>
          <w:color w:val="auto"/>
          <w:sz w:val="24"/>
          <w:highlight w:val="none"/>
        </w:rPr>
        <w:t>二、招标文件的补充说明、澄清、修改、答疑</w:t>
      </w:r>
    </w:p>
    <w:p w14:paraId="16621B83">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s="宋体"/>
          <w:color w:val="auto"/>
          <w:sz w:val="24"/>
          <w:highlight w:val="none"/>
        </w:rPr>
        <w:t>采购人有权对发出的招标文件进行必要的补充说明、澄清或修改。</w:t>
      </w:r>
    </w:p>
    <w:p w14:paraId="3FDC4BD0">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kern w:val="0"/>
          <w:sz w:val="24"/>
          <w:highlight w:val="none"/>
        </w:rPr>
      </w:pPr>
      <w:r>
        <w:rPr>
          <w:rFonts w:ascii="宋体" w:hAnsi="宋体"/>
          <w:color w:val="auto"/>
          <w:kern w:val="0"/>
          <w:sz w:val="24"/>
          <w:highlight w:val="none"/>
        </w:rPr>
        <w:t>2、招标文件的澄清、修改、补充等内容均以补充公告的形式发布，且以在南通市</w:t>
      </w:r>
      <w:r>
        <w:rPr>
          <w:rFonts w:hint="eastAsia" w:ascii="宋体" w:hAnsi="宋体"/>
          <w:color w:val="auto"/>
          <w:kern w:val="0"/>
          <w:sz w:val="24"/>
          <w:highlight w:val="none"/>
        </w:rPr>
        <w:t>水利局</w:t>
      </w:r>
      <w:r>
        <w:rPr>
          <w:rFonts w:ascii="宋体" w:hAnsi="宋体"/>
          <w:color w:val="auto"/>
          <w:kern w:val="0"/>
          <w:sz w:val="24"/>
          <w:highlight w:val="none"/>
        </w:rPr>
        <w:t>网站发布的信息为准。</w:t>
      </w:r>
    </w:p>
    <w:p w14:paraId="0118E599">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3、采购人对招标文件的补充说明、澄清或修改，将构成招标文件的一部分，对所有投标人具有约束力。</w:t>
      </w:r>
    </w:p>
    <w:p w14:paraId="3F41FE52">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4、补充说明、澄清或修改的内容可能影响到投标文件编制的，采购人将在投标截止时间15日前，发布补充说明、澄清或修改公告，不足15日的，应当顺延提交投标文件的截止时间。</w:t>
      </w:r>
    </w:p>
    <w:p w14:paraId="31CBB28A">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5、除非采购人以书面的形式对招标文件作出澄清、修改及补充，投标人对涉及招标文件的任何推论、理解和结论所造成的结果，均由投标人自负。</w:t>
      </w:r>
    </w:p>
    <w:p w14:paraId="02E2991B">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6、采购人视情组织答疑会。如有产生答疑且对招标文件内容有修改，采购人将按照本须知有关规定，以补充通知（公告）的方式发出。</w:t>
      </w:r>
    </w:p>
    <w:p w14:paraId="39716471">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三、投标项目涉及到的现场勘查</w:t>
      </w:r>
    </w:p>
    <w:p w14:paraId="2C96D27C">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1、招标文件所提供的项目相关数据仅做参考，根据自身需要，投标人可在投标文件递交之日前对有关现场和周围环境进行勘查，以获取编制投标文件和签署合同所需的信息。勘查现场所发生的费用由投标人自己承担。</w:t>
      </w:r>
    </w:p>
    <w:p w14:paraId="7DDFC838">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2、采购人向投标人提供的有关现场的资料和数据，是采购人现有的并认为能使投标人可利用的资料。采购人对投标人由此而做出的推论、理解和结论概不负责。</w:t>
      </w:r>
    </w:p>
    <w:p w14:paraId="46542490">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3、投标人应认真踏勘现场。在现场勘查时，熟悉现场及周围交通道路等情况，以获得一切可能影响其投标的直接资料。投标人投标成交后，不得以不完全了解现场情况为理由而向采购人提出任何索赔的要求，对此采购人不承担任何责任并将不作任何答复与考虑。</w:t>
      </w:r>
    </w:p>
    <w:p w14:paraId="2BFB1714">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4、投标人不得因勘查现场使采购人承担有关的责任和蒙受损失。投标人应承担勘查现场的责任和风险。</w:t>
      </w:r>
    </w:p>
    <w:p w14:paraId="70510BF6">
      <w:pPr>
        <w:keepNext w:val="0"/>
        <w:keepLines w:val="0"/>
        <w:pageBreakBefore w:val="0"/>
        <w:numPr>
          <w:ilvl w:val="0"/>
          <w:numId w:val="7"/>
        </w:numPr>
        <w:bidi w:val="0"/>
        <w:snapToGrid w:val="0"/>
        <w:spacing w:beforeAutospacing="0" w:afterAutospacing="0" w:line="440" w:lineRule="exact"/>
        <w:ind w:left="0" w:leftChars="0" w:right="0" w:rightChars="0"/>
        <w:outlineLvl w:val="1"/>
        <w:rPr>
          <w:rFonts w:ascii="宋体" w:hAnsi="宋体" w:cs="宋体"/>
          <w:b/>
          <w:color w:val="auto"/>
          <w:sz w:val="24"/>
          <w:highlight w:val="none"/>
        </w:rPr>
      </w:pPr>
      <w:r>
        <w:rPr>
          <w:rFonts w:hint="eastAsia" w:ascii="宋体" w:hAnsi="宋体" w:cs="宋体"/>
          <w:b/>
          <w:color w:val="auto"/>
          <w:sz w:val="24"/>
          <w:highlight w:val="none"/>
        </w:rPr>
        <w:t>投标文件的组成及装订</w:t>
      </w:r>
    </w:p>
    <w:p w14:paraId="17CF4A1A">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1、投标文件由：①资格审查文件、②商务技术标、③价格标共三部分组成。</w:t>
      </w:r>
    </w:p>
    <w:p w14:paraId="49EEF25C">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2、投标人按招标文件要求编写投标文件，并牢固装订成册。投标文件均需采用A4纸（图纸等除外），投标文件不得行间插字、涂改、增删，如修改错漏处，须经签署投标文件的投标人法定代表人或其委托的代理人（以下称被授权人）签字（或盖章）并加盖公章。</w:t>
      </w:r>
    </w:p>
    <w:p w14:paraId="2B708FB2">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3、投标文件的“资格审查文件”、“商务技术标”、“价格标”各自装订成册。特别提示：“资格审查文件”和“商务技术标”中不得出现价格。</w:t>
      </w:r>
    </w:p>
    <w:p w14:paraId="1A5DD96A">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五、投标文件的份数、签署</w:t>
      </w:r>
    </w:p>
    <w:p w14:paraId="44DC42F6">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1、投标人应准备</w:t>
      </w:r>
      <w:r>
        <w:rPr>
          <w:rFonts w:hint="eastAsia" w:ascii="宋体" w:hAnsi="宋体" w:cs="宋体"/>
          <w:color w:val="auto"/>
          <w:sz w:val="24"/>
          <w:highlight w:val="none"/>
          <w:u w:val="single"/>
        </w:rPr>
        <w:t xml:space="preserve"> 伍 </w:t>
      </w:r>
      <w:r>
        <w:rPr>
          <w:rFonts w:hint="eastAsia" w:ascii="宋体" w:hAnsi="宋体" w:cs="宋体"/>
          <w:color w:val="auto"/>
          <w:sz w:val="24"/>
          <w:highlight w:val="none"/>
        </w:rPr>
        <w:t>份完整的投标文件，其中正本</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肆 </w:t>
      </w:r>
      <w:r>
        <w:rPr>
          <w:rFonts w:hint="eastAsia" w:ascii="宋体" w:hAnsi="宋体" w:cs="宋体"/>
          <w:color w:val="auto"/>
          <w:sz w:val="24"/>
          <w:highlight w:val="none"/>
        </w:rPr>
        <w:t>份，并标明“正本”或“副本”字样，若有差异，概以“正本”为准。</w:t>
      </w:r>
    </w:p>
    <w:p w14:paraId="69EE33C7">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2、投标文件分三册密封。第一册为“资格审查文件”，第二册为 “商务技术标”，第三册为 “价格标”，投标文件的第一册、第二册、第三册应分别密封，并在封袋上标明“资格审查文件”、“商务技术标”、“价格标”。</w:t>
      </w:r>
    </w:p>
    <w:p w14:paraId="7A0AAE90">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3、投标人可将投标文件正副本统一密封或分别密封，如正本和副本分别密封的，应在封袋上标明正、副本字样。</w:t>
      </w:r>
    </w:p>
    <w:p w14:paraId="1BCEFDE8">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4、投标文件正本须按招标文件要求由法定代表人或被授权人签字或盖章并加盖投标人印章。副本可复印，但须加盖投标人印章。</w:t>
      </w:r>
    </w:p>
    <w:p w14:paraId="07A2AEFB">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5、开标程序顺利进行后，所有投标文件都将作为档案保存，不论成交与否，代理机构均不退回（未拆封的除外）。</w:t>
      </w:r>
    </w:p>
    <w:p w14:paraId="34FF1165">
      <w:pPr>
        <w:keepNext w:val="0"/>
        <w:keepLines w:val="0"/>
        <w:pageBreakBefore w:val="0"/>
        <w:bidi w:val="0"/>
        <w:snapToGrid w:val="0"/>
        <w:spacing w:beforeAutospacing="0" w:afterAutospacing="0" w:line="440" w:lineRule="exact"/>
        <w:ind w:left="0" w:leftChars="0" w:right="0" w:rightChars="0" w:firstLine="470" w:firstLineChars="196"/>
        <w:outlineLvl w:val="1"/>
        <w:rPr>
          <w:rFonts w:ascii="宋体" w:hAnsi="宋体" w:cs="宋体"/>
          <w:b/>
          <w:bCs/>
          <w:color w:val="auto"/>
          <w:sz w:val="24"/>
          <w:highlight w:val="none"/>
        </w:rPr>
      </w:pPr>
      <w:r>
        <w:rPr>
          <w:rFonts w:hint="eastAsia" w:ascii="宋体" w:hAnsi="宋体" w:cs="宋体"/>
          <w:b/>
          <w:bCs/>
          <w:color w:val="auto"/>
          <w:sz w:val="24"/>
          <w:highlight w:val="none"/>
        </w:rPr>
        <w:t>六、投标文件的密封及标记</w:t>
      </w:r>
    </w:p>
    <w:p w14:paraId="3ED3BCD1">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b/>
          <w:color w:val="auto"/>
          <w:sz w:val="24"/>
          <w:highlight w:val="none"/>
        </w:rPr>
      </w:pPr>
      <w:r>
        <w:rPr>
          <w:rFonts w:hint="eastAsia" w:ascii="宋体" w:hAnsi="宋体" w:cs="宋体"/>
          <w:b/>
          <w:color w:val="auto"/>
          <w:sz w:val="24"/>
          <w:highlight w:val="none"/>
        </w:rPr>
        <w:t>密封后，应在每一密封包的投标文件上明确标注投标项目名称、投标文件各自对应的名称、投标人名称、同时加盖投标人公章。</w:t>
      </w:r>
    </w:p>
    <w:p w14:paraId="7A2E4D39">
      <w:pPr>
        <w:keepNext w:val="0"/>
        <w:keepLines w:val="0"/>
        <w:pageBreakBefore w:val="0"/>
        <w:bidi w:val="0"/>
        <w:snapToGrid w:val="0"/>
        <w:spacing w:beforeAutospacing="0" w:afterAutospacing="0" w:line="440" w:lineRule="exact"/>
        <w:ind w:left="0" w:leftChars="0" w:right="0" w:rightChars="0" w:firstLine="470" w:firstLineChars="196"/>
        <w:outlineLvl w:val="1"/>
        <w:rPr>
          <w:rFonts w:ascii="宋体" w:hAnsi="宋体"/>
          <w:color w:val="auto"/>
          <w:sz w:val="24"/>
          <w:highlight w:val="none"/>
        </w:rPr>
      </w:pPr>
      <w:r>
        <w:rPr>
          <w:rFonts w:hint="eastAsia" w:ascii="宋体" w:hAnsi="宋体" w:cs="宋体"/>
          <w:b/>
          <w:bCs/>
          <w:color w:val="auto"/>
          <w:sz w:val="24"/>
          <w:highlight w:val="none"/>
        </w:rPr>
        <w:t>七、</w:t>
      </w:r>
      <w:r>
        <w:rPr>
          <w:rFonts w:hint="eastAsia" w:ascii="宋体" w:hAnsi="宋体"/>
          <w:b/>
          <w:color w:val="auto"/>
          <w:sz w:val="24"/>
          <w:highlight w:val="none"/>
        </w:rPr>
        <w:t>投标文件的有效期</w:t>
      </w:r>
    </w:p>
    <w:p w14:paraId="2A64D3BE">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1、从投标文件接收截止之日算起，90个“日历天”内投标书应保持有效。有效期短于这个规定期限的，投标将被拒绝。</w:t>
      </w:r>
    </w:p>
    <w:p w14:paraId="010AC02B">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2、在特殊情况下，采购人可与投标人协商延长投标书的有效期。这种要求和答复都应以书面、传真或电报的形式进行。同意延长有效期的投标人不能修改投标文件。拒绝接受延期要求的投标人的投标书将被拒绝。</w:t>
      </w:r>
    </w:p>
    <w:p w14:paraId="7FCA4A37">
      <w:pPr>
        <w:keepNext w:val="0"/>
        <w:keepLines w:val="0"/>
        <w:pageBreakBefore w:val="0"/>
        <w:bidi w:val="0"/>
        <w:snapToGrid w:val="0"/>
        <w:spacing w:beforeAutospacing="0" w:afterAutospacing="0" w:line="440" w:lineRule="exact"/>
        <w:ind w:left="0" w:leftChars="0" w:right="0" w:rightChars="0" w:firstLine="494" w:firstLineChars="206"/>
        <w:outlineLvl w:val="1"/>
        <w:rPr>
          <w:rFonts w:ascii="宋体" w:hAnsi="宋体" w:cs="宋体"/>
          <w:b/>
          <w:bCs/>
          <w:color w:val="auto"/>
          <w:sz w:val="24"/>
          <w:highlight w:val="none"/>
        </w:rPr>
      </w:pPr>
      <w:r>
        <w:rPr>
          <w:rFonts w:hint="eastAsia" w:ascii="宋体" w:hAnsi="宋体" w:cs="宋体"/>
          <w:b/>
          <w:bCs/>
          <w:color w:val="auto"/>
          <w:sz w:val="24"/>
          <w:highlight w:val="none"/>
        </w:rPr>
        <w:t>八、投标报价</w:t>
      </w:r>
    </w:p>
    <w:p w14:paraId="17612C1F">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1、本项目不接受任何有选择的报价。</w:t>
      </w:r>
    </w:p>
    <w:p w14:paraId="7F2DB3E4">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2、投标报价均以人民币为报价的币种。</w:t>
      </w:r>
    </w:p>
    <w:p w14:paraId="43A3E872">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3、报价表必须加盖投标人公章且必须经法定代表人或被授权人签字或盖章。</w:t>
      </w:r>
    </w:p>
    <w:p w14:paraId="06AB97E0">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ascii="宋体" w:hAnsi="宋体" w:cs="宋体"/>
          <w:color w:val="auto"/>
          <w:sz w:val="24"/>
          <w:highlight w:val="none"/>
        </w:rPr>
        <w:t>报价出现前后不一致的，按照下列规定修正：</w:t>
      </w:r>
    </w:p>
    <w:p w14:paraId="4398B60B">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ascii="宋体" w:hAnsi="宋体" w:cs="宋体"/>
          <w:color w:val="auto"/>
          <w:sz w:val="24"/>
          <w:highlight w:val="none"/>
        </w:rPr>
        <w:t>（1）投标文件中开标一览表（</w:t>
      </w:r>
      <w:r>
        <w:rPr>
          <w:rFonts w:hint="eastAsia" w:ascii="宋体" w:hAnsi="宋体" w:cs="宋体"/>
          <w:color w:val="auto"/>
          <w:sz w:val="24"/>
          <w:highlight w:val="none"/>
        </w:rPr>
        <w:t>报价表</w:t>
      </w:r>
      <w:r>
        <w:rPr>
          <w:rFonts w:ascii="宋体" w:hAnsi="宋体" w:cs="宋体"/>
          <w:color w:val="auto"/>
          <w:sz w:val="24"/>
          <w:highlight w:val="none"/>
        </w:rPr>
        <w:t>）内容与投标文件中相应内容不一致的，以开标一览表（</w:t>
      </w:r>
      <w:r>
        <w:rPr>
          <w:rFonts w:hint="eastAsia" w:ascii="宋体" w:hAnsi="宋体" w:cs="宋体"/>
          <w:color w:val="auto"/>
          <w:sz w:val="24"/>
          <w:highlight w:val="none"/>
        </w:rPr>
        <w:t>报价表</w:t>
      </w:r>
      <w:r>
        <w:rPr>
          <w:rFonts w:ascii="宋体" w:hAnsi="宋体" w:cs="宋体"/>
          <w:color w:val="auto"/>
          <w:sz w:val="24"/>
          <w:highlight w:val="none"/>
        </w:rPr>
        <w:t>）为准；</w:t>
      </w:r>
    </w:p>
    <w:p w14:paraId="0C9313A2">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ascii="宋体" w:hAnsi="宋体" w:cs="宋体"/>
          <w:color w:val="auto"/>
          <w:sz w:val="24"/>
          <w:highlight w:val="none"/>
        </w:rPr>
        <w:t>（2）大写金额和小写金额不一致的，以大写金额为准；</w:t>
      </w:r>
    </w:p>
    <w:p w14:paraId="56A73DCF">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ascii="宋体" w:hAnsi="宋体" w:cs="宋体"/>
          <w:color w:val="auto"/>
          <w:sz w:val="24"/>
          <w:highlight w:val="none"/>
        </w:rPr>
        <w:t>（3）单价金额小数点或者百分比有明显错位的，以开标一览表的总价为准，并修改单价；</w:t>
      </w:r>
    </w:p>
    <w:p w14:paraId="5A9654B2">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ascii="宋体" w:hAnsi="宋体" w:cs="宋体"/>
          <w:color w:val="auto"/>
          <w:sz w:val="24"/>
          <w:highlight w:val="none"/>
        </w:rPr>
        <w:t>（4）总价金额与按单价汇总金额不一致的，以单价金额计算结果为准</w:t>
      </w:r>
      <w:r>
        <w:rPr>
          <w:rFonts w:hint="eastAsia" w:ascii="宋体" w:hAnsi="宋体" w:cs="宋体"/>
          <w:color w:val="auto"/>
          <w:sz w:val="24"/>
          <w:highlight w:val="none"/>
        </w:rPr>
        <w:t>。</w:t>
      </w:r>
    </w:p>
    <w:p w14:paraId="0C749C3A">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同时出现两种以上不一致的，按照前款规定的顺序修正。修正后的报价应当由投标人的法定代表人或其授权的代表签字确认后产生约束力，投标人不确认的，其投标无效。</w:t>
      </w:r>
    </w:p>
    <w:p w14:paraId="25C61598">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4、</w:t>
      </w:r>
      <w:r>
        <w:rPr>
          <w:color w:val="auto"/>
          <w:sz w:val="24"/>
          <w:highlight w:val="none"/>
        </w:rPr>
        <w:t>投标报价采用</w:t>
      </w:r>
      <w:r>
        <w:rPr>
          <w:b/>
          <w:bCs/>
          <w:color w:val="auto"/>
          <w:sz w:val="24"/>
          <w:highlight w:val="none"/>
        </w:rPr>
        <w:t>固定总价</w:t>
      </w:r>
      <w:r>
        <w:rPr>
          <w:color w:val="auto"/>
          <w:sz w:val="24"/>
          <w:highlight w:val="none"/>
        </w:rPr>
        <w:t>报价</w:t>
      </w:r>
      <w:r>
        <w:rPr>
          <w:rFonts w:hint="eastAsia"/>
          <w:color w:val="auto"/>
          <w:sz w:val="24"/>
          <w:highlight w:val="none"/>
          <w:lang w:eastAsia="zh-CN"/>
        </w:rPr>
        <w:t>，</w:t>
      </w:r>
      <w:r>
        <w:rPr>
          <w:rFonts w:hint="eastAsia" w:ascii="宋体" w:hAnsi="宋体" w:cs="宋体"/>
          <w:color w:val="auto"/>
          <w:sz w:val="24"/>
          <w:highlight w:val="none"/>
        </w:rPr>
        <w:t>投标报价应包括人工费、材料费（含辅材）、机械费、安装费、管理费、利润、各项措施费、规费、税金、技术指导费、风险费、报告审查费及其他（如施工安全防护措施费、垃圾清理费及现场取样恢复等一切费用）等完成本项目所需的全部费用。</w:t>
      </w:r>
    </w:p>
    <w:p w14:paraId="233B9806">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招标代理费为人民币3000元，投标人自行考虑该项费用及风险并将其综合包含在投标总价内，不得单列。</w:t>
      </w:r>
    </w:p>
    <w:p w14:paraId="4A54F8EC">
      <w:pPr>
        <w:keepNext w:val="0"/>
        <w:keepLines w:val="0"/>
        <w:pageBreakBefore w:val="0"/>
        <w:bidi w:val="0"/>
        <w:snapToGrid w:val="0"/>
        <w:spacing w:beforeAutospacing="0" w:afterAutospacing="0" w:line="440" w:lineRule="exact"/>
        <w:ind w:left="0" w:leftChars="0" w:right="0" w:rightChars="0" w:firstLine="470" w:firstLineChars="196"/>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、采购人设定投标最高限价为人民币</w:t>
      </w:r>
      <w:r>
        <w:rPr>
          <w:rFonts w:hint="eastAsia" w:ascii="宋体" w:hAnsi="宋体"/>
          <w:color w:val="auto"/>
          <w:sz w:val="24"/>
          <w:highlight w:val="none"/>
          <w:lang w:val="en-US" w:eastAsia="zh-CN"/>
        </w:rPr>
        <w:t>42</w:t>
      </w:r>
      <w:r>
        <w:rPr>
          <w:rFonts w:hint="eastAsia" w:ascii="宋体" w:hAnsi="宋体"/>
          <w:color w:val="auto"/>
          <w:sz w:val="24"/>
          <w:highlight w:val="none"/>
          <w:lang w:eastAsia="zh-CN"/>
        </w:rPr>
        <w:t>万元</w:t>
      </w:r>
      <w:r>
        <w:rPr>
          <w:rFonts w:hint="eastAsia" w:ascii="宋体" w:hAnsi="宋体"/>
          <w:color w:val="auto"/>
          <w:sz w:val="24"/>
          <w:highlight w:val="none"/>
        </w:rPr>
        <w:t>。投标人的投标报价超出采购人设定的投标最高限价的，采购人不予接受，其投标按否决投标处理。投标人的投标报价发生算术性修正时，修正后经投标人确认的投标报价超出采购人设定的招标控制价，其投标按否决投标处理。</w:t>
      </w:r>
    </w:p>
    <w:p w14:paraId="6859348A">
      <w:pPr>
        <w:keepNext w:val="0"/>
        <w:keepLines w:val="0"/>
        <w:pageBreakBefore w:val="0"/>
        <w:bidi w:val="0"/>
        <w:snapToGrid w:val="0"/>
        <w:spacing w:beforeAutospacing="0" w:afterAutospacing="0" w:line="440" w:lineRule="exact"/>
        <w:ind w:left="0" w:leftChars="0" w:right="0" w:rightChars="0" w:firstLine="470" w:firstLineChars="196"/>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、投标人应无条件地服从采购人的总体协调安排，按照采购人的指令做好各项的沟通、协调及配合等工作，为此发生的一切相关费用，含在投标报价中，采购人不另支付。</w:t>
      </w:r>
    </w:p>
    <w:p w14:paraId="5667F42A">
      <w:pPr>
        <w:keepNext w:val="0"/>
        <w:keepLines w:val="0"/>
        <w:pageBreakBefore w:val="0"/>
        <w:bidi w:val="0"/>
        <w:snapToGrid w:val="0"/>
        <w:spacing w:beforeAutospacing="0" w:afterAutospacing="0" w:line="440" w:lineRule="exact"/>
        <w:ind w:left="0" w:leftChars="0" w:right="0" w:rightChars="0" w:firstLine="470" w:firstLineChars="196"/>
        <w:rPr>
          <w:rFonts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rPr>
        <w:t>、一次报定的投标报价为中标价，同时，中标人的中标价在合同实施期间不因市场变化因素而变动。</w:t>
      </w:r>
    </w:p>
    <w:p w14:paraId="4238A5EF">
      <w:pPr>
        <w:keepNext w:val="0"/>
        <w:keepLines w:val="0"/>
        <w:pageBreakBefore w:val="0"/>
        <w:bidi w:val="0"/>
        <w:snapToGrid w:val="0"/>
        <w:spacing w:beforeAutospacing="0" w:afterAutospacing="0" w:line="440" w:lineRule="exact"/>
        <w:ind w:left="0" w:leftChars="0" w:right="0" w:rightChars="0" w:firstLine="470" w:firstLineChars="196"/>
        <w:rPr>
          <w:rFonts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14:paraId="3916FDAD">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九、投标费用</w:t>
      </w:r>
    </w:p>
    <w:p w14:paraId="576644BA">
      <w:pPr>
        <w:keepNext w:val="0"/>
        <w:keepLines w:val="0"/>
        <w:pageBreakBefore w:val="0"/>
        <w:bidi w:val="0"/>
        <w:snapToGrid w:val="0"/>
        <w:spacing w:beforeAutospacing="0" w:afterAutospacing="0" w:line="440" w:lineRule="exact"/>
        <w:ind w:left="0" w:leftChars="0" w:right="0" w:rightChars="0" w:firstLine="470" w:firstLineChars="196"/>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投标人应承担其编制投标文件以及递交投标文件等参与本</w:t>
      </w:r>
      <w:r>
        <w:rPr>
          <w:rFonts w:hint="eastAsia" w:ascii="宋体" w:hAnsi="宋体"/>
          <w:color w:val="auto"/>
          <w:sz w:val="24"/>
          <w:highlight w:val="none"/>
        </w:rPr>
        <w:t>项目</w:t>
      </w:r>
      <w:r>
        <w:rPr>
          <w:rFonts w:ascii="宋体" w:hAnsi="宋体"/>
          <w:color w:val="auto"/>
          <w:sz w:val="24"/>
          <w:highlight w:val="none"/>
        </w:rPr>
        <w:t>投标所涉及的一切费用。无论投标结果如何，采购人对上述费用不负任何责任。</w:t>
      </w:r>
    </w:p>
    <w:p w14:paraId="788A2937">
      <w:pPr>
        <w:keepNext w:val="0"/>
        <w:keepLines w:val="0"/>
        <w:pageBreakBefore w:val="0"/>
        <w:bidi w:val="0"/>
        <w:snapToGrid w:val="0"/>
        <w:spacing w:beforeAutospacing="0" w:afterAutospacing="0" w:line="440" w:lineRule="exact"/>
        <w:ind w:left="0" w:leftChars="0" w:right="0" w:rightChars="0" w:firstLine="470" w:firstLineChars="196"/>
        <w:rPr>
          <w:rFonts w:ascii="宋体" w:hAnsi="宋体"/>
          <w:color w:val="auto"/>
          <w:sz w:val="24"/>
          <w:highlight w:val="none"/>
        </w:rPr>
      </w:pPr>
      <w:r>
        <w:rPr>
          <w:rFonts w:hint="eastAsia" w:ascii="宋体" w:hAnsi="宋体"/>
          <w:color w:val="auto"/>
          <w:sz w:val="24"/>
          <w:highlight w:val="none"/>
        </w:rPr>
        <w:t>2、本项目中标人须支付代理服务费，代理服务费为3000元整，投标单位自行综合考虑并将该费用含在投标报价中，不得单列，由中标人在领取中标通知书前，向招标代理机构一次付清。</w:t>
      </w:r>
    </w:p>
    <w:p w14:paraId="5D01CA2C">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十、投标文件递交时间及地址</w:t>
      </w:r>
    </w:p>
    <w:p w14:paraId="7FB24FC3">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投标人必须在规定的时间将投标文件送达指定地点，采购人拒绝接收在截止时间后递交的投标文件。</w:t>
      </w:r>
    </w:p>
    <w:p w14:paraId="56AD0EA2">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hint="eastAsia" w:ascii="宋体" w:hAnsi="宋体"/>
          <w:b/>
          <w:color w:val="auto"/>
          <w:sz w:val="24"/>
          <w:highlight w:val="none"/>
        </w:rPr>
        <w:t>十一</w:t>
      </w:r>
      <w:r>
        <w:rPr>
          <w:rFonts w:ascii="宋体" w:hAnsi="宋体"/>
          <w:b/>
          <w:color w:val="auto"/>
          <w:sz w:val="24"/>
          <w:highlight w:val="none"/>
        </w:rPr>
        <w:t>、投标保证金</w:t>
      </w:r>
      <w:r>
        <w:rPr>
          <w:rFonts w:hint="eastAsia" w:ascii="宋体" w:hAnsi="宋体"/>
          <w:b/>
          <w:color w:val="auto"/>
          <w:sz w:val="24"/>
          <w:highlight w:val="none"/>
        </w:rPr>
        <w:t>：本项目不设投标保证金。</w:t>
      </w:r>
    </w:p>
    <w:p w14:paraId="536A6C74">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bCs/>
          <w:color w:val="auto"/>
          <w:sz w:val="24"/>
          <w:highlight w:val="none"/>
        </w:rPr>
      </w:pPr>
      <w:r>
        <w:rPr>
          <w:rFonts w:hint="eastAsia" w:ascii="宋体" w:hAnsi="宋体"/>
          <w:b/>
          <w:color w:val="auto"/>
          <w:sz w:val="24"/>
          <w:highlight w:val="none"/>
        </w:rPr>
        <w:t>十二</w:t>
      </w:r>
      <w:r>
        <w:rPr>
          <w:rFonts w:ascii="宋体" w:hAnsi="宋体"/>
          <w:b/>
          <w:color w:val="auto"/>
          <w:sz w:val="24"/>
          <w:highlight w:val="none"/>
        </w:rPr>
        <w:t>、履约保证金</w:t>
      </w:r>
      <w:r>
        <w:rPr>
          <w:rFonts w:hint="eastAsia" w:ascii="宋体" w:hAnsi="宋体"/>
          <w:b/>
          <w:color w:val="auto"/>
          <w:sz w:val="24"/>
          <w:highlight w:val="none"/>
        </w:rPr>
        <w:t>：本项目不设履约保证金。</w:t>
      </w:r>
    </w:p>
    <w:p w14:paraId="5BA8C92D">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十三、对采购人的纪律要求</w:t>
      </w:r>
    </w:p>
    <w:p w14:paraId="3BCFDE72">
      <w:pPr>
        <w:keepNext w:val="0"/>
        <w:keepLines w:val="0"/>
        <w:pageBreakBefore w:val="0"/>
        <w:bidi w:val="0"/>
        <w:snapToGrid w:val="0"/>
        <w:spacing w:beforeAutospacing="0" w:afterAutospacing="0" w:line="440" w:lineRule="exact"/>
        <w:ind w:left="0" w:leftChars="0" w:right="0" w:rightChars="0" w:firstLine="470" w:firstLineChars="196"/>
        <w:rPr>
          <w:rFonts w:ascii="宋体" w:hAnsi="宋体"/>
          <w:color w:val="auto"/>
          <w:sz w:val="24"/>
          <w:highlight w:val="none"/>
        </w:rPr>
      </w:pPr>
      <w:r>
        <w:rPr>
          <w:rFonts w:hint="eastAsia" w:ascii="宋体" w:hAnsi="宋体"/>
          <w:color w:val="auto"/>
          <w:sz w:val="24"/>
          <w:highlight w:val="none"/>
        </w:rPr>
        <w:t>采购人不得泄漏招标活动中应当保密的情况和资料，不得与投标人串通损害国家利益、社会公共利益或者他人合法权益。</w:t>
      </w:r>
    </w:p>
    <w:p w14:paraId="38CE1BB5">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十四、对投标人的纪律要求</w:t>
      </w:r>
    </w:p>
    <w:p w14:paraId="1BC48B3E">
      <w:pPr>
        <w:keepNext w:val="0"/>
        <w:keepLines w:val="0"/>
        <w:pageBreakBefore w:val="0"/>
        <w:bidi w:val="0"/>
        <w:snapToGrid w:val="0"/>
        <w:spacing w:beforeAutospacing="0" w:afterAutospacing="0" w:line="440" w:lineRule="exact"/>
        <w:ind w:left="0" w:leftChars="0" w:right="0" w:rightChars="0" w:firstLine="470" w:firstLineChars="196"/>
        <w:rPr>
          <w:rFonts w:ascii="宋体" w:hAnsi="宋体"/>
          <w:color w:val="auto"/>
          <w:sz w:val="24"/>
          <w:highlight w:val="none"/>
        </w:rPr>
      </w:pPr>
      <w:r>
        <w:rPr>
          <w:rFonts w:hint="eastAsia" w:ascii="宋体" w:hAnsi="宋体"/>
          <w:color w:val="auto"/>
          <w:sz w:val="24"/>
          <w:highlight w:val="none"/>
        </w:rPr>
        <w:t>投标人不得互相串通投标或者与采购人串通投标，不得向投标人或者评标委员会成员行贿谋取中选，不得以他人名义投标或者以其他方式弄虚作假骗取中标，投标人不得以任何方式干扰、影响评标工作。</w:t>
      </w:r>
    </w:p>
    <w:p w14:paraId="74DC5569">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十五、对评标委员会成员的纪律要求</w:t>
      </w:r>
    </w:p>
    <w:p w14:paraId="25F82357">
      <w:pPr>
        <w:keepNext w:val="0"/>
        <w:keepLines w:val="0"/>
        <w:pageBreakBefore w:val="0"/>
        <w:bidi w:val="0"/>
        <w:snapToGrid w:val="0"/>
        <w:spacing w:beforeAutospacing="0" w:afterAutospacing="0" w:line="440" w:lineRule="exact"/>
        <w:ind w:left="0" w:leftChars="0" w:right="0" w:rightChars="0" w:firstLine="470" w:firstLineChars="196"/>
        <w:rPr>
          <w:rFonts w:ascii="宋体" w:hAnsi="宋体"/>
          <w:color w:val="auto"/>
          <w:sz w:val="24"/>
          <w:highlight w:val="none"/>
        </w:rPr>
      </w:pPr>
      <w:r>
        <w:rPr>
          <w:rFonts w:hint="eastAsia" w:ascii="宋体" w:hAnsi="宋体"/>
          <w:color w:val="auto"/>
          <w:sz w:val="24"/>
          <w:highlight w:val="none"/>
        </w:rPr>
        <w:t>评标委员会成员不得收受他人的财务或者其他好处，不得向他人透露对投标文件的评标的情况。在评标活动中，评标委员会成员应当客观、公正地履行职责，遵守职业道德，不得擅离职守，影响评标程序正常进行，不得使用“评标办法”没有规定的评审因素和标准进行评标。</w:t>
      </w:r>
    </w:p>
    <w:p w14:paraId="0A682ED7">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十六、未尽事宜</w:t>
      </w:r>
    </w:p>
    <w:p w14:paraId="7B9BF439">
      <w:pPr>
        <w:keepNext w:val="0"/>
        <w:keepLines w:val="0"/>
        <w:pageBreakBefore w:val="0"/>
        <w:bidi w:val="0"/>
        <w:snapToGrid w:val="0"/>
        <w:spacing w:beforeAutospacing="0" w:afterAutospacing="0" w:line="440" w:lineRule="exact"/>
        <w:ind w:left="0" w:leftChars="0" w:right="0" w:rightChars="0" w:firstLine="470" w:firstLineChars="196"/>
        <w:rPr>
          <w:rFonts w:ascii="宋体" w:hAnsi="宋体"/>
          <w:color w:val="auto"/>
          <w:sz w:val="24"/>
          <w:highlight w:val="none"/>
        </w:rPr>
      </w:pPr>
      <w:r>
        <w:rPr>
          <w:rFonts w:ascii="宋体" w:hAnsi="宋体"/>
          <w:color w:val="auto"/>
          <w:sz w:val="24"/>
          <w:highlight w:val="none"/>
        </w:rPr>
        <w:t>按《中华人民共和国政府采购法》及其他有关的法律法规</w:t>
      </w:r>
      <w:r>
        <w:rPr>
          <w:rFonts w:hint="eastAsia" w:ascii="宋体" w:hAnsi="宋体"/>
          <w:color w:val="auto"/>
          <w:sz w:val="24"/>
          <w:highlight w:val="none"/>
        </w:rPr>
        <w:t>规范性文件</w:t>
      </w:r>
      <w:r>
        <w:rPr>
          <w:rFonts w:ascii="宋体" w:hAnsi="宋体"/>
          <w:color w:val="auto"/>
          <w:sz w:val="24"/>
          <w:highlight w:val="none"/>
        </w:rPr>
        <w:t>执行。</w:t>
      </w:r>
    </w:p>
    <w:p w14:paraId="4DEDBA56">
      <w:pPr>
        <w:pStyle w:val="63"/>
        <w:keepNext w:val="0"/>
        <w:keepLines w:val="0"/>
        <w:pageBreakBefore w:val="0"/>
        <w:bidi w:val="0"/>
        <w:spacing w:beforeAutospacing="0" w:after="0" w:afterLines="0" w:afterAutospacing="0" w:line="440" w:lineRule="exact"/>
        <w:ind w:left="0" w:leftChars="0" w:right="0" w:rightChars="0"/>
        <w:rPr>
          <w:rStyle w:val="124"/>
          <w:rFonts w:hint="default"/>
          <w:bCs w:val="0"/>
          <w:color w:val="auto"/>
          <w:sz w:val="28"/>
          <w:szCs w:val="28"/>
          <w:highlight w:val="none"/>
        </w:rPr>
      </w:pPr>
      <w:r>
        <w:rPr>
          <w:rStyle w:val="124"/>
          <w:rFonts w:hint="default"/>
          <w:color w:val="auto"/>
          <w:sz w:val="28"/>
          <w:szCs w:val="28"/>
          <w:highlight w:val="none"/>
        </w:rPr>
        <w:br w:type="page"/>
      </w:r>
      <w:r>
        <w:rPr>
          <w:rStyle w:val="124"/>
          <w:rFonts w:hint="default"/>
          <w:color w:val="auto"/>
          <w:sz w:val="28"/>
          <w:szCs w:val="28"/>
          <w:highlight w:val="none"/>
        </w:rPr>
        <w:t>第三章  项目需求</w:t>
      </w:r>
    </w:p>
    <w:p w14:paraId="4B6D93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由于</w:t>
      </w:r>
      <w:r>
        <w:rPr>
          <w:rFonts w:hint="eastAsia" w:ascii="宋体" w:hAnsi="宋体" w:cs="宋体"/>
          <w:color w:val="auto"/>
          <w:sz w:val="24"/>
          <w:szCs w:val="24"/>
          <w:highlight w:val="none"/>
          <w:lang w:eastAsia="zh-CN"/>
        </w:rPr>
        <w:t>南通</w:t>
      </w:r>
      <w:r>
        <w:rPr>
          <w:rFonts w:hint="eastAsia" w:ascii="宋体" w:hAnsi="宋体" w:cs="宋体"/>
          <w:color w:val="auto"/>
          <w:sz w:val="24"/>
          <w:szCs w:val="24"/>
          <w:highlight w:val="none"/>
          <w:lang w:val="en-US" w:eastAsia="zh-CN"/>
        </w:rPr>
        <w:t>老</w:t>
      </w:r>
      <w:r>
        <w:rPr>
          <w:rFonts w:hint="eastAsia" w:ascii="宋体" w:hAnsi="宋体" w:eastAsia="宋体" w:cs="宋体"/>
          <w:color w:val="auto"/>
          <w:sz w:val="24"/>
          <w:szCs w:val="24"/>
          <w:highlight w:val="none"/>
          <w:lang w:eastAsia="zh-CN"/>
        </w:rPr>
        <w:t>节制闸</w:t>
      </w:r>
      <w:r>
        <w:rPr>
          <w:rFonts w:hint="eastAsia" w:ascii="宋体" w:hAnsi="宋体" w:eastAsia="宋体" w:cs="宋体"/>
          <w:color w:val="auto"/>
          <w:sz w:val="24"/>
          <w:szCs w:val="24"/>
          <w:highlight w:val="none"/>
        </w:rPr>
        <w:t>现状</w:t>
      </w:r>
      <w:r>
        <w:rPr>
          <w:rFonts w:hint="eastAsia" w:ascii="宋体" w:hAnsi="宋体" w:eastAsia="宋体" w:cs="宋体"/>
          <w:color w:val="auto"/>
          <w:sz w:val="24"/>
          <w:szCs w:val="24"/>
          <w:highlight w:val="none"/>
          <w:lang w:eastAsia="zh-CN"/>
        </w:rPr>
        <w:t>桥梁两侧限高杆影响交通，</w:t>
      </w:r>
      <w:r>
        <w:rPr>
          <w:rFonts w:hint="eastAsia" w:ascii="宋体" w:hAnsi="宋体" w:eastAsia="宋体" w:cs="宋体"/>
          <w:color w:val="auto"/>
          <w:sz w:val="24"/>
          <w:szCs w:val="24"/>
          <w:highlight w:val="none"/>
        </w:rPr>
        <w:t>存在</w:t>
      </w:r>
      <w:r>
        <w:rPr>
          <w:rFonts w:hint="eastAsia" w:ascii="宋体" w:hAnsi="宋体" w:eastAsia="宋体" w:cs="宋体"/>
          <w:color w:val="auto"/>
          <w:sz w:val="24"/>
          <w:szCs w:val="24"/>
          <w:highlight w:val="none"/>
          <w:lang w:eastAsia="zh-CN"/>
        </w:rPr>
        <w:t>较大的</w:t>
      </w:r>
      <w:r>
        <w:rPr>
          <w:rFonts w:hint="eastAsia" w:ascii="宋体" w:hAnsi="宋体" w:eastAsia="宋体" w:cs="宋体"/>
          <w:color w:val="auto"/>
          <w:sz w:val="24"/>
          <w:szCs w:val="24"/>
          <w:highlight w:val="none"/>
        </w:rPr>
        <w:t>安全隐患，</w:t>
      </w:r>
      <w:r>
        <w:rPr>
          <w:rFonts w:hint="eastAsia" w:ascii="宋体" w:hAnsi="宋体" w:eastAsia="宋体" w:cs="宋体"/>
          <w:color w:val="auto"/>
          <w:sz w:val="24"/>
          <w:szCs w:val="24"/>
          <w:highlight w:val="none"/>
          <w:lang w:eastAsia="zh-CN"/>
        </w:rPr>
        <w:t>周边</w:t>
      </w:r>
      <w:r>
        <w:rPr>
          <w:rFonts w:hint="eastAsia" w:ascii="宋体" w:hAnsi="宋体" w:eastAsia="宋体" w:cs="宋体"/>
          <w:color w:val="auto"/>
          <w:sz w:val="24"/>
          <w:szCs w:val="24"/>
          <w:highlight w:val="none"/>
        </w:rPr>
        <w:t>市民迫切希望解除限制，恢复畅通。</w:t>
      </w:r>
      <w:r>
        <w:rPr>
          <w:rFonts w:hint="eastAsia" w:ascii="宋体" w:hAnsi="宋体" w:eastAsia="宋体" w:cs="宋体"/>
          <w:color w:val="auto"/>
          <w:sz w:val="24"/>
          <w:szCs w:val="24"/>
          <w:highlight w:val="none"/>
          <w:lang w:val="en-US" w:eastAsia="zh-CN"/>
        </w:rPr>
        <w:t>2025年11月，市政府</w:t>
      </w:r>
      <w:r>
        <w:rPr>
          <w:rFonts w:hint="eastAsia" w:ascii="宋体" w:hAnsi="宋体" w:cs="宋体"/>
          <w:color w:val="auto"/>
          <w:sz w:val="24"/>
          <w:szCs w:val="24"/>
          <w:highlight w:val="none"/>
          <w:lang w:val="en-US" w:eastAsia="zh-CN"/>
        </w:rPr>
        <w:t>有关会议</w:t>
      </w:r>
      <w:r>
        <w:rPr>
          <w:rFonts w:hint="eastAsia" w:ascii="宋体" w:hAnsi="宋体" w:eastAsia="宋体" w:cs="宋体"/>
          <w:color w:val="auto"/>
          <w:sz w:val="24"/>
          <w:szCs w:val="24"/>
          <w:highlight w:val="none"/>
          <w:lang w:val="en-US" w:eastAsia="zh-CN"/>
        </w:rPr>
        <w:t>明确：结合交通水运建设情况重新论证</w:t>
      </w:r>
      <w:r>
        <w:rPr>
          <w:rFonts w:hint="eastAsia" w:ascii="宋体" w:hAnsi="宋体" w:cs="宋体"/>
          <w:color w:val="auto"/>
          <w:sz w:val="24"/>
          <w:szCs w:val="24"/>
          <w:highlight w:val="none"/>
          <w:lang w:eastAsia="zh-CN"/>
        </w:rPr>
        <w:t>南通</w:t>
      </w:r>
      <w:r>
        <w:rPr>
          <w:rFonts w:hint="eastAsia" w:ascii="宋体" w:hAnsi="宋体" w:cs="宋体"/>
          <w:color w:val="auto"/>
          <w:sz w:val="24"/>
          <w:szCs w:val="24"/>
          <w:highlight w:val="none"/>
          <w:lang w:val="en-US" w:eastAsia="zh-CN"/>
        </w:rPr>
        <w:t>老</w:t>
      </w:r>
      <w:r>
        <w:rPr>
          <w:rFonts w:hint="eastAsia" w:ascii="宋体" w:hAnsi="宋体" w:eastAsia="宋体" w:cs="宋体"/>
          <w:color w:val="auto"/>
          <w:sz w:val="24"/>
          <w:szCs w:val="24"/>
          <w:highlight w:val="none"/>
          <w:lang w:eastAsia="zh-CN"/>
        </w:rPr>
        <w:t>节制闸</w:t>
      </w:r>
      <w:r>
        <w:rPr>
          <w:rFonts w:hint="eastAsia" w:ascii="宋体" w:hAnsi="宋体" w:eastAsia="宋体" w:cs="宋体"/>
          <w:color w:val="auto"/>
          <w:sz w:val="24"/>
          <w:szCs w:val="24"/>
          <w:highlight w:val="none"/>
          <w:lang w:val="en-US" w:eastAsia="zh-CN"/>
        </w:rPr>
        <w:t>桥梁建设方案，并加强现船闸桥与</w:t>
      </w:r>
      <w:r>
        <w:rPr>
          <w:rFonts w:hint="eastAsia" w:ascii="宋体" w:hAnsi="宋体" w:cs="宋体"/>
          <w:color w:val="auto"/>
          <w:sz w:val="24"/>
          <w:szCs w:val="24"/>
          <w:highlight w:val="none"/>
          <w:lang w:val="en-US" w:eastAsia="zh-CN"/>
        </w:rPr>
        <w:t>老</w:t>
      </w:r>
      <w:r>
        <w:rPr>
          <w:rFonts w:hint="eastAsia" w:ascii="宋体" w:hAnsi="宋体" w:eastAsia="宋体" w:cs="宋体"/>
          <w:color w:val="auto"/>
          <w:sz w:val="24"/>
          <w:szCs w:val="24"/>
          <w:highlight w:val="none"/>
          <w:lang w:val="en-US" w:eastAsia="zh-CN"/>
        </w:rPr>
        <w:t>节制闸桥安全管理。为认真落实市政府工作部署，保障</w:t>
      </w:r>
      <w:r>
        <w:rPr>
          <w:rFonts w:hint="eastAsia" w:ascii="宋体" w:hAnsi="宋体" w:cs="宋体"/>
          <w:color w:val="auto"/>
          <w:sz w:val="24"/>
          <w:szCs w:val="24"/>
          <w:highlight w:val="none"/>
          <w:lang w:val="en-US" w:eastAsia="zh-CN"/>
        </w:rPr>
        <w:t>老</w:t>
      </w:r>
      <w:r>
        <w:rPr>
          <w:rFonts w:hint="eastAsia" w:ascii="宋体" w:hAnsi="宋体" w:eastAsia="宋体" w:cs="宋体"/>
          <w:color w:val="auto"/>
          <w:sz w:val="24"/>
          <w:szCs w:val="24"/>
          <w:highlight w:val="none"/>
          <w:lang w:val="en-US" w:eastAsia="zh-CN"/>
        </w:rPr>
        <w:t>节制闸桥梁安全运行，</w:t>
      </w:r>
      <w:r>
        <w:rPr>
          <w:rFonts w:hint="eastAsia" w:ascii="宋体" w:hAnsi="宋体" w:cs="宋体"/>
          <w:color w:val="auto"/>
          <w:sz w:val="24"/>
          <w:szCs w:val="24"/>
          <w:highlight w:val="none"/>
          <w:lang w:val="en-US" w:eastAsia="zh-CN"/>
        </w:rPr>
        <w:t>现</w:t>
      </w:r>
      <w:r>
        <w:rPr>
          <w:rFonts w:hint="eastAsia" w:ascii="宋体" w:hAnsi="宋体" w:eastAsia="宋体" w:cs="宋体"/>
          <w:color w:val="auto"/>
          <w:sz w:val="24"/>
          <w:szCs w:val="24"/>
          <w:highlight w:val="none"/>
          <w:lang w:val="en-US" w:eastAsia="zh-CN"/>
        </w:rPr>
        <w:t>拟对南通</w:t>
      </w:r>
      <w:r>
        <w:rPr>
          <w:rFonts w:hint="eastAsia" w:ascii="宋体" w:hAnsi="宋体" w:cs="宋体"/>
          <w:color w:val="auto"/>
          <w:sz w:val="24"/>
          <w:szCs w:val="24"/>
          <w:highlight w:val="none"/>
          <w:lang w:val="en-US" w:eastAsia="zh-CN"/>
        </w:rPr>
        <w:t>老</w:t>
      </w:r>
      <w:r>
        <w:rPr>
          <w:rFonts w:hint="eastAsia" w:ascii="宋体" w:hAnsi="宋体" w:eastAsia="宋体" w:cs="宋体"/>
          <w:color w:val="auto"/>
          <w:sz w:val="24"/>
          <w:szCs w:val="24"/>
          <w:highlight w:val="none"/>
          <w:lang w:val="en-US" w:eastAsia="zh-CN"/>
        </w:rPr>
        <w:t>节制闸开展结构定期检测</w:t>
      </w:r>
      <w:r>
        <w:rPr>
          <w:rFonts w:hint="eastAsia" w:ascii="宋体" w:hAnsi="宋体" w:cs="宋体"/>
          <w:color w:val="auto"/>
          <w:sz w:val="24"/>
          <w:szCs w:val="24"/>
          <w:highlight w:val="none"/>
          <w:lang w:val="en-US" w:eastAsia="zh-CN"/>
        </w:rPr>
        <w:t>。</w:t>
      </w:r>
    </w:p>
    <w:p w14:paraId="4ADB45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一、项目缘由</w:t>
      </w:r>
    </w:p>
    <w:p w14:paraId="2C40B6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（1）根</w:t>
      </w:r>
      <w:r>
        <w:rPr>
          <w:rFonts w:hint="eastAsia" w:ascii="宋体" w:hAnsi="宋体" w:eastAsia="宋体" w:cs="宋体"/>
          <w:color w:val="auto"/>
          <w:sz w:val="24"/>
          <w:szCs w:val="24"/>
          <w:highlight w:val="none"/>
          <w:lang w:eastAsia="zh-CN"/>
        </w:rPr>
        <w:t>据</w:t>
      </w:r>
      <w:r>
        <w:rPr>
          <w:rFonts w:hint="eastAsia" w:ascii="宋体" w:hAnsi="宋体" w:eastAsia="宋体" w:cs="宋体"/>
          <w:color w:val="auto"/>
          <w:sz w:val="24"/>
          <w:szCs w:val="24"/>
          <w:highlight w:val="none"/>
        </w:rPr>
        <w:t>《水闸报废管理办法》第十一条规定，对于不具备完全拆除条件的水闸工程，水闸主管部门应组织安全评估，在确保河道行洪安全及结构安全的前提下，可合理保留残留结构并进行安全防护处理，以消除安全风险。</w:t>
      </w:r>
      <w:r>
        <w:rPr>
          <w:rFonts w:hint="eastAsia" w:ascii="宋体" w:hAnsi="宋体" w:cs="宋体"/>
          <w:color w:val="auto"/>
          <w:sz w:val="24"/>
          <w:szCs w:val="24"/>
          <w:highlight w:val="none"/>
          <w:lang w:val="en-US" w:eastAsia="zh-CN"/>
        </w:rPr>
        <w:t>南通老</w:t>
      </w:r>
      <w:r>
        <w:rPr>
          <w:rFonts w:hint="eastAsia" w:ascii="宋体" w:hAnsi="宋体" w:eastAsia="宋体" w:cs="宋体"/>
          <w:color w:val="auto"/>
          <w:sz w:val="24"/>
          <w:szCs w:val="24"/>
          <w:highlight w:val="none"/>
        </w:rPr>
        <w:t>节制闸运行已有六十多年，</w:t>
      </w:r>
      <w:r>
        <w:rPr>
          <w:rFonts w:hint="eastAsia" w:ascii="宋体" w:hAnsi="宋体" w:eastAsia="宋体" w:cs="宋体"/>
          <w:color w:val="auto"/>
          <w:sz w:val="24"/>
          <w:szCs w:val="24"/>
          <w:highlight w:val="none"/>
          <w:lang w:eastAsia="zh-CN"/>
        </w:rPr>
        <w:t>受</w:t>
      </w:r>
      <w:r>
        <w:rPr>
          <w:rFonts w:hint="eastAsia" w:ascii="宋体" w:hAnsi="宋体" w:eastAsia="宋体" w:cs="宋体"/>
          <w:color w:val="auto"/>
          <w:sz w:val="24"/>
          <w:szCs w:val="24"/>
          <w:highlight w:val="none"/>
        </w:rPr>
        <w:t>当时条件</w:t>
      </w:r>
      <w:r>
        <w:rPr>
          <w:rFonts w:hint="eastAsia" w:ascii="宋体" w:hAnsi="宋体" w:eastAsia="宋体" w:cs="宋体"/>
          <w:color w:val="auto"/>
          <w:sz w:val="24"/>
          <w:szCs w:val="24"/>
          <w:highlight w:val="none"/>
          <w:lang w:eastAsia="zh-CN"/>
        </w:rPr>
        <w:t>制约</w:t>
      </w:r>
      <w:r>
        <w:rPr>
          <w:rFonts w:hint="eastAsia" w:ascii="宋体" w:hAnsi="宋体" w:eastAsia="宋体" w:cs="宋体"/>
          <w:color w:val="auto"/>
          <w:sz w:val="24"/>
          <w:szCs w:val="24"/>
          <w:highlight w:val="none"/>
        </w:rPr>
        <w:t>，水闸基础所用砼标号低、钢筋用量少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此外，</w:t>
      </w:r>
      <w:r>
        <w:rPr>
          <w:rFonts w:hint="eastAsia" w:ascii="宋体" w:hAnsi="宋体" w:cs="宋体"/>
          <w:color w:val="auto"/>
          <w:sz w:val="24"/>
          <w:szCs w:val="24"/>
          <w:highlight w:val="none"/>
          <w:lang w:val="en-US" w:eastAsia="zh-CN"/>
        </w:rPr>
        <w:t>老</w:t>
      </w:r>
      <w:r>
        <w:rPr>
          <w:rFonts w:hint="eastAsia" w:ascii="宋体" w:hAnsi="宋体" w:eastAsia="宋体" w:cs="宋体"/>
          <w:color w:val="auto"/>
          <w:kern w:val="2"/>
          <w:sz w:val="24"/>
          <w:szCs w:val="24"/>
          <w:highlight w:val="none"/>
          <w:lang w:val="en-US" w:eastAsia="zh-CN" w:bidi="ar-SA"/>
        </w:rPr>
        <w:t>节制闸基础是底板式基础，主要是承受水压力和水流冲击，满足水闸的挡水、引排等功能；而</w:t>
      </w:r>
      <w:r>
        <w:rPr>
          <w:rFonts w:hint="eastAsia" w:ascii="宋体" w:hAnsi="宋体" w:eastAsia="宋体" w:cs="宋体"/>
          <w:color w:val="auto"/>
          <w:sz w:val="24"/>
          <w:szCs w:val="24"/>
          <w:highlight w:val="none"/>
          <w:lang w:val="en-US" w:eastAsia="zh-CN"/>
        </w:rPr>
        <w:t>交通桥桥梁需要承受车辆、行人等动态荷载。</w:t>
      </w:r>
      <w:r>
        <w:rPr>
          <w:rFonts w:hint="eastAsia" w:ascii="宋体" w:hAnsi="宋体" w:eastAsia="宋体" w:cs="宋体"/>
          <w:color w:val="auto"/>
          <w:sz w:val="24"/>
          <w:szCs w:val="24"/>
          <w:highlight w:val="none"/>
        </w:rPr>
        <w:t>因此，南通</w:t>
      </w:r>
      <w:r>
        <w:rPr>
          <w:rFonts w:hint="eastAsia" w:ascii="宋体" w:hAnsi="宋体" w:cs="宋体"/>
          <w:color w:val="auto"/>
          <w:sz w:val="24"/>
          <w:szCs w:val="24"/>
          <w:highlight w:val="none"/>
          <w:lang w:val="en-US" w:eastAsia="zh-CN"/>
        </w:rPr>
        <w:t>老</w:t>
      </w:r>
      <w:r>
        <w:rPr>
          <w:rFonts w:hint="eastAsia" w:ascii="宋体" w:hAnsi="宋体" w:eastAsia="宋体" w:cs="宋体"/>
          <w:color w:val="auto"/>
          <w:sz w:val="24"/>
          <w:szCs w:val="24"/>
          <w:highlight w:val="none"/>
        </w:rPr>
        <w:t>节制闸</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新的工况下结构是否安全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能否确保</w:t>
      </w:r>
      <w:r>
        <w:rPr>
          <w:rFonts w:hint="eastAsia" w:ascii="宋体" w:hAnsi="宋体" w:eastAsia="宋体" w:cs="宋体"/>
          <w:color w:val="auto"/>
          <w:sz w:val="24"/>
          <w:szCs w:val="24"/>
          <w:highlight w:val="none"/>
          <w:lang w:eastAsia="zh-CN"/>
        </w:rPr>
        <w:t>通行、</w:t>
      </w:r>
      <w:r>
        <w:rPr>
          <w:rFonts w:hint="eastAsia" w:ascii="宋体" w:hAnsi="宋体" w:eastAsia="宋体" w:cs="宋体"/>
          <w:color w:val="auto"/>
          <w:sz w:val="24"/>
          <w:szCs w:val="24"/>
          <w:highlight w:val="none"/>
        </w:rPr>
        <w:t>行洪安全，需要进行充分评估。</w:t>
      </w:r>
    </w:p>
    <w:p w14:paraId="2AE2BE3B">
      <w:pPr>
        <w:keepNext w:val="0"/>
        <w:keepLines w:val="0"/>
        <w:pageBreakBefore w:val="0"/>
        <w:widowControl/>
        <w:suppressLineNumbers w:val="0"/>
        <w:kinsoku/>
        <w:wordWrap/>
        <w:overflowPunct/>
        <w:topLinePunct w:val="0"/>
        <w:bidi w:val="0"/>
        <w:adjustRightInd/>
        <w:spacing w:line="440" w:lineRule="exact"/>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1999年</w:t>
      </w:r>
      <w:r>
        <w:rPr>
          <w:rFonts w:hint="eastAsia" w:ascii="宋体" w:hAnsi="宋体" w:cs="宋体"/>
          <w:color w:val="auto"/>
          <w:sz w:val="24"/>
          <w:szCs w:val="24"/>
          <w:highlight w:val="none"/>
          <w:lang w:val="en-US" w:eastAsia="zh-CN"/>
        </w:rPr>
        <w:t>南通老</w:t>
      </w:r>
      <w:r>
        <w:rPr>
          <w:rFonts w:hint="eastAsia" w:ascii="宋体" w:hAnsi="宋体" w:eastAsia="宋体" w:cs="宋体"/>
          <w:color w:val="auto"/>
          <w:sz w:val="24"/>
          <w:szCs w:val="24"/>
          <w:highlight w:val="none"/>
          <w:lang w:val="en-US" w:eastAsia="zh-CN"/>
        </w:rPr>
        <w:t>节制闸公路桥改造，设计荷载为汽-20、挂-100，按照规范，其限载上限为30t。</w:t>
      </w:r>
      <w:r>
        <w:rPr>
          <w:rFonts w:hint="eastAsia" w:ascii="宋体" w:hAnsi="宋体" w:eastAsia="宋体" w:cs="宋体"/>
          <w:color w:val="auto"/>
          <w:kern w:val="2"/>
          <w:sz w:val="24"/>
          <w:szCs w:val="24"/>
          <w:highlight w:val="none"/>
          <w:lang w:val="en-US" w:eastAsia="zh-CN" w:bidi="ar-SA"/>
        </w:rPr>
        <w:t>2015年，</w:t>
      </w:r>
      <w:r>
        <w:rPr>
          <w:rFonts w:hint="eastAsia" w:ascii="宋体" w:hAnsi="宋体" w:cs="宋体"/>
          <w:color w:val="auto"/>
          <w:kern w:val="2"/>
          <w:sz w:val="24"/>
          <w:szCs w:val="24"/>
          <w:highlight w:val="none"/>
          <w:lang w:val="en-US" w:eastAsia="zh-CN" w:bidi="ar-SA"/>
        </w:rPr>
        <w:t>老</w:t>
      </w:r>
      <w:r>
        <w:rPr>
          <w:rFonts w:hint="eastAsia" w:ascii="宋体" w:hAnsi="宋体" w:eastAsia="宋体" w:cs="宋体"/>
          <w:color w:val="auto"/>
          <w:kern w:val="2"/>
          <w:sz w:val="24"/>
          <w:szCs w:val="24"/>
          <w:highlight w:val="none"/>
          <w:lang w:val="en-US" w:eastAsia="zh-CN" w:bidi="ar-SA"/>
        </w:rPr>
        <w:t>节制闸安全评价结论为：按</w:t>
      </w:r>
      <w:r>
        <w:rPr>
          <w:rFonts w:hint="eastAsia" w:ascii="宋体" w:hAnsi="宋体" w:eastAsia="宋体" w:cs="宋体"/>
          <w:color w:val="auto"/>
          <w:sz w:val="24"/>
          <w:szCs w:val="24"/>
          <w:highlight w:val="none"/>
          <w:lang w:val="en-US" w:eastAsia="zh-CN"/>
        </w:rPr>
        <w:t>照城-B复核计算，闸底板配筋和公路桥盖梁不能满足现行工况需要。2020年，市政设施管理处委托专业机构对</w:t>
      </w:r>
      <w:r>
        <w:rPr>
          <w:rFonts w:hint="eastAsia" w:ascii="宋体" w:hAnsi="宋体" w:cs="宋体"/>
          <w:color w:val="auto"/>
          <w:sz w:val="24"/>
          <w:szCs w:val="24"/>
          <w:highlight w:val="none"/>
          <w:lang w:val="en-US" w:eastAsia="zh-CN"/>
        </w:rPr>
        <w:t>老</w:t>
      </w:r>
      <w:r>
        <w:rPr>
          <w:rFonts w:hint="eastAsia" w:ascii="宋体" w:hAnsi="宋体" w:eastAsia="宋体" w:cs="宋体"/>
          <w:color w:val="auto"/>
          <w:sz w:val="24"/>
          <w:szCs w:val="24"/>
          <w:highlight w:val="none"/>
          <w:lang w:val="en-US" w:eastAsia="zh-CN"/>
        </w:rPr>
        <w:t>节制闸桥、船闸桥进行结构定期检测，结论为：桥梁承载能力满足设计规范荷载等级“城市-B 级”（《城市桥梁设计荷载标准》（CJJ 77-98））要求，不满足现行规范荷载等级“城市-B 级”（《城市桥梁设计规范（CJJ 11- 2011）局部修订条文（2019）》）要求，建议在限载20t的基础上，后续适当增加本桥定期检测频率。</w:t>
      </w:r>
    </w:p>
    <w:p w14:paraId="27C81444">
      <w:pPr>
        <w:keepNext w:val="0"/>
        <w:keepLines w:val="0"/>
        <w:pageBreakBefore w:val="0"/>
        <w:widowControl/>
        <w:suppressLineNumbers w:val="0"/>
        <w:kinsoku/>
        <w:wordWrap/>
        <w:overflowPunct/>
        <w:topLinePunct w:val="0"/>
        <w:bidi w:val="0"/>
        <w:adjustRightInd/>
        <w:spacing w:line="440" w:lineRule="exact"/>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（3）根据</w:t>
      </w:r>
      <w:r>
        <w:rPr>
          <w:rFonts w:hint="eastAsia" w:ascii="宋体" w:hAnsi="宋体" w:eastAsia="宋体" w:cs="宋体"/>
          <w:color w:val="auto"/>
          <w:sz w:val="24"/>
          <w:szCs w:val="24"/>
          <w:highlight w:val="none"/>
          <w:lang w:eastAsia="zh-CN"/>
        </w:rPr>
        <w:t>《城市桥梁养护技术标准》（</w:t>
      </w: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J</w:t>
      </w:r>
      <w:r>
        <w:rPr>
          <w:rFonts w:hint="eastAsia" w:ascii="宋体" w:hAnsi="宋体" w:eastAsia="宋体" w:cs="宋体"/>
          <w:color w:val="auto"/>
          <w:sz w:val="24"/>
          <w:szCs w:val="24"/>
          <w:highlight w:val="none"/>
          <w:lang w:val="en-US" w:eastAsia="zh-CN"/>
        </w:rPr>
        <w:t>J99-2017</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南通老</w:t>
      </w:r>
      <w:r>
        <w:rPr>
          <w:rFonts w:hint="eastAsia" w:ascii="宋体" w:hAnsi="宋体" w:eastAsia="宋体" w:cs="宋体"/>
          <w:color w:val="auto"/>
          <w:sz w:val="24"/>
          <w:szCs w:val="24"/>
          <w:highlight w:val="none"/>
          <w:lang w:eastAsia="zh-CN"/>
        </w:rPr>
        <w:t>节制闸桥属城市主干路上的桥梁，养护等级为Ⅲ等，需每6年~10年一次的结构定期检测。目前市民要求取消限制通行，对桥梁承载能力提出了更高的要求，故需按照《城市桥梁养护技术标准》（</w:t>
      </w: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J</w:t>
      </w:r>
      <w:r>
        <w:rPr>
          <w:rFonts w:hint="eastAsia" w:ascii="宋体" w:hAnsi="宋体" w:eastAsia="宋体" w:cs="宋体"/>
          <w:color w:val="auto"/>
          <w:sz w:val="24"/>
          <w:szCs w:val="24"/>
          <w:highlight w:val="none"/>
          <w:lang w:val="en-US" w:eastAsia="zh-CN"/>
        </w:rPr>
        <w:t>J 99-2017</w:t>
      </w:r>
      <w:r>
        <w:rPr>
          <w:rFonts w:hint="eastAsia" w:ascii="宋体" w:hAnsi="宋体" w:eastAsia="宋体" w:cs="宋体"/>
          <w:color w:val="auto"/>
          <w:sz w:val="24"/>
          <w:szCs w:val="24"/>
          <w:highlight w:val="none"/>
          <w:lang w:eastAsia="zh-CN"/>
        </w:rPr>
        <w:t>）、《城市桥梁检测与评定技术规范》（CJJT/233</w:t>
      </w:r>
      <w:r>
        <w:rPr>
          <w:rFonts w:hint="eastAsia" w:ascii="宋体" w:hAnsi="宋体" w:eastAsia="宋体" w:cs="宋体"/>
          <w:color w:val="auto"/>
          <w:sz w:val="24"/>
          <w:szCs w:val="24"/>
          <w:highlight w:val="none"/>
          <w:lang w:val="en-US" w:eastAsia="zh-CN"/>
        </w:rPr>
        <w:t>-2015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检测桥梁材质状况与结构状况，并进行承载能力评定，进行承载能力极限状态验算。</w:t>
      </w:r>
    </w:p>
    <w:p w14:paraId="75082D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lang w:eastAsia="zh-CN"/>
        </w:rPr>
        <w:t>以上原因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迫切需要对</w:t>
      </w:r>
      <w:r>
        <w:rPr>
          <w:rFonts w:hint="eastAsia" w:ascii="宋体" w:hAnsi="宋体" w:cs="宋体"/>
          <w:color w:val="auto"/>
          <w:sz w:val="24"/>
          <w:szCs w:val="24"/>
          <w:highlight w:val="none"/>
          <w:lang w:val="en-US" w:eastAsia="zh-CN"/>
        </w:rPr>
        <w:t>南通老</w:t>
      </w:r>
      <w:r>
        <w:rPr>
          <w:rFonts w:hint="eastAsia" w:ascii="宋体" w:hAnsi="宋体" w:eastAsia="宋体" w:cs="宋体"/>
          <w:color w:val="auto"/>
          <w:sz w:val="24"/>
          <w:szCs w:val="24"/>
          <w:highlight w:val="none"/>
          <w:lang w:eastAsia="zh-CN"/>
        </w:rPr>
        <w:t>节制闸工程开展结构定期检测，</w:t>
      </w:r>
      <w:r>
        <w:rPr>
          <w:rFonts w:hint="eastAsia" w:ascii="宋体" w:hAnsi="宋体" w:eastAsia="宋体" w:cs="宋体"/>
          <w:color w:val="auto"/>
          <w:sz w:val="24"/>
          <w:szCs w:val="24"/>
          <w:highlight w:val="none"/>
          <w:lang w:val="en-US" w:eastAsia="zh-CN"/>
        </w:rPr>
        <w:t>查明桥梁病害或损伤的部位、性质、严重程度及发展趋势，分析现有病害对桥梁承载能力的影响，确定桥梁的功能状态和承载能力变化，</w:t>
      </w:r>
      <w:r>
        <w:rPr>
          <w:rFonts w:hint="eastAsia" w:ascii="宋体" w:hAnsi="宋体" w:eastAsia="宋体" w:cs="宋体"/>
          <w:color w:val="auto"/>
          <w:sz w:val="24"/>
          <w:szCs w:val="24"/>
          <w:highlight w:val="none"/>
          <w:lang w:eastAsia="zh-CN"/>
        </w:rPr>
        <w:t>为今后日常安全管理提供技术支撑与依据。</w:t>
      </w:r>
    </w:p>
    <w:p w14:paraId="2AFAC2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二、检测的主要内容</w:t>
      </w:r>
    </w:p>
    <w:p w14:paraId="3E6CB7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（一）外观检查</w:t>
      </w:r>
    </w:p>
    <w:p w14:paraId="220CA2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pacing w:val="-6"/>
          <w:kern w:val="2"/>
          <w:sz w:val="24"/>
          <w:szCs w:val="24"/>
          <w:highlight w:val="none"/>
          <w:lang w:val="en-US" w:eastAsia="zh-CN" w:bidi="ar-SA"/>
        </w:rPr>
        <w:t>目测</w:t>
      </w:r>
      <w:r>
        <w:rPr>
          <w:rFonts w:hint="eastAsia" w:ascii="宋体" w:hAnsi="宋体" w:eastAsia="宋体" w:cs="宋体"/>
          <w:color w:val="auto"/>
          <w:spacing w:val="-6"/>
          <w:sz w:val="24"/>
          <w:szCs w:val="24"/>
          <w:highlight w:val="none"/>
          <w:lang w:val="en-US" w:eastAsia="zh-CN"/>
        </w:rPr>
        <w:t>结合简易测量设备，主要检查</w:t>
      </w:r>
      <w:r>
        <w:rPr>
          <w:rFonts w:hint="eastAsia" w:ascii="宋体" w:hAnsi="宋体" w:cs="宋体"/>
          <w:color w:val="auto"/>
          <w:spacing w:val="-6"/>
          <w:sz w:val="24"/>
          <w:szCs w:val="24"/>
          <w:highlight w:val="none"/>
          <w:lang w:val="en-US" w:eastAsia="zh-CN"/>
        </w:rPr>
        <w:t>老节制闸交通桥</w:t>
      </w:r>
      <w:r>
        <w:rPr>
          <w:rFonts w:hint="eastAsia" w:ascii="宋体" w:hAnsi="宋体" w:eastAsia="宋体" w:cs="宋体"/>
          <w:color w:val="auto"/>
          <w:spacing w:val="-6"/>
          <w:sz w:val="24"/>
          <w:szCs w:val="24"/>
          <w:highlight w:val="none"/>
          <w:lang w:val="en-US" w:eastAsia="zh-CN"/>
        </w:rPr>
        <w:t>桥梁上部结构、下部结构以及桥面系和附属设施</w:t>
      </w:r>
      <w:r>
        <w:rPr>
          <w:rFonts w:hint="eastAsia" w:ascii="宋体" w:hAnsi="宋体" w:eastAsia="宋体" w:cs="宋体"/>
          <w:color w:val="auto"/>
          <w:spacing w:val="-6"/>
          <w:kern w:val="2"/>
          <w:sz w:val="24"/>
          <w:szCs w:val="24"/>
          <w:highlight w:val="none"/>
          <w:lang w:val="en-US" w:eastAsia="zh-CN" w:bidi="ar-SA"/>
        </w:rPr>
        <w:t>外观缺陷普查，</w:t>
      </w:r>
      <w:r>
        <w:rPr>
          <w:rFonts w:hint="eastAsia" w:ascii="宋体" w:hAnsi="宋体" w:eastAsia="宋体" w:cs="宋体"/>
          <w:color w:val="auto"/>
          <w:spacing w:val="-6"/>
          <w:sz w:val="24"/>
          <w:szCs w:val="24"/>
          <w:highlight w:val="none"/>
          <w:lang w:val="en-US" w:eastAsia="zh-CN"/>
        </w:rPr>
        <w:t xml:space="preserve">标注、记录缺陷； </w:t>
      </w:r>
    </w:p>
    <w:p w14:paraId="0B404F9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水闸水下结构完好情况摸探。范围为：老节制闸上游防冲槽~老节制闸下游连接段与通吕闸上游连接段的交界处，内容为：上下游护坦、消力池、翼墙、闸室等结构水下部分损坏、变形情况；各结构墙体伸缩缝、止水完好情况等。</w:t>
      </w:r>
    </w:p>
    <w:p w14:paraId="11C1A5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w:t>
      </w:r>
      <w:r>
        <w:rPr>
          <w:rFonts w:hint="eastAsia" w:ascii="宋体" w:hAnsi="宋体" w:cs="宋体"/>
          <w:color w:val="auto"/>
          <w:spacing w:val="-6"/>
          <w:sz w:val="24"/>
          <w:szCs w:val="24"/>
          <w:highlight w:val="none"/>
          <w:lang w:val="en-US" w:eastAsia="zh-CN"/>
        </w:rPr>
        <w:t>南通老节制闸交通桥</w:t>
      </w:r>
      <w:r>
        <w:rPr>
          <w:rFonts w:hint="eastAsia" w:ascii="宋体" w:hAnsi="宋体" w:eastAsia="宋体" w:cs="宋体"/>
          <w:b w:val="0"/>
          <w:bCs w:val="0"/>
          <w:color w:val="auto"/>
          <w:kern w:val="2"/>
          <w:sz w:val="24"/>
          <w:szCs w:val="24"/>
          <w:highlight w:val="none"/>
          <w:lang w:val="en-US" w:eastAsia="zh-CN" w:bidi="ar-SA"/>
        </w:rPr>
        <w:t>桥梁结构构件检测</w:t>
      </w:r>
    </w:p>
    <w:p w14:paraId="6D0281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（1）检测</w:t>
      </w:r>
      <w:r>
        <w:rPr>
          <w:rFonts w:hint="eastAsia" w:ascii="宋体" w:hAnsi="宋体" w:cs="宋体"/>
          <w:color w:val="auto"/>
          <w:spacing w:val="-6"/>
          <w:sz w:val="24"/>
          <w:szCs w:val="24"/>
          <w:highlight w:val="none"/>
          <w:lang w:val="en-US" w:eastAsia="zh-CN"/>
        </w:rPr>
        <w:t>老</w:t>
      </w:r>
      <w:r>
        <w:rPr>
          <w:rFonts w:hint="eastAsia" w:ascii="宋体" w:hAnsi="宋体" w:cs="宋体"/>
          <w:color w:val="auto"/>
          <w:kern w:val="2"/>
          <w:sz w:val="24"/>
          <w:szCs w:val="24"/>
          <w:highlight w:val="none"/>
          <w:lang w:val="en-US" w:eastAsia="zh-CN" w:bidi="ar-SA"/>
        </w:rPr>
        <w:t>节制闸</w:t>
      </w:r>
      <w:r>
        <w:rPr>
          <w:rFonts w:hint="eastAsia" w:ascii="宋体" w:hAnsi="宋体" w:eastAsia="宋体" w:cs="宋体"/>
          <w:color w:val="auto"/>
          <w:kern w:val="2"/>
          <w:sz w:val="24"/>
          <w:szCs w:val="24"/>
          <w:highlight w:val="none"/>
          <w:lang w:val="en-US" w:eastAsia="zh-CN" w:bidi="ar-SA"/>
        </w:rPr>
        <w:t>交通桥预制板、盖梁、墩柱、水闸闸墩、</w:t>
      </w:r>
      <w:r>
        <w:rPr>
          <w:rFonts w:hint="eastAsia" w:ascii="宋体" w:hAnsi="宋体" w:cs="宋体"/>
          <w:color w:val="auto"/>
          <w:kern w:val="2"/>
          <w:sz w:val="24"/>
          <w:szCs w:val="24"/>
          <w:highlight w:val="none"/>
          <w:lang w:val="en-US" w:eastAsia="zh-CN" w:bidi="ar-SA"/>
        </w:rPr>
        <w:t>排架</w:t>
      </w:r>
      <w:r>
        <w:rPr>
          <w:rFonts w:hint="eastAsia" w:ascii="宋体" w:hAnsi="宋体" w:eastAsia="宋体" w:cs="宋体"/>
          <w:color w:val="auto"/>
          <w:kern w:val="2"/>
          <w:sz w:val="24"/>
          <w:szCs w:val="24"/>
          <w:highlight w:val="none"/>
          <w:lang w:val="en-US" w:eastAsia="zh-CN" w:bidi="ar-SA"/>
        </w:rPr>
        <w:t>等混凝土构件的碳化深度、现有强度、保护层厚度、裂缝等(钻芯法、回弹法)；</w:t>
      </w:r>
    </w:p>
    <w:p w14:paraId="4C8A90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（2）桥面线形检测，用电子水准仪对桥面控制点的相对高程进行测量，观测整个桥面纵向线形变化情况。</w:t>
      </w:r>
    </w:p>
    <w:p w14:paraId="1D1A44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w:t>
      </w:r>
      <w:r>
        <w:rPr>
          <w:rFonts w:hint="eastAsia" w:ascii="宋体" w:hAnsi="宋体" w:cs="宋体"/>
          <w:color w:val="auto"/>
          <w:spacing w:val="-6"/>
          <w:sz w:val="24"/>
          <w:szCs w:val="24"/>
          <w:highlight w:val="none"/>
          <w:lang w:val="en-US" w:eastAsia="zh-CN"/>
        </w:rPr>
        <w:t>南通老节制闸交通桥</w:t>
      </w:r>
      <w:r>
        <w:rPr>
          <w:rFonts w:hint="eastAsia" w:ascii="宋体" w:hAnsi="宋体" w:eastAsia="宋体" w:cs="宋体"/>
          <w:b w:val="0"/>
          <w:bCs w:val="0"/>
          <w:color w:val="auto"/>
          <w:kern w:val="2"/>
          <w:sz w:val="24"/>
          <w:szCs w:val="24"/>
          <w:highlight w:val="none"/>
          <w:lang w:val="en-US" w:eastAsia="zh-CN" w:bidi="ar-SA"/>
        </w:rPr>
        <w:t>桥梁荷载试验</w:t>
      </w:r>
    </w:p>
    <w:p w14:paraId="52DE98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（1）静力荷载，鉴定结构承载能力；</w:t>
      </w:r>
    </w:p>
    <w:p w14:paraId="5F72C6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（2）动力荷载，测定结构力学性能参数和振动参数。</w:t>
      </w:r>
    </w:p>
    <w:p w14:paraId="67CE77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w:t>
      </w:r>
      <w:r>
        <w:rPr>
          <w:rFonts w:hint="eastAsia" w:ascii="宋体" w:hAnsi="宋体" w:cs="宋体"/>
          <w:color w:val="auto"/>
          <w:spacing w:val="-6"/>
          <w:sz w:val="24"/>
          <w:szCs w:val="24"/>
          <w:highlight w:val="none"/>
          <w:lang w:val="en-US" w:eastAsia="zh-CN"/>
        </w:rPr>
        <w:t>南通老节制闸</w:t>
      </w:r>
      <w:r>
        <w:rPr>
          <w:rFonts w:hint="eastAsia" w:ascii="宋体" w:hAnsi="宋体" w:eastAsia="宋体" w:cs="宋体"/>
          <w:b w:val="0"/>
          <w:bCs w:val="0"/>
          <w:color w:val="auto"/>
          <w:kern w:val="2"/>
          <w:sz w:val="24"/>
          <w:szCs w:val="24"/>
          <w:highlight w:val="none"/>
          <w:lang w:val="en-US" w:eastAsia="zh-CN" w:bidi="ar-SA"/>
        </w:rPr>
        <w:t>结构验算</w:t>
      </w:r>
    </w:p>
    <w:p w14:paraId="505286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水闸</w:t>
      </w:r>
      <w:r>
        <w:rPr>
          <w:rFonts w:hint="eastAsia" w:ascii="宋体" w:hAnsi="宋体" w:eastAsia="宋体" w:cs="宋体"/>
          <w:color w:val="auto"/>
          <w:sz w:val="24"/>
          <w:szCs w:val="24"/>
          <w:highlight w:val="none"/>
        </w:rPr>
        <w:t>工程结构进行全面计算复核</w:t>
      </w:r>
      <w:r>
        <w:rPr>
          <w:rFonts w:hint="eastAsia" w:ascii="宋体" w:hAnsi="宋体" w:eastAsia="宋体" w:cs="宋体"/>
          <w:color w:val="auto"/>
          <w:sz w:val="24"/>
          <w:szCs w:val="24"/>
          <w:highlight w:val="none"/>
          <w:lang w:eastAsia="zh-CN"/>
        </w:rPr>
        <w:t>：</w:t>
      </w:r>
    </w:p>
    <w:p w14:paraId="15FACA3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水闸稳定验算，过流能力验算；</w:t>
      </w:r>
    </w:p>
    <w:p w14:paraId="4FB04B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老节制闸交通桥</w:t>
      </w:r>
      <w:r>
        <w:rPr>
          <w:rFonts w:hint="eastAsia" w:ascii="宋体" w:hAnsi="宋体" w:eastAsia="宋体" w:cs="宋体"/>
          <w:color w:val="auto"/>
          <w:kern w:val="2"/>
          <w:sz w:val="24"/>
          <w:szCs w:val="24"/>
          <w:highlight w:val="none"/>
          <w:lang w:val="en-US" w:eastAsia="zh-CN" w:bidi="ar-SA"/>
        </w:rPr>
        <w:t>桥面板、盖梁、墩柱、底板等结构验算，包括承载力验算（原结构承载能力极限状态验算）、稳定性验算和刚度验算。</w:t>
      </w:r>
    </w:p>
    <w:p w14:paraId="7AC590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w:t>
      </w:r>
      <w:r>
        <w:rPr>
          <w:rFonts w:hint="eastAsia" w:ascii="宋体" w:hAnsi="宋体" w:cs="宋体"/>
          <w:b w:val="0"/>
          <w:bCs w:val="0"/>
          <w:color w:val="auto"/>
          <w:kern w:val="2"/>
          <w:sz w:val="24"/>
          <w:szCs w:val="24"/>
          <w:highlight w:val="none"/>
          <w:lang w:val="en-US" w:eastAsia="zh-CN" w:bidi="ar-SA"/>
        </w:rPr>
        <w:t>综合评估</w:t>
      </w:r>
    </w:p>
    <w:p w14:paraId="7208C6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依据《水闸安全评价导则》</w:t>
      </w:r>
      <w:r>
        <w:rPr>
          <w:rFonts w:hint="eastAsia" w:ascii="宋体" w:hAnsi="宋体" w:eastAsia="宋体" w:cs="宋体"/>
          <w:color w:val="auto"/>
          <w:sz w:val="24"/>
          <w:szCs w:val="24"/>
          <w:highlight w:val="none"/>
          <w:lang w:val="en-US" w:eastAsia="zh-CN"/>
        </w:rPr>
        <w:t>(SL 214-2015)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《城市桥梁检测与评定技术规范》（CJJT/233</w:t>
      </w:r>
      <w:r>
        <w:rPr>
          <w:rFonts w:hint="eastAsia" w:ascii="宋体" w:hAnsi="宋体" w:eastAsia="宋体" w:cs="宋体"/>
          <w:color w:val="auto"/>
          <w:sz w:val="24"/>
          <w:szCs w:val="24"/>
          <w:highlight w:val="none"/>
          <w:lang w:val="en-US" w:eastAsia="zh-CN"/>
        </w:rPr>
        <w:t>-2015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等规范和相关规定，</w:t>
      </w:r>
      <w:r>
        <w:rPr>
          <w:rFonts w:hint="eastAsia" w:ascii="宋体" w:hAnsi="宋体" w:eastAsia="宋体" w:cs="宋体"/>
          <w:color w:val="auto"/>
          <w:sz w:val="24"/>
          <w:szCs w:val="24"/>
          <w:highlight w:val="none"/>
          <w:lang w:eastAsia="zh-CN"/>
        </w:rPr>
        <w:t>通过外观检查、构件检测、荷载试验</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结构检算等</w:t>
      </w:r>
      <w:r>
        <w:rPr>
          <w:rFonts w:hint="eastAsia" w:ascii="宋体" w:hAnsi="宋体" w:cs="宋体"/>
          <w:color w:val="auto"/>
          <w:sz w:val="24"/>
          <w:szCs w:val="24"/>
          <w:highlight w:val="none"/>
          <w:lang w:eastAsia="zh-CN"/>
        </w:rPr>
        <w:t>综合评估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确定</w:t>
      </w:r>
      <w:r>
        <w:rPr>
          <w:rFonts w:hint="eastAsia" w:ascii="宋体" w:hAnsi="宋体" w:cs="宋体"/>
          <w:color w:val="auto"/>
          <w:sz w:val="24"/>
          <w:szCs w:val="24"/>
          <w:highlight w:val="none"/>
          <w:lang w:val="en-US" w:eastAsia="zh-CN"/>
        </w:rPr>
        <w:t>南通老</w:t>
      </w:r>
      <w:r>
        <w:rPr>
          <w:rFonts w:hint="eastAsia" w:ascii="宋体" w:hAnsi="宋体" w:eastAsia="宋体" w:cs="宋体"/>
          <w:color w:val="auto"/>
          <w:sz w:val="24"/>
          <w:szCs w:val="24"/>
          <w:highlight w:val="none"/>
        </w:rPr>
        <w:t>节制闸</w:t>
      </w:r>
      <w:r>
        <w:rPr>
          <w:rFonts w:hint="eastAsia" w:ascii="宋体" w:hAnsi="宋体" w:eastAsia="宋体" w:cs="宋体"/>
          <w:color w:val="auto"/>
          <w:sz w:val="24"/>
          <w:szCs w:val="24"/>
          <w:highlight w:val="none"/>
          <w:lang w:eastAsia="zh-CN"/>
        </w:rPr>
        <w:t>具有潜在退化可能或已处于退化状态的桥梁构件，提出相应的建议意见</w:t>
      </w:r>
      <w:r>
        <w:rPr>
          <w:rFonts w:hint="eastAsia" w:ascii="宋体" w:hAnsi="宋体" w:eastAsia="宋体" w:cs="宋体"/>
          <w:color w:val="auto"/>
          <w:sz w:val="24"/>
          <w:szCs w:val="24"/>
          <w:highlight w:val="none"/>
        </w:rPr>
        <w:t>。</w:t>
      </w:r>
    </w:p>
    <w:p w14:paraId="635D0A80">
      <w:pPr>
        <w:keepNext w:val="0"/>
        <w:keepLines w:val="0"/>
        <w:pageBreakBefore w:val="0"/>
        <w:widowControl w:val="0"/>
        <w:kinsoku/>
        <w:wordWrap/>
        <w:overflowPunct/>
        <w:topLinePunct w:val="0"/>
        <w:autoSpaceDE/>
        <w:autoSpaceDN/>
        <w:bidi w:val="0"/>
        <w:adjustRightInd/>
        <w:snapToGrid/>
        <w:spacing w:line="440" w:lineRule="exact"/>
        <w:ind w:left="0" w:leftChars="0" w:firstLineChars="200"/>
        <w:textAlignment w:val="auto"/>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lang w:val="en-US" w:eastAsia="zh-CN"/>
        </w:rPr>
        <w:t>检测清单</w:t>
      </w:r>
    </w:p>
    <w:p w14:paraId="5E694816">
      <w:pPr>
        <w:keepNext w:val="0"/>
        <w:keepLines w:val="0"/>
        <w:pageBreakBefore w:val="0"/>
        <w:widowControl w:val="0"/>
        <w:kinsoku/>
        <w:wordWrap/>
        <w:overflowPunct/>
        <w:topLinePunct w:val="0"/>
        <w:autoSpaceDE/>
        <w:autoSpaceDN/>
        <w:bidi w:val="0"/>
        <w:adjustRightInd/>
        <w:snapToGrid/>
        <w:spacing w:line="440" w:lineRule="exact"/>
        <w:ind w:left="0" w:leftChars="0" w:firstLineChars="200"/>
        <w:jc w:val="center"/>
        <w:textAlignment w:val="auto"/>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南通</w:t>
      </w:r>
      <w:r>
        <w:rPr>
          <w:rFonts w:hint="eastAsia" w:ascii="宋体" w:hAnsi="宋体" w:cs="宋体"/>
          <w:b/>
          <w:bCs/>
          <w:color w:val="auto"/>
          <w:sz w:val="24"/>
          <w:szCs w:val="24"/>
          <w:highlight w:val="none"/>
          <w:lang w:val="en-US" w:eastAsia="zh-CN"/>
        </w:rPr>
        <w:t>老</w:t>
      </w:r>
      <w:r>
        <w:rPr>
          <w:rFonts w:hint="eastAsia" w:ascii="宋体" w:hAnsi="宋体" w:eastAsia="宋体" w:cs="宋体"/>
          <w:b/>
          <w:bCs/>
          <w:color w:val="auto"/>
          <w:sz w:val="24"/>
          <w:szCs w:val="24"/>
          <w:highlight w:val="none"/>
        </w:rPr>
        <w:t>节制闸</w:t>
      </w:r>
      <w:r>
        <w:rPr>
          <w:rFonts w:hint="eastAsia" w:ascii="宋体" w:hAnsi="宋体" w:cs="宋体"/>
          <w:b/>
          <w:bCs/>
          <w:color w:val="auto"/>
          <w:sz w:val="24"/>
          <w:szCs w:val="24"/>
          <w:highlight w:val="none"/>
          <w:lang w:val="en-US" w:eastAsia="zh-CN"/>
        </w:rPr>
        <w:t>构件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荷载、结构验算清单</w:t>
      </w:r>
    </w:p>
    <w:tbl>
      <w:tblPr>
        <w:tblStyle w:val="65"/>
        <w:tblW w:w="5145" w:type="pct"/>
        <w:tblInd w:w="0" w:type="dxa"/>
        <w:tblLayout w:type="fixed"/>
        <w:tblCellMar>
          <w:top w:w="0" w:type="dxa"/>
          <w:left w:w="0" w:type="dxa"/>
          <w:bottom w:w="0" w:type="dxa"/>
          <w:right w:w="0" w:type="dxa"/>
        </w:tblCellMar>
      </w:tblPr>
      <w:tblGrid>
        <w:gridCol w:w="648"/>
        <w:gridCol w:w="706"/>
        <w:gridCol w:w="720"/>
        <w:gridCol w:w="3390"/>
        <w:gridCol w:w="877"/>
        <w:gridCol w:w="724"/>
        <w:gridCol w:w="2517"/>
      </w:tblGrid>
      <w:tr w14:paraId="5C4C8741">
        <w:tblPrEx>
          <w:tblCellMar>
            <w:top w:w="0" w:type="dxa"/>
            <w:left w:w="0" w:type="dxa"/>
            <w:bottom w:w="0" w:type="dxa"/>
            <w:right w:w="0" w:type="dxa"/>
          </w:tblCellMar>
        </w:tblPrEx>
        <w:trPr>
          <w:trHeight w:val="545" w:hRule="atLeast"/>
          <w:tblHeader/>
        </w:trPr>
        <w:tc>
          <w:tcPr>
            <w:tcW w:w="337" w:type="pct"/>
            <w:tcBorders>
              <w:top w:val="single" w:color="000000" w:sz="4" w:space="0"/>
              <w:left w:val="single" w:color="000000" w:sz="4" w:space="0"/>
              <w:bottom w:val="single" w:color="000000" w:sz="4" w:space="0"/>
              <w:right w:val="single" w:color="000000" w:sz="4" w:space="0"/>
            </w:tcBorders>
            <w:noWrap/>
            <w:vAlign w:val="center"/>
          </w:tcPr>
          <w:p w14:paraId="2775064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743" w:type="pct"/>
            <w:gridSpan w:val="2"/>
            <w:tcBorders>
              <w:top w:val="single" w:color="000000" w:sz="4" w:space="0"/>
              <w:left w:val="single" w:color="000000" w:sz="4" w:space="0"/>
              <w:bottom w:val="single" w:color="000000" w:sz="4" w:space="0"/>
              <w:right w:val="single" w:color="000000" w:sz="4" w:space="0"/>
            </w:tcBorders>
            <w:noWrap/>
            <w:vAlign w:val="center"/>
          </w:tcPr>
          <w:p w14:paraId="5D96F92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项目</w:t>
            </w:r>
          </w:p>
        </w:tc>
        <w:tc>
          <w:tcPr>
            <w:tcW w:w="1769" w:type="pct"/>
            <w:tcBorders>
              <w:top w:val="single" w:color="000000" w:sz="4" w:space="0"/>
              <w:left w:val="single" w:color="000000" w:sz="4" w:space="0"/>
              <w:bottom w:val="single" w:color="000000" w:sz="4" w:space="0"/>
              <w:right w:val="single" w:color="000000" w:sz="4" w:space="0"/>
            </w:tcBorders>
            <w:noWrap/>
            <w:vAlign w:val="center"/>
          </w:tcPr>
          <w:p w14:paraId="7D81060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工作内容</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47318B2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数量</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34C18F4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单位</w:t>
            </w: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10A3EED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264538E8">
        <w:tblPrEx>
          <w:tblCellMar>
            <w:top w:w="0" w:type="dxa"/>
            <w:left w:w="0" w:type="dxa"/>
            <w:bottom w:w="0" w:type="dxa"/>
            <w:right w:w="0" w:type="dxa"/>
          </w:tblCellMar>
        </w:tblPrEx>
        <w:trPr>
          <w:trHeight w:val="656" w:hRule="atLeast"/>
        </w:trPr>
        <w:tc>
          <w:tcPr>
            <w:tcW w:w="337" w:type="pct"/>
            <w:vMerge w:val="restart"/>
            <w:tcBorders>
              <w:top w:val="single" w:color="000000" w:sz="4" w:space="0"/>
              <w:left w:val="single" w:color="000000" w:sz="4" w:space="0"/>
              <w:right w:val="single" w:color="000000" w:sz="4" w:space="0"/>
            </w:tcBorders>
            <w:noWrap/>
            <w:vAlign w:val="center"/>
          </w:tcPr>
          <w:p w14:paraId="399066A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eastAsia="zh-CN" w:bidi="ar"/>
              </w:rPr>
              <w:t>一</w:t>
            </w:r>
          </w:p>
        </w:tc>
        <w:tc>
          <w:tcPr>
            <w:tcW w:w="368" w:type="pct"/>
            <w:vMerge w:val="restart"/>
            <w:tcBorders>
              <w:top w:val="single" w:color="000000" w:sz="4" w:space="0"/>
              <w:left w:val="single" w:color="000000" w:sz="4" w:space="0"/>
              <w:right w:val="single" w:color="auto" w:sz="4" w:space="0"/>
            </w:tcBorders>
            <w:noWrap/>
            <w:vAlign w:val="center"/>
          </w:tcPr>
          <w:p w14:paraId="7A4A27E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eastAsia="zh-CN" w:bidi="ar"/>
              </w:rPr>
              <w:t>外观</w:t>
            </w:r>
            <w:r>
              <w:rPr>
                <w:rFonts w:hint="eastAsia" w:ascii="宋体" w:hAnsi="宋体" w:cs="宋体"/>
                <w:b/>
                <w:bCs/>
                <w:color w:val="auto"/>
                <w:kern w:val="0"/>
                <w:sz w:val="24"/>
                <w:szCs w:val="24"/>
                <w:highlight w:val="none"/>
                <w:lang w:val="en-US" w:eastAsia="zh-CN" w:bidi="ar"/>
              </w:rPr>
              <w:t>检查</w:t>
            </w:r>
          </w:p>
        </w:tc>
        <w:tc>
          <w:tcPr>
            <w:tcW w:w="375" w:type="pct"/>
            <w:tcBorders>
              <w:top w:val="single" w:color="000000" w:sz="4" w:space="0"/>
              <w:left w:val="single" w:color="auto" w:sz="4" w:space="0"/>
              <w:bottom w:val="single" w:color="auto" w:sz="4" w:space="0"/>
              <w:right w:val="single" w:color="000000" w:sz="4" w:space="0"/>
            </w:tcBorders>
            <w:noWrap/>
            <w:vAlign w:val="center"/>
          </w:tcPr>
          <w:p w14:paraId="23BE955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1769" w:type="pct"/>
            <w:tcBorders>
              <w:top w:val="single" w:color="000000" w:sz="4" w:space="0"/>
              <w:left w:val="single" w:color="000000" w:sz="4" w:space="0"/>
              <w:bottom w:val="single" w:color="000000" w:sz="4" w:space="0"/>
              <w:right w:val="single" w:color="000000" w:sz="4" w:space="0"/>
            </w:tcBorders>
            <w:noWrap/>
            <w:vAlign w:val="center"/>
          </w:tcPr>
          <w:p w14:paraId="0C27476C">
            <w:pPr>
              <w:keepNext w:val="0"/>
              <w:keepLines w:val="0"/>
              <w:pageBreakBefore w:val="0"/>
              <w:widowControl/>
              <w:kinsoku/>
              <w:wordWrap/>
              <w:overflowPunct/>
              <w:topLinePunct w:val="0"/>
              <w:autoSpaceDE/>
              <w:autoSpaceDN/>
              <w:bidi w:val="0"/>
              <w:adjustRightInd/>
              <w:snapToGrid/>
              <w:spacing w:line="440" w:lineRule="exact"/>
              <w:ind w:left="0" w:leftChars="0"/>
              <w:jc w:val="left"/>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eastAsia="zh-CN" w:bidi="ar"/>
              </w:rPr>
              <w:t>水闸</w:t>
            </w:r>
            <w:r>
              <w:rPr>
                <w:rFonts w:hint="eastAsia" w:ascii="宋体" w:hAnsi="宋体" w:eastAsia="宋体" w:cs="宋体"/>
                <w:color w:val="auto"/>
                <w:kern w:val="0"/>
                <w:sz w:val="24"/>
                <w:szCs w:val="24"/>
                <w:highlight w:val="none"/>
                <w:lang w:bidi="ar"/>
              </w:rPr>
              <w:t>工程主体结构（水上部分）外观缺陷普查，包括砌石岸墙、砌石护坡、闸墩、桥墩、盖梁、预制梁板、支座、桥面系（桥面铺装、伸缩缝、栏杆、排水系统）及附属设施等</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E568D4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7E17ECA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项</w:t>
            </w: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6F7D36C1">
            <w:pPr>
              <w:keepNext w:val="0"/>
              <w:keepLines w:val="0"/>
              <w:pageBreakBefore w:val="0"/>
              <w:widowControl/>
              <w:kinsoku/>
              <w:wordWrap/>
              <w:overflowPunct/>
              <w:topLinePunct w:val="0"/>
              <w:autoSpaceDE/>
              <w:autoSpaceDN/>
              <w:bidi w:val="0"/>
              <w:adjustRightInd/>
              <w:snapToGrid/>
              <w:spacing w:line="440" w:lineRule="exact"/>
              <w:ind w:left="0" w:leftChars="0"/>
              <w:rPr>
                <w:rFonts w:hint="eastAsia" w:ascii="宋体" w:hAnsi="宋体" w:eastAsia="宋体" w:cs="宋体"/>
                <w:b/>
                <w:bCs/>
                <w:color w:val="auto"/>
                <w:kern w:val="0"/>
                <w:sz w:val="24"/>
                <w:szCs w:val="24"/>
                <w:highlight w:val="none"/>
                <w:lang w:bidi="ar"/>
              </w:rPr>
            </w:pPr>
          </w:p>
        </w:tc>
      </w:tr>
      <w:tr w14:paraId="00E9D117">
        <w:tblPrEx>
          <w:tblCellMar>
            <w:top w:w="0" w:type="dxa"/>
            <w:left w:w="0" w:type="dxa"/>
            <w:bottom w:w="0" w:type="dxa"/>
            <w:right w:w="0" w:type="dxa"/>
          </w:tblCellMar>
        </w:tblPrEx>
        <w:trPr>
          <w:trHeight w:val="454" w:hRule="atLeast"/>
        </w:trPr>
        <w:tc>
          <w:tcPr>
            <w:tcW w:w="337" w:type="pct"/>
            <w:vMerge w:val="continue"/>
            <w:tcBorders>
              <w:left w:val="single" w:color="000000" w:sz="4" w:space="0"/>
              <w:bottom w:val="single" w:color="000000" w:sz="4" w:space="0"/>
              <w:right w:val="single" w:color="000000" w:sz="4" w:space="0"/>
            </w:tcBorders>
            <w:noWrap/>
            <w:vAlign w:val="center"/>
          </w:tcPr>
          <w:p w14:paraId="79CAEF0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eastAsia="zh-CN" w:bidi="ar"/>
              </w:rPr>
            </w:pPr>
          </w:p>
        </w:tc>
        <w:tc>
          <w:tcPr>
            <w:tcW w:w="368" w:type="pct"/>
            <w:vMerge w:val="continue"/>
            <w:tcBorders>
              <w:left w:val="single" w:color="000000" w:sz="4" w:space="0"/>
              <w:bottom w:val="single" w:color="000000" w:sz="4" w:space="0"/>
              <w:right w:val="single" w:color="auto" w:sz="4" w:space="0"/>
            </w:tcBorders>
            <w:noWrap/>
            <w:vAlign w:val="center"/>
          </w:tcPr>
          <w:p w14:paraId="6E13CFE7">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p>
        </w:tc>
        <w:tc>
          <w:tcPr>
            <w:tcW w:w="375" w:type="pct"/>
            <w:tcBorders>
              <w:top w:val="single" w:color="auto" w:sz="4" w:space="0"/>
              <w:left w:val="single" w:color="auto" w:sz="4" w:space="0"/>
              <w:bottom w:val="single" w:color="000000" w:sz="4" w:space="0"/>
              <w:right w:val="single" w:color="000000" w:sz="4" w:space="0"/>
            </w:tcBorders>
            <w:noWrap/>
            <w:vAlign w:val="center"/>
          </w:tcPr>
          <w:p w14:paraId="4AB8DB7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w:t>
            </w:r>
          </w:p>
        </w:tc>
        <w:tc>
          <w:tcPr>
            <w:tcW w:w="1769" w:type="pct"/>
            <w:tcBorders>
              <w:top w:val="single" w:color="000000" w:sz="4" w:space="0"/>
              <w:left w:val="single" w:color="000000" w:sz="4" w:space="0"/>
              <w:bottom w:val="single" w:color="000000" w:sz="4" w:space="0"/>
              <w:right w:val="single" w:color="000000" w:sz="4" w:space="0"/>
            </w:tcBorders>
            <w:noWrap/>
            <w:vAlign w:val="center"/>
          </w:tcPr>
          <w:p w14:paraId="5D4C4CF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水下摸探</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866BDE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23</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4974437F">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孔</w:t>
            </w:r>
          </w:p>
        </w:tc>
        <w:tc>
          <w:tcPr>
            <w:tcW w:w="1313" w:type="pct"/>
            <w:tcBorders>
              <w:top w:val="single" w:color="000000" w:sz="4" w:space="0"/>
              <w:left w:val="single" w:color="000000" w:sz="4" w:space="0"/>
              <w:bottom w:val="single" w:color="auto" w:sz="4" w:space="0"/>
              <w:right w:val="single" w:color="000000" w:sz="4" w:space="0"/>
            </w:tcBorders>
            <w:noWrap/>
            <w:vAlign w:val="center"/>
          </w:tcPr>
          <w:p w14:paraId="37DD3B6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2"/>
                <w:sz w:val="24"/>
                <w:szCs w:val="24"/>
                <w:highlight w:val="none"/>
                <w:lang w:val="en-US" w:eastAsia="zh-CN" w:bidi="ar-SA"/>
              </w:rPr>
              <w:t>范围为：老节制闸上游防冲槽~老节制闸下游连接段与通吕闸上游连接段的交界处，内容为：上下游护坦、消力池、翼墙、闸室等结构水下部分损坏、变形情况；各结构墙体伸缩缝、止水完好情况等。</w:t>
            </w:r>
          </w:p>
        </w:tc>
      </w:tr>
      <w:tr w14:paraId="24901AEE">
        <w:tblPrEx>
          <w:tblCellMar>
            <w:top w:w="0" w:type="dxa"/>
            <w:left w:w="0" w:type="dxa"/>
            <w:bottom w:w="0" w:type="dxa"/>
            <w:right w:w="0" w:type="dxa"/>
          </w:tblCellMar>
        </w:tblPrEx>
        <w:trPr>
          <w:trHeight w:val="454" w:hRule="atLeast"/>
        </w:trPr>
        <w:tc>
          <w:tcPr>
            <w:tcW w:w="337" w:type="pct"/>
            <w:vMerge w:val="restart"/>
            <w:tcBorders>
              <w:top w:val="single" w:color="000000" w:sz="4" w:space="0"/>
              <w:left w:val="single" w:color="000000" w:sz="4" w:space="0"/>
              <w:right w:val="single" w:color="000000" w:sz="4" w:space="0"/>
            </w:tcBorders>
            <w:noWrap/>
            <w:vAlign w:val="center"/>
          </w:tcPr>
          <w:p w14:paraId="3F78C75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w:t>
            </w:r>
          </w:p>
        </w:tc>
        <w:tc>
          <w:tcPr>
            <w:tcW w:w="368" w:type="pct"/>
            <w:vMerge w:val="restart"/>
            <w:tcBorders>
              <w:top w:val="single" w:color="000000" w:sz="4" w:space="0"/>
              <w:left w:val="single" w:color="000000" w:sz="4" w:space="0"/>
              <w:right w:val="single" w:color="000000" w:sz="4" w:space="0"/>
            </w:tcBorders>
            <w:noWrap/>
            <w:vAlign w:val="center"/>
          </w:tcPr>
          <w:p w14:paraId="48A3C61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eastAsia="zh-CN" w:bidi="ar"/>
              </w:rPr>
              <w:t>构件检测</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71B7C3C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769" w:type="pct"/>
            <w:tcBorders>
              <w:top w:val="single" w:color="000000" w:sz="4" w:space="0"/>
              <w:left w:val="single" w:color="000000" w:sz="4" w:space="0"/>
              <w:bottom w:val="single" w:color="000000" w:sz="4" w:space="0"/>
              <w:right w:val="single" w:color="000000" w:sz="4" w:space="0"/>
            </w:tcBorders>
            <w:vAlign w:val="center"/>
          </w:tcPr>
          <w:p w14:paraId="021EDE2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钻芯法检测砼强度</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C550C3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auto" w:sz="4" w:space="0"/>
            </w:tcBorders>
            <w:noWrap/>
            <w:vAlign w:val="center"/>
          </w:tcPr>
          <w:p w14:paraId="6DA104D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项</w:t>
            </w:r>
          </w:p>
        </w:tc>
        <w:tc>
          <w:tcPr>
            <w:tcW w:w="2456" w:type="dxa"/>
            <w:tcBorders>
              <w:top w:val="single" w:color="auto" w:sz="4" w:space="0"/>
              <w:left w:val="single" w:color="auto" w:sz="4" w:space="0"/>
              <w:bottom w:val="single" w:color="auto" w:sz="4" w:space="0"/>
              <w:right w:val="single" w:color="auto" w:sz="4" w:space="0"/>
            </w:tcBorders>
            <w:noWrap/>
            <w:vAlign w:val="center"/>
          </w:tcPr>
          <w:p w14:paraId="0348FAE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5孔。其中：梁板强度采用回弹法（或超声回弹法）；桥柱、闸墩和排架采用钻芯法检测。</w:t>
            </w:r>
          </w:p>
        </w:tc>
      </w:tr>
      <w:tr w14:paraId="6187B68B">
        <w:tblPrEx>
          <w:tblCellMar>
            <w:top w:w="0" w:type="dxa"/>
            <w:left w:w="0" w:type="dxa"/>
            <w:bottom w:w="0" w:type="dxa"/>
            <w:right w:w="0" w:type="dxa"/>
          </w:tblCellMar>
        </w:tblPrEx>
        <w:trPr>
          <w:trHeight w:val="454" w:hRule="atLeast"/>
        </w:trPr>
        <w:tc>
          <w:tcPr>
            <w:tcW w:w="337" w:type="pct"/>
            <w:vMerge w:val="continue"/>
            <w:tcBorders>
              <w:left w:val="single" w:color="000000" w:sz="4" w:space="0"/>
              <w:right w:val="single" w:color="000000" w:sz="4" w:space="0"/>
            </w:tcBorders>
            <w:noWrap/>
            <w:vAlign w:val="center"/>
          </w:tcPr>
          <w:p w14:paraId="1FEDA7B9">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68" w:type="pct"/>
            <w:vMerge w:val="continue"/>
            <w:tcBorders>
              <w:left w:val="single" w:color="000000" w:sz="4" w:space="0"/>
              <w:right w:val="single" w:color="000000" w:sz="4" w:space="0"/>
            </w:tcBorders>
            <w:noWrap/>
            <w:vAlign w:val="center"/>
          </w:tcPr>
          <w:p w14:paraId="5C1A8FE4">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0E8E5A1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769" w:type="pct"/>
            <w:tcBorders>
              <w:top w:val="single" w:color="000000" w:sz="4" w:space="0"/>
              <w:left w:val="single" w:color="000000" w:sz="4" w:space="0"/>
              <w:bottom w:val="single" w:color="000000" w:sz="4" w:space="0"/>
              <w:right w:val="single" w:color="000000" w:sz="4" w:space="0"/>
            </w:tcBorders>
            <w:vAlign w:val="center"/>
          </w:tcPr>
          <w:p w14:paraId="33DDB95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回弹法（超声回弹法）</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B51347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auto" w:sz="4" w:space="0"/>
            </w:tcBorders>
            <w:noWrap/>
            <w:vAlign w:val="center"/>
          </w:tcPr>
          <w:p w14:paraId="7FDA961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项</w:t>
            </w:r>
          </w:p>
        </w:tc>
        <w:tc>
          <w:tcPr>
            <w:tcW w:w="2456" w:type="dxa"/>
            <w:tcBorders>
              <w:top w:val="single" w:color="auto" w:sz="4" w:space="0"/>
              <w:left w:val="single" w:color="auto" w:sz="4" w:space="0"/>
              <w:bottom w:val="single" w:color="auto" w:sz="4" w:space="0"/>
              <w:right w:val="single" w:color="auto" w:sz="4" w:space="0"/>
            </w:tcBorders>
            <w:noWrap/>
            <w:vAlign w:val="center"/>
          </w:tcPr>
          <w:p w14:paraId="65FD573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w:t>
            </w:r>
          </w:p>
        </w:tc>
      </w:tr>
      <w:tr w14:paraId="178E39AC">
        <w:tblPrEx>
          <w:tblCellMar>
            <w:top w:w="0" w:type="dxa"/>
            <w:left w:w="0" w:type="dxa"/>
            <w:bottom w:w="0" w:type="dxa"/>
            <w:right w:w="0" w:type="dxa"/>
          </w:tblCellMar>
        </w:tblPrEx>
        <w:trPr>
          <w:trHeight w:val="454" w:hRule="atLeast"/>
        </w:trPr>
        <w:tc>
          <w:tcPr>
            <w:tcW w:w="337" w:type="pct"/>
            <w:vMerge w:val="continue"/>
            <w:tcBorders>
              <w:left w:val="single" w:color="000000" w:sz="4" w:space="0"/>
              <w:right w:val="single" w:color="000000" w:sz="4" w:space="0"/>
            </w:tcBorders>
            <w:noWrap/>
            <w:vAlign w:val="center"/>
          </w:tcPr>
          <w:p w14:paraId="6B3035ED">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lang w:eastAsia="zh-CN"/>
              </w:rPr>
            </w:pPr>
          </w:p>
        </w:tc>
        <w:tc>
          <w:tcPr>
            <w:tcW w:w="368" w:type="pct"/>
            <w:vMerge w:val="continue"/>
            <w:tcBorders>
              <w:left w:val="single" w:color="000000" w:sz="4" w:space="0"/>
              <w:right w:val="single" w:color="000000" w:sz="4" w:space="0"/>
            </w:tcBorders>
            <w:noWrap/>
            <w:vAlign w:val="center"/>
          </w:tcPr>
          <w:p w14:paraId="7F4EF05F">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2E8038B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1769" w:type="pct"/>
            <w:tcBorders>
              <w:top w:val="single" w:color="000000" w:sz="4" w:space="0"/>
              <w:left w:val="single" w:color="000000" w:sz="4" w:space="0"/>
              <w:bottom w:val="single" w:color="000000" w:sz="4" w:space="0"/>
              <w:right w:val="single" w:color="000000" w:sz="4" w:space="0"/>
            </w:tcBorders>
            <w:noWrap/>
            <w:vAlign w:val="center"/>
          </w:tcPr>
          <w:p w14:paraId="3C62429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砼外观及碳化深度检测</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EBA2EA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auto" w:sz="4" w:space="0"/>
            </w:tcBorders>
            <w:noWrap/>
            <w:vAlign w:val="center"/>
          </w:tcPr>
          <w:p w14:paraId="56C131E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项</w:t>
            </w:r>
          </w:p>
        </w:tc>
        <w:tc>
          <w:tcPr>
            <w:tcW w:w="2456" w:type="dxa"/>
            <w:tcBorders>
              <w:top w:val="single" w:color="auto" w:sz="4" w:space="0"/>
              <w:left w:val="single" w:color="auto" w:sz="4" w:space="0"/>
              <w:bottom w:val="single" w:color="auto" w:sz="4" w:space="0"/>
              <w:right w:val="single" w:color="auto" w:sz="4" w:space="0"/>
            </w:tcBorders>
            <w:noWrap/>
            <w:vAlign w:val="center"/>
          </w:tcPr>
          <w:p w14:paraId="34EBA34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w:t>
            </w:r>
          </w:p>
        </w:tc>
      </w:tr>
      <w:tr w14:paraId="0582E7CB">
        <w:tblPrEx>
          <w:tblCellMar>
            <w:top w:w="0" w:type="dxa"/>
            <w:left w:w="0" w:type="dxa"/>
            <w:bottom w:w="0" w:type="dxa"/>
            <w:right w:w="0" w:type="dxa"/>
          </w:tblCellMar>
        </w:tblPrEx>
        <w:trPr>
          <w:trHeight w:val="454" w:hRule="atLeast"/>
        </w:trPr>
        <w:tc>
          <w:tcPr>
            <w:tcW w:w="337" w:type="pct"/>
            <w:vMerge w:val="continue"/>
            <w:tcBorders>
              <w:left w:val="single" w:color="000000" w:sz="4" w:space="0"/>
              <w:right w:val="single" w:color="000000" w:sz="4" w:space="0"/>
            </w:tcBorders>
            <w:noWrap/>
            <w:vAlign w:val="center"/>
          </w:tcPr>
          <w:p w14:paraId="68D76083">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lang w:eastAsia="zh-CN"/>
              </w:rPr>
            </w:pPr>
          </w:p>
        </w:tc>
        <w:tc>
          <w:tcPr>
            <w:tcW w:w="368" w:type="pct"/>
            <w:vMerge w:val="continue"/>
            <w:tcBorders>
              <w:left w:val="single" w:color="000000" w:sz="4" w:space="0"/>
              <w:right w:val="single" w:color="000000" w:sz="4" w:space="0"/>
            </w:tcBorders>
            <w:noWrap/>
            <w:vAlign w:val="center"/>
          </w:tcPr>
          <w:p w14:paraId="76204154">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67F1E52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1769" w:type="pct"/>
            <w:tcBorders>
              <w:top w:val="single" w:color="000000" w:sz="4" w:space="0"/>
              <w:left w:val="single" w:color="000000" w:sz="4" w:space="0"/>
              <w:bottom w:val="single" w:color="000000" w:sz="4" w:space="0"/>
              <w:right w:val="single" w:color="000000" w:sz="4" w:space="0"/>
            </w:tcBorders>
            <w:noWrap/>
            <w:vAlign w:val="center"/>
          </w:tcPr>
          <w:p w14:paraId="572AA86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砼保护层厚度检测</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D2ADDA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auto" w:sz="4" w:space="0"/>
            </w:tcBorders>
            <w:noWrap/>
            <w:vAlign w:val="center"/>
          </w:tcPr>
          <w:p w14:paraId="2496DC6F">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项</w:t>
            </w:r>
          </w:p>
        </w:tc>
        <w:tc>
          <w:tcPr>
            <w:tcW w:w="2456" w:type="dxa"/>
            <w:tcBorders>
              <w:top w:val="single" w:color="auto" w:sz="4" w:space="0"/>
              <w:left w:val="single" w:color="auto" w:sz="4" w:space="0"/>
              <w:bottom w:val="single" w:color="auto" w:sz="4" w:space="0"/>
              <w:right w:val="single" w:color="auto" w:sz="4" w:space="0"/>
            </w:tcBorders>
            <w:noWrap/>
            <w:vAlign w:val="center"/>
          </w:tcPr>
          <w:p w14:paraId="2532790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w:t>
            </w:r>
          </w:p>
        </w:tc>
      </w:tr>
      <w:tr w14:paraId="4A1FA06D">
        <w:tblPrEx>
          <w:tblCellMar>
            <w:top w:w="0" w:type="dxa"/>
            <w:left w:w="0" w:type="dxa"/>
            <w:bottom w:w="0" w:type="dxa"/>
            <w:right w:w="0" w:type="dxa"/>
          </w:tblCellMar>
        </w:tblPrEx>
        <w:trPr>
          <w:trHeight w:val="454" w:hRule="atLeast"/>
        </w:trPr>
        <w:tc>
          <w:tcPr>
            <w:tcW w:w="337" w:type="pct"/>
            <w:vMerge w:val="continue"/>
            <w:tcBorders>
              <w:left w:val="single" w:color="000000" w:sz="4" w:space="0"/>
              <w:right w:val="single" w:color="000000" w:sz="4" w:space="0"/>
            </w:tcBorders>
            <w:noWrap/>
            <w:vAlign w:val="center"/>
          </w:tcPr>
          <w:p w14:paraId="421D72F1">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68" w:type="pct"/>
            <w:vMerge w:val="continue"/>
            <w:tcBorders>
              <w:left w:val="single" w:color="000000" w:sz="4" w:space="0"/>
              <w:right w:val="single" w:color="000000" w:sz="4" w:space="0"/>
            </w:tcBorders>
            <w:noWrap/>
            <w:vAlign w:val="center"/>
          </w:tcPr>
          <w:p w14:paraId="27CDCD30">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6DFF05B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1769" w:type="pct"/>
            <w:tcBorders>
              <w:top w:val="single" w:color="000000" w:sz="4" w:space="0"/>
              <w:left w:val="single" w:color="000000" w:sz="4" w:space="0"/>
              <w:bottom w:val="single" w:color="000000" w:sz="4" w:space="0"/>
              <w:right w:val="single" w:color="000000" w:sz="4" w:space="0"/>
            </w:tcBorders>
            <w:noWrap/>
            <w:vAlign w:val="center"/>
          </w:tcPr>
          <w:p w14:paraId="420E405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砼裂缝检测</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3E21F28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auto" w:sz="4" w:space="0"/>
            </w:tcBorders>
            <w:noWrap/>
            <w:vAlign w:val="center"/>
          </w:tcPr>
          <w:p w14:paraId="5F64A85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项</w:t>
            </w:r>
          </w:p>
        </w:tc>
        <w:tc>
          <w:tcPr>
            <w:tcW w:w="2456" w:type="dxa"/>
            <w:tcBorders>
              <w:top w:val="single" w:color="auto" w:sz="4" w:space="0"/>
              <w:left w:val="single" w:color="auto" w:sz="4" w:space="0"/>
              <w:bottom w:val="single" w:color="auto" w:sz="4" w:space="0"/>
              <w:right w:val="single" w:color="auto" w:sz="4" w:space="0"/>
            </w:tcBorders>
            <w:noWrap/>
            <w:vAlign w:val="center"/>
          </w:tcPr>
          <w:p w14:paraId="6265176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主跨梁板，检测</w:t>
            </w:r>
            <w:r>
              <w:rPr>
                <w:rFonts w:hint="eastAsia" w:ascii="宋体" w:hAnsi="宋体" w:eastAsia="宋体" w:cs="宋体"/>
                <w:color w:val="auto"/>
                <w:kern w:val="0"/>
                <w:sz w:val="24"/>
                <w:szCs w:val="24"/>
                <w:highlight w:val="none"/>
                <w:lang w:val="en-US" w:eastAsia="zh-CN" w:bidi="ar"/>
              </w:rPr>
              <w:t>6孔</w:t>
            </w:r>
          </w:p>
        </w:tc>
      </w:tr>
      <w:tr w14:paraId="7AD4DAEC">
        <w:tblPrEx>
          <w:tblCellMar>
            <w:top w:w="0" w:type="dxa"/>
            <w:left w:w="0" w:type="dxa"/>
            <w:bottom w:w="0" w:type="dxa"/>
            <w:right w:w="0" w:type="dxa"/>
          </w:tblCellMar>
        </w:tblPrEx>
        <w:trPr>
          <w:trHeight w:val="774" w:hRule="atLeast"/>
        </w:trPr>
        <w:tc>
          <w:tcPr>
            <w:tcW w:w="337" w:type="pct"/>
            <w:vMerge w:val="continue"/>
            <w:tcBorders>
              <w:left w:val="single" w:color="000000" w:sz="4" w:space="0"/>
              <w:right w:val="single" w:color="000000" w:sz="4" w:space="0"/>
            </w:tcBorders>
            <w:noWrap/>
            <w:vAlign w:val="center"/>
          </w:tcPr>
          <w:p w14:paraId="557D330C">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68" w:type="pct"/>
            <w:vMerge w:val="continue"/>
            <w:tcBorders>
              <w:left w:val="single" w:color="000000" w:sz="4" w:space="0"/>
              <w:right w:val="single" w:color="000000" w:sz="4" w:space="0"/>
            </w:tcBorders>
            <w:noWrap/>
            <w:vAlign w:val="center"/>
          </w:tcPr>
          <w:p w14:paraId="47B9CAF3">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75" w:type="pct"/>
            <w:tcBorders>
              <w:top w:val="single" w:color="000000" w:sz="4" w:space="0"/>
              <w:left w:val="single" w:color="000000" w:sz="4" w:space="0"/>
              <w:bottom w:val="single" w:color="auto" w:sz="4" w:space="0"/>
              <w:right w:val="single" w:color="000000" w:sz="4" w:space="0"/>
            </w:tcBorders>
            <w:noWrap/>
            <w:vAlign w:val="center"/>
          </w:tcPr>
          <w:p w14:paraId="5AFC5BD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1769" w:type="pct"/>
            <w:tcBorders>
              <w:top w:val="single" w:color="000000" w:sz="4" w:space="0"/>
              <w:left w:val="single" w:color="000000" w:sz="4" w:space="0"/>
              <w:bottom w:val="single" w:color="000000" w:sz="4" w:space="0"/>
              <w:right w:val="single" w:color="000000" w:sz="4" w:space="0"/>
            </w:tcBorders>
            <w:noWrap/>
            <w:vAlign w:val="center"/>
          </w:tcPr>
          <w:p w14:paraId="0ECFE47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挠度检测</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055A7F7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auto" w:sz="4" w:space="0"/>
            </w:tcBorders>
            <w:noWrap/>
            <w:vAlign w:val="center"/>
          </w:tcPr>
          <w:p w14:paraId="10C4DD9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项</w:t>
            </w:r>
          </w:p>
        </w:tc>
        <w:tc>
          <w:tcPr>
            <w:tcW w:w="2456" w:type="dxa"/>
            <w:tcBorders>
              <w:top w:val="single" w:color="auto" w:sz="4" w:space="0"/>
              <w:left w:val="single" w:color="auto" w:sz="4" w:space="0"/>
              <w:bottom w:val="single" w:color="auto" w:sz="4" w:space="0"/>
              <w:right w:val="single" w:color="auto" w:sz="4" w:space="0"/>
            </w:tcBorders>
            <w:noWrap/>
            <w:vAlign w:val="center"/>
          </w:tcPr>
          <w:p w14:paraId="64D990B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5孔。其中：梁板强度采用回弹法（或超声回弹法）；桥柱、闸墩和排架采用钻芯法检测。</w:t>
            </w:r>
          </w:p>
        </w:tc>
      </w:tr>
      <w:tr w14:paraId="1199B876">
        <w:tblPrEx>
          <w:tblCellMar>
            <w:top w:w="0" w:type="dxa"/>
            <w:left w:w="0" w:type="dxa"/>
            <w:bottom w:w="0" w:type="dxa"/>
            <w:right w:w="0" w:type="dxa"/>
          </w:tblCellMar>
        </w:tblPrEx>
        <w:trPr>
          <w:trHeight w:val="454" w:hRule="atLeast"/>
        </w:trPr>
        <w:tc>
          <w:tcPr>
            <w:tcW w:w="337" w:type="pct"/>
            <w:vMerge w:val="continue"/>
            <w:tcBorders>
              <w:left w:val="single" w:color="000000" w:sz="4" w:space="0"/>
              <w:bottom w:val="single" w:color="auto" w:sz="4" w:space="0"/>
              <w:right w:val="single" w:color="000000" w:sz="4" w:space="0"/>
            </w:tcBorders>
            <w:noWrap/>
            <w:vAlign w:val="center"/>
          </w:tcPr>
          <w:p w14:paraId="3680465E">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68" w:type="pct"/>
            <w:vMerge w:val="continue"/>
            <w:tcBorders>
              <w:left w:val="single" w:color="000000" w:sz="4" w:space="0"/>
              <w:bottom w:val="single" w:color="auto" w:sz="4" w:space="0"/>
              <w:right w:val="single" w:color="000000" w:sz="4" w:space="0"/>
            </w:tcBorders>
            <w:noWrap/>
            <w:vAlign w:val="center"/>
          </w:tcPr>
          <w:p w14:paraId="04C67664">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75" w:type="pct"/>
            <w:tcBorders>
              <w:top w:val="single" w:color="000000" w:sz="4" w:space="0"/>
              <w:left w:val="single" w:color="000000" w:sz="4" w:space="0"/>
              <w:bottom w:val="single" w:color="auto" w:sz="4" w:space="0"/>
              <w:right w:val="single" w:color="000000" w:sz="4" w:space="0"/>
            </w:tcBorders>
            <w:noWrap/>
            <w:vAlign w:val="center"/>
          </w:tcPr>
          <w:p w14:paraId="46FF176F">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ED3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船只租赁</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4A0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6E8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项</w:t>
            </w:r>
          </w:p>
        </w:tc>
        <w:tc>
          <w:tcPr>
            <w:tcW w:w="1313" w:type="pct"/>
            <w:tcBorders>
              <w:top w:val="single" w:color="auto" w:sz="4" w:space="0"/>
              <w:left w:val="single" w:color="000000" w:sz="4" w:space="0"/>
              <w:bottom w:val="single" w:color="000000" w:sz="4" w:space="0"/>
              <w:right w:val="single" w:color="000000" w:sz="4" w:space="0"/>
            </w:tcBorders>
            <w:noWrap/>
            <w:vAlign w:val="center"/>
          </w:tcPr>
          <w:p w14:paraId="5A57C88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p>
        </w:tc>
      </w:tr>
      <w:tr w14:paraId="20BAAD92">
        <w:tblPrEx>
          <w:tblCellMar>
            <w:top w:w="0" w:type="dxa"/>
            <w:left w:w="0" w:type="dxa"/>
            <w:bottom w:w="0" w:type="dxa"/>
            <w:right w:w="0" w:type="dxa"/>
          </w:tblCellMar>
        </w:tblPrEx>
        <w:trPr>
          <w:trHeight w:val="454" w:hRule="atLeast"/>
        </w:trPr>
        <w:tc>
          <w:tcPr>
            <w:tcW w:w="337" w:type="pct"/>
            <w:vMerge w:val="restart"/>
            <w:tcBorders>
              <w:top w:val="single" w:color="auto" w:sz="4" w:space="0"/>
              <w:left w:val="single" w:color="000000" w:sz="4" w:space="0"/>
              <w:right w:val="single" w:color="000000" w:sz="4" w:space="0"/>
            </w:tcBorders>
            <w:noWrap/>
            <w:vAlign w:val="center"/>
          </w:tcPr>
          <w:p w14:paraId="1EA9C792">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三</w:t>
            </w:r>
          </w:p>
        </w:tc>
        <w:tc>
          <w:tcPr>
            <w:tcW w:w="368" w:type="pct"/>
            <w:vMerge w:val="restart"/>
            <w:tcBorders>
              <w:top w:val="single" w:color="auto" w:sz="4" w:space="0"/>
              <w:left w:val="single" w:color="000000" w:sz="4" w:space="0"/>
              <w:right w:val="single" w:color="000000" w:sz="4" w:space="0"/>
            </w:tcBorders>
            <w:noWrap/>
            <w:vAlign w:val="center"/>
          </w:tcPr>
          <w:p w14:paraId="5BF6AB8D">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lang w:eastAsia="zh-CN" w:bidi="ar"/>
              </w:rPr>
              <w:t>荷载试验</w:t>
            </w:r>
          </w:p>
        </w:tc>
        <w:tc>
          <w:tcPr>
            <w:tcW w:w="375" w:type="pct"/>
            <w:tcBorders>
              <w:top w:val="single" w:color="auto" w:sz="4" w:space="0"/>
              <w:left w:val="single" w:color="000000" w:sz="4" w:space="0"/>
              <w:bottom w:val="single" w:color="000000" w:sz="4" w:space="0"/>
              <w:right w:val="single" w:color="000000" w:sz="4" w:space="0"/>
            </w:tcBorders>
            <w:noWrap/>
            <w:vAlign w:val="center"/>
          </w:tcPr>
          <w:p w14:paraId="7BF9446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1</w:t>
            </w:r>
          </w:p>
        </w:tc>
        <w:tc>
          <w:tcPr>
            <w:tcW w:w="1769" w:type="pct"/>
            <w:tcBorders>
              <w:top w:val="single" w:color="000000" w:sz="4" w:space="0"/>
              <w:left w:val="single" w:color="000000" w:sz="4" w:space="0"/>
              <w:bottom w:val="single" w:color="000000" w:sz="4" w:space="0"/>
              <w:right w:val="single" w:color="000000" w:sz="4" w:space="0"/>
            </w:tcBorders>
            <w:noWrap/>
            <w:vAlign w:val="center"/>
          </w:tcPr>
          <w:p w14:paraId="21A114B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桥梁动载检测</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3AB0E1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6C02B93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项</w:t>
            </w: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232A887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cs="宋体"/>
                <w:color w:val="auto"/>
                <w:sz w:val="24"/>
                <w:szCs w:val="24"/>
                <w:highlight w:val="none"/>
                <w:lang w:val="en-US" w:eastAsia="zh-CN"/>
              </w:rPr>
              <w:t>《城市桥梁养护技术标准》（CJJ99-2017）、《城市桥梁检测与评定技术规范》（CJJT/233-2015)</w:t>
            </w:r>
          </w:p>
        </w:tc>
      </w:tr>
      <w:tr w14:paraId="18880EF4">
        <w:tblPrEx>
          <w:tblCellMar>
            <w:top w:w="0" w:type="dxa"/>
            <w:left w:w="0" w:type="dxa"/>
            <w:bottom w:w="0" w:type="dxa"/>
            <w:right w:w="0" w:type="dxa"/>
          </w:tblCellMar>
        </w:tblPrEx>
        <w:trPr>
          <w:trHeight w:val="454" w:hRule="exact"/>
        </w:trPr>
        <w:tc>
          <w:tcPr>
            <w:tcW w:w="337" w:type="pct"/>
            <w:vMerge w:val="continue"/>
            <w:tcBorders>
              <w:top w:val="single" w:color="000000" w:sz="4" w:space="0"/>
              <w:left w:val="single" w:color="000000" w:sz="4" w:space="0"/>
              <w:bottom w:val="single" w:color="000000" w:sz="4" w:space="0"/>
              <w:right w:val="single" w:color="000000" w:sz="4" w:space="0"/>
            </w:tcBorders>
            <w:noWrap/>
            <w:vAlign w:val="center"/>
          </w:tcPr>
          <w:p w14:paraId="3D68C78C">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68" w:type="pct"/>
            <w:vMerge w:val="continue"/>
            <w:tcBorders>
              <w:top w:val="single" w:color="000000" w:sz="4" w:space="0"/>
              <w:left w:val="single" w:color="000000" w:sz="4" w:space="0"/>
              <w:bottom w:val="single" w:color="000000" w:sz="4" w:space="0"/>
              <w:right w:val="single" w:color="000000" w:sz="4" w:space="0"/>
            </w:tcBorders>
            <w:noWrap/>
            <w:vAlign w:val="center"/>
          </w:tcPr>
          <w:p w14:paraId="1789479F">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1EF73CB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0AA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桥梁检测车使用</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EA2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207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项</w:t>
            </w: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1688FD3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p>
        </w:tc>
      </w:tr>
      <w:tr w14:paraId="781FF1CC">
        <w:tblPrEx>
          <w:tblCellMar>
            <w:top w:w="0" w:type="dxa"/>
            <w:left w:w="0" w:type="dxa"/>
            <w:bottom w:w="0" w:type="dxa"/>
            <w:right w:w="0" w:type="dxa"/>
          </w:tblCellMar>
        </w:tblPrEx>
        <w:trPr>
          <w:trHeight w:val="454" w:hRule="exact"/>
        </w:trPr>
        <w:tc>
          <w:tcPr>
            <w:tcW w:w="337" w:type="pct"/>
            <w:vMerge w:val="continue"/>
            <w:tcBorders>
              <w:top w:val="single" w:color="000000" w:sz="4" w:space="0"/>
              <w:left w:val="single" w:color="000000" w:sz="4" w:space="0"/>
              <w:bottom w:val="single" w:color="000000" w:sz="4" w:space="0"/>
              <w:right w:val="single" w:color="000000" w:sz="4" w:space="0"/>
            </w:tcBorders>
            <w:noWrap/>
            <w:vAlign w:val="center"/>
          </w:tcPr>
          <w:p w14:paraId="1EAF4C41">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b/>
                <w:bCs/>
                <w:color w:val="auto"/>
                <w:sz w:val="24"/>
                <w:szCs w:val="24"/>
                <w:highlight w:val="none"/>
                <w:lang w:eastAsia="zh-CN"/>
              </w:rPr>
            </w:pPr>
          </w:p>
        </w:tc>
        <w:tc>
          <w:tcPr>
            <w:tcW w:w="368" w:type="pct"/>
            <w:vMerge w:val="continue"/>
            <w:tcBorders>
              <w:top w:val="single" w:color="000000" w:sz="4" w:space="0"/>
              <w:left w:val="single" w:color="000000" w:sz="4" w:space="0"/>
              <w:bottom w:val="single" w:color="000000" w:sz="4" w:space="0"/>
              <w:right w:val="single" w:color="000000" w:sz="4" w:space="0"/>
            </w:tcBorders>
            <w:noWrap/>
            <w:vAlign w:val="center"/>
          </w:tcPr>
          <w:p w14:paraId="1E4D7FB9">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b/>
                <w:bCs/>
                <w:color w:val="auto"/>
                <w:sz w:val="24"/>
                <w:szCs w:val="24"/>
                <w:highlight w:val="none"/>
              </w:rPr>
            </w:pP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5994F55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937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公路临时管制</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325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8289">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项</w:t>
            </w: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2E10BDB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p>
        </w:tc>
      </w:tr>
      <w:tr w14:paraId="31147CE4">
        <w:tblPrEx>
          <w:tblCellMar>
            <w:top w:w="0" w:type="dxa"/>
            <w:left w:w="0" w:type="dxa"/>
            <w:bottom w:w="0" w:type="dxa"/>
            <w:right w:w="0" w:type="dxa"/>
          </w:tblCellMar>
        </w:tblPrEx>
        <w:trPr>
          <w:trHeight w:val="1135" w:hRule="atLeast"/>
        </w:trPr>
        <w:tc>
          <w:tcPr>
            <w:tcW w:w="337" w:type="pct"/>
            <w:vMerge w:val="restart"/>
            <w:tcBorders>
              <w:top w:val="single" w:color="000000" w:sz="4" w:space="0"/>
              <w:left w:val="single" w:color="000000" w:sz="4" w:space="0"/>
              <w:bottom w:val="single" w:color="000000" w:sz="4" w:space="0"/>
              <w:right w:val="single" w:color="000000" w:sz="4" w:space="0"/>
            </w:tcBorders>
            <w:noWrap/>
            <w:vAlign w:val="center"/>
          </w:tcPr>
          <w:p w14:paraId="1D4C5C0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w:t>
            </w:r>
          </w:p>
        </w:tc>
        <w:tc>
          <w:tcPr>
            <w:tcW w:w="368" w:type="pct"/>
            <w:vMerge w:val="restart"/>
            <w:tcBorders>
              <w:top w:val="single" w:color="000000" w:sz="4" w:space="0"/>
              <w:left w:val="single" w:color="000000" w:sz="4" w:space="0"/>
              <w:bottom w:val="single" w:color="000000" w:sz="4" w:space="0"/>
              <w:right w:val="single" w:color="auto" w:sz="4" w:space="0"/>
            </w:tcBorders>
            <w:noWrap/>
            <w:vAlign w:val="center"/>
          </w:tcPr>
          <w:p w14:paraId="318D809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结构验算</w:t>
            </w:r>
          </w:p>
        </w:tc>
        <w:tc>
          <w:tcPr>
            <w:tcW w:w="375" w:type="pct"/>
            <w:tcBorders>
              <w:top w:val="single" w:color="auto" w:sz="4" w:space="0"/>
              <w:left w:val="single" w:color="auto" w:sz="4" w:space="0"/>
              <w:bottom w:val="single" w:color="auto" w:sz="4" w:space="0"/>
              <w:right w:val="single" w:color="auto" w:sz="4" w:space="0"/>
            </w:tcBorders>
            <w:noWrap/>
            <w:vAlign w:val="center"/>
          </w:tcPr>
          <w:p w14:paraId="75FFE6E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1769" w:type="pct"/>
            <w:tcBorders>
              <w:top w:val="single" w:color="auto" w:sz="4" w:space="0"/>
              <w:left w:val="single" w:color="auto" w:sz="4" w:space="0"/>
              <w:bottom w:val="single" w:color="auto" w:sz="4" w:space="0"/>
              <w:right w:val="single" w:color="auto" w:sz="4" w:space="0"/>
            </w:tcBorders>
            <w:noWrap/>
            <w:vAlign w:val="center"/>
          </w:tcPr>
          <w:p w14:paraId="50023778">
            <w:pPr>
              <w:keepNext w:val="0"/>
              <w:keepLines w:val="0"/>
              <w:pageBreakBefore w:val="0"/>
              <w:widowControl/>
              <w:kinsoku/>
              <w:wordWrap/>
              <w:overflowPunct/>
              <w:topLinePunct w:val="0"/>
              <w:autoSpaceDE/>
              <w:autoSpaceDN/>
              <w:bidi w:val="0"/>
              <w:adjustRightInd/>
              <w:snapToGrid/>
              <w:spacing w:line="440" w:lineRule="exact"/>
              <w:ind w:left="0" w:leftChars="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水闸</w:t>
            </w:r>
            <w:r>
              <w:rPr>
                <w:rFonts w:hint="eastAsia" w:ascii="宋体" w:hAnsi="宋体" w:eastAsia="宋体" w:cs="宋体"/>
                <w:color w:val="auto"/>
                <w:kern w:val="0"/>
                <w:sz w:val="24"/>
                <w:szCs w:val="24"/>
                <w:highlight w:val="none"/>
                <w:lang w:val="en-US" w:eastAsia="zh-CN" w:bidi="ar"/>
              </w:rPr>
              <w:t>整体</w:t>
            </w:r>
            <w:r>
              <w:rPr>
                <w:rFonts w:hint="eastAsia" w:ascii="宋体" w:hAnsi="宋体" w:eastAsia="宋体" w:cs="宋体"/>
                <w:color w:val="auto"/>
                <w:kern w:val="0"/>
                <w:sz w:val="24"/>
                <w:szCs w:val="24"/>
                <w:highlight w:val="none"/>
                <w:lang w:bidi="ar"/>
              </w:rPr>
              <w:t>稳定</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抗震、渗流</w:t>
            </w:r>
            <w:r>
              <w:rPr>
                <w:rFonts w:hint="eastAsia" w:ascii="宋体" w:hAnsi="宋体" w:eastAsia="宋体" w:cs="宋体"/>
                <w:color w:val="auto"/>
                <w:kern w:val="0"/>
                <w:sz w:val="24"/>
                <w:szCs w:val="24"/>
                <w:highlight w:val="none"/>
                <w:lang w:bidi="ar"/>
              </w:rPr>
              <w:t>验算；</w:t>
            </w:r>
            <w:r>
              <w:rPr>
                <w:rFonts w:hint="eastAsia" w:ascii="宋体" w:hAnsi="宋体" w:eastAsia="宋体" w:cs="宋体"/>
                <w:color w:val="auto"/>
                <w:kern w:val="0"/>
                <w:sz w:val="24"/>
                <w:szCs w:val="24"/>
                <w:highlight w:val="none"/>
                <w:lang w:val="en-US" w:eastAsia="zh-CN" w:bidi="ar"/>
              </w:rPr>
              <w:t>闸底板、闸墩</w:t>
            </w:r>
            <w:r>
              <w:rPr>
                <w:rFonts w:hint="eastAsia" w:ascii="宋体" w:hAnsi="宋体" w:cs="宋体"/>
                <w:color w:val="auto"/>
                <w:kern w:val="0"/>
                <w:sz w:val="24"/>
                <w:szCs w:val="24"/>
                <w:highlight w:val="none"/>
                <w:lang w:val="en-US" w:eastAsia="zh-CN" w:bidi="ar"/>
              </w:rPr>
              <w:t>、排架</w:t>
            </w:r>
            <w:r>
              <w:rPr>
                <w:rFonts w:hint="eastAsia" w:ascii="宋体" w:hAnsi="宋体" w:eastAsia="宋体" w:cs="宋体"/>
                <w:color w:val="auto"/>
                <w:kern w:val="0"/>
                <w:sz w:val="24"/>
                <w:szCs w:val="24"/>
                <w:highlight w:val="none"/>
                <w:lang w:val="en-US" w:eastAsia="zh-CN" w:bidi="ar"/>
              </w:rPr>
              <w:t>等构件强度验算等</w:t>
            </w:r>
          </w:p>
        </w:tc>
        <w:tc>
          <w:tcPr>
            <w:tcW w:w="457" w:type="pct"/>
            <w:tcBorders>
              <w:top w:val="single" w:color="000000" w:sz="4" w:space="0"/>
              <w:left w:val="single" w:color="auto" w:sz="4" w:space="0"/>
              <w:bottom w:val="single" w:color="000000" w:sz="4" w:space="0"/>
              <w:right w:val="single" w:color="000000" w:sz="4" w:space="0"/>
            </w:tcBorders>
            <w:noWrap/>
            <w:vAlign w:val="center"/>
          </w:tcPr>
          <w:p w14:paraId="0170713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0BE8EEA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w:t>
            </w:r>
          </w:p>
        </w:tc>
        <w:tc>
          <w:tcPr>
            <w:tcW w:w="1313" w:type="pct"/>
            <w:vMerge w:val="restart"/>
            <w:tcBorders>
              <w:top w:val="single" w:color="000000" w:sz="4" w:space="0"/>
              <w:left w:val="single" w:color="000000" w:sz="4" w:space="0"/>
              <w:right w:val="single" w:color="000000" w:sz="4" w:space="0"/>
            </w:tcBorders>
            <w:noWrap/>
            <w:vAlign w:val="center"/>
          </w:tcPr>
          <w:p w14:paraId="2B123F97">
            <w:pPr>
              <w:keepNext w:val="0"/>
              <w:keepLines w:val="0"/>
              <w:pageBreakBefore w:val="0"/>
              <w:widowControl/>
              <w:kinsoku/>
              <w:wordWrap/>
              <w:overflowPunct/>
              <w:topLinePunct w:val="0"/>
              <w:autoSpaceDE/>
              <w:autoSpaceDN/>
              <w:bidi w:val="0"/>
              <w:adjustRightInd/>
              <w:snapToGrid/>
              <w:spacing w:line="440" w:lineRule="exact"/>
              <w:ind w:left="0" w:leftChars="0"/>
              <w:jc w:val="both"/>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老</w:t>
            </w:r>
            <w:r>
              <w:rPr>
                <w:rFonts w:hint="eastAsia" w:ascii="宋体" w:hAnsi="宋体" w:eastAsia="宋体" w:cs="宋体"/>
                <w:color w:val="auto"/>
                <w:kern w:val="0"/>
                <w:sz w:val="24"/>
                <w:szCs w:val="24"/>
                <w:highlight w:val="none"/>
                <w:lang w:val="en-US" w:eastAsia="zh-CN" w:bidi="ar"/>
              </w:rPr>
              <w:t>节制闸桥位整体结构，桥梁上部荷载通过墩柱传递至闸墩，并最终通过底板传递给地基，故水闸也需要进行全面验算</w:t>
            </w:r>
            <w:r>
              <w:rPr>
                <w:rFonts w:hint="eastAsia" w:ascii="宋体" w:hAnsi="宋体" w:cs="宋体"/>
                <w:color w:val="auto"/>
                <w:kern w:val="0"/>
                <w:sz w:val="24"/>
                <w:szCs w:val="24"/>
                <w:highlight w:val="none"/>
                <w:lang w:val="en-US" w:eastAsia="zh-CN" w:bidi="ar"/>
              </w:rPr>
              <w:t>。按相关桥梁和水利工程规范。</w:t>
            </w:r>
          </w:p>
        </w:tc>
      </w:tr>
      <w:tr w14:paraId="3717B06C">
        <w:tblPrEx>
          <w:tblCellMar>
            <w:top w:w="0" w:type="dxa"/>
            <w:left w:w="0" w:type="dxa"/>
            <w:bottom w:w="0" w:type="dxa"/>
            <w:right w:w="0"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ign w:val="center"/>
          </w:tcPr>
          <w:p w14:paraId="307ECD0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p>
        </w:tc>
        <w:tc>
          <w:tcPr>
            <w:tcW w:w="368" w:type="pct"/>
            <w:vMerge w:val="continue"/>
            <w:tcBorders>
              <w:top w:val="single" w:color="000000" w:sz="4" w:space="0"/>
              <w:left w:val="single" w:color="000000" w:sz="4" w:space="0"/>
              <w:bottom w:val="single" w:color="000000" w:sz="4" w:space="0"/>
              <w:right w:val="single" w:color="auto" w:sz="4" w:space="0"/>
            </w:tcBorders>
            <w:noWrap/>
            <w:vAlign w:val="center"/>
          </w:tcPr>
          <w:p w14:paraId="177CC2A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p>
        </w:tc>
        <w:tc>
          <w:tcPr>
            <w:tcW w:w="375" w:type="pct"/>
            <w:tcBorders>
              <w:top w:val="single" w:color="auto" w:sz="4" w:space="0"/>
              <w:left w:val="single" w:color="auto" w:sz="4" w:space="0"/>
              <w:bottom w:val="single" w:color="auto" w:sz="4" w:space="0"/>
              <w:right w:val="single" w:color="auto" w:sz="4" w:space="0"/>
            </w:tcBorders>
            <w:noWrap/>
            <w:vAlign w:val="center"/>
          </w:tcPr>
          <w:p w14:paraId="48B2AB5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769" w:type="pct"/>
            <w:tcBorders>
              <w:top w:val="single" w:color="auto" w:sz="4" w:space="0"/>
              <w:left w:val="single" w:color="auto" w:sz="4" w:space="0"/>
              <w:bottom w:val="single" w:color="auto" w:sz="4" w:space="0"/>
              <w:right w:val="single" w:color="auto" w:sz="4" w:space="0"/>
            </w:tcBorders>
            <w:noWrap/>
            <w:vAlign w:val="center"/>
          </w:tcPr>
          <w:p w14:paraId="402BD416">
            <w:pPr>
              <w:keepNext w:val="0"/>
              <w:keepLines w:val="0"/>
              <w:pageBreakBefore w:val="0"/>
              <w:widowControl/>
              <w:kinsoku/>
              <w:wordWrap/>
              <w:overflowPunct/>
              <w:topLinePunct w:val="0"/>
              <w:autoSpaceDE/>
              <w:autoSpaceDN/>
              <w:bidi w:val="0"/>
              <w:adjustRightInd/>
              <w:snapToGrid/>
              <w:spacing w:line="440" w:lineRule="exact"/>
              <w:ind w:left="0" w:left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桥</w:t>
            </w:r>
            <w:r>
              <w:rPr>
                <w:rFonts w:hint="eastAsia" w:ascii="宋体" w:hAnsi="宋体" w:eastAsia="宋体" w:cs="宋体"/>
                <w:color w:val="auto"/>
                <w:kern w:val="0"/>
                <w:sz w:val="24"/>
                <w:szCs w:val="24"/>
                <w:highlight w:val="none"/>
                <w:lang w:val="en-US" w:eastAsia="zh-CN" w:bidi="ar"/>
              </w:rPr>
              <w:t>梁整体稳定性、承载能力检算；预制板</w:t>
            </w:r>
            <w:r>
              <w:rPr>
                <w:rFonts w:hint="eastAsia" w:ascii="宋体" w:hAnsi="宋体" w:eastAsia="宋体" w:cs="宋体"/>
                <w:color w:val="auto"/>
                <w:kern w:val="0"/>
                <w:sz w:val="24"/>
                <w:szCs w:val="24"/>
                <w:highlight w:val="none"/>
                <w:lang w:bidi="ar"/>
              </w:rPr>
              <w:t>、盖梁、墩柱</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强度验算</w:t>
            </w:r>
            <w:r>
              <w:rPr>
                <w:rFonts w:hint="eastAsia" w:ascii="宋体" w:hAnsi="宋体" w:eastAsia="宋体" w:cs="宋体"/>
                <w:color w:val="auto"/>
                <w:kern w:val="0"/>
                <w:sz w:val="24"/>
                <w:szCs w:val="24"/>
                <w:highlight w:val="none"/>
                <w:lang w:val="en-US" w:eastAsia="zh-CN" w:bidi="ar"/>
              </w:rPr>
              <w:t>等</w:t>
            </w:r>
          </w:p>
        </w:tc>
        <w:tc>
          <w:tcPr>
            <w:tcW w:w="457" w:type="pct"/>
            <w:tcBorders>
              <w:top w:val="single" w:color="000000" w:sz="4" w:space="0"/>
              <w:left w:val="single" w:color="auto" w:sz="4" w:space="0"/>
              <w:bottom w:val="single" w:color="000000" w:sz="4" w:space="0"/>
              <w:right w:val="single" w:color="000000" w:sz="4" w:space="0"/>
            </w:tcBorders>
            <w:noWrap/>
            <w:vAlign w:val="center"/>
          </w:tcPr>
          <w:p w14:paraId="26367EB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529C8F09">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1313" w:type="pct"/>
            <w:vMerge w:val="continue"/>
            <w:tcBorders>
              <w:left w:val="single" w:color="000000" w:sz="4" w:space="0"/>
              <w:bottom w:val="single" w:color="000000" w:sz="4" w:space="0"/>
              <w:right w:val="single" w:color="000000" w:sz="4" w:space="0"/>
            </w:tcBorders>
            <w:noWrap/>
            <w:vAlign w:val="center"/>
          </w:tcPr>
          <w:p w14:paraId="0AA9797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p>
        </w:tc>
      </w:tr>
      <w:tr w14:paraId="75B4D64E">
        <w:tblPrEx>
          <w:tblCellMar>
            <w:top w:w="0" w:type="dxa"/>
            <w:left w:w="0" w:type="dxa"/>
            <w:bottom w:w="0" w:type="dxa"/>
            <w:right w:w="0" w:type="dxa"/>
          </w:tblCellMar>
        </w:tblPrEx>
        <w:trPr>
          <w:trHeight w:val="1586" w:hRule="exact"/>
        </w:trPr>
        <w:tc>
          <w:tcPr>
            <w:tcW w:w="337" w:type="pct"/>
            <w:tcBorders>
              <w:top w:val="single" w:color="000000" w:sz="4" w:space="0"/>
              <w:left w:val="single" w:color="000000" w:sz="4" w:space="0"/>
              <w:bottom w:val="single" w:color="000000" w:sz="4" w:space="0"/>
              <w:right w:val="single" w:color="000000" w:sz="4" w:space="0"/>
            </w:tcBorders>
            <w:noWrap/>
            <w:vAlign w:val="center"/>
          </w:tcPr>
          <w:p w14:paraId="3C0252D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eastAsia="zh-CN" w:bidi="ar"/>
              </w:rPr>
              <w:t>五</w:t>
            </w:r>
          </w:p>
        </w:tc>
        <w:tc>
          <w:tcPr>
            <w:tcW w:w="743" w:type="pct"/>
            <w:gridSpan w:val="2"/>
            <w:tcBorders>
              <w:top w:val="single" w:color="000000" w:sz="4" w:space="0"/>
              <w:left w:val="single" w:color="000000" w:sz="4" w:space="0"/>
              <w:bottom w:val="single" w:color="000000" w:sz="4" w:space="0"/>
              <w:right w:val="single" w:color="000000" w:sz="4" w:space="0"/>
            </w:tcBorders>
            <w:noWrap/>
            <w:vAlign w:val="center"/>
          </w:tcPr>
          <w:p w14:paraId="71091F0E">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综合</w:t>
            </w:r>
          </w:p>
          <w:p w14:paraId="2CDAD895">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评估</w:t>
            </w:r>
          </w:p>
        </w:tc>
        <w:tc>
          <w:tcPr>
            <w:tcW w:w="1769" w:type="pct"/>
            <w:tcBorders>
              <w:top w:val="single" w:color="000000" w:sz="4" w:space="0"/>
              <w:left w:val="single" w:color="000000" w:sz="4" w:space="0"/>
              <w:bottom w:val="single" w:color="000000" w:sz="4" w:space="0"/>
              <w:right w:val="single" w:color="000000" w:sz="4" w:space="0"/>
            </w:tcBorders>
            <w:noWrap/>
            <w:vAlign w:val="center"/>
          </w:tcPr>
          <w:p w14:paraId="7E580C9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根据检测和</w:t>
            </w:r>
            <w:r>
              <w:rPr>
                <w:rFonts w:hint="eastAsia" w:ascii="宋体" w:hAnsi="宋体" w:cs="宋体"/>
                <w:color w:val="auto"/>
                <w:kern w:val="0"/>
                <w:sz w:val="24"/>
                <w:szCs w:val="24"/>
                <w:highlight w:val="none"/>
                <w:lang w:val="en-US" w:eastAsia="zh-CN" w:bidi="ar"/>
              </w:rPr>
              <w:t>验算</w:t>
            </w:r>
            <w:r>
              <w:rPr>
                <w:rFonts w:hint="eastAsia" w:ascii="宋体" w:hAnsi="宋体" w:eastAsia="宋体" w:cs="宋体"/>
                <w:color w:val="auto"/>
                <w:kern w:val="0"/>
                <w:sz w:val="24"/>
                <w:szCs w:val="24"/>
                <w:highlight w:val="none"/>
                <w:lang w:bidi="ar"/>
              </w:rPr>
              <w:t>结果，综合</w:t>
            </w:r>
            <w:r>
              <w:rPr>
                <w:rFonts w:hint="eastAsia" w:ascii="宋体" w:hAnsi="宋体" w:cs="宋体"/>
                <w:color w:val="auto"/>
                <w:kern w:val="0"/>
                <w:sz w:val="24"/>
                <w:szCs w:val="24"/>
                <w:highlight w:val="none"/>
                <w:lang w:val="en-US" w:eastAsia="zh-CN" w:bidi="ar"/>
              </w:rPr>
              <w:t>评估</w:t>
            </w:r>
            <w:r>
              <w:rPr>
                <w:rFonts w:hint="eastAsia" w:ascii="宋体" w:hAnsi="宋体" w:eastAsia="宋体" w:cs="宋体"/>
                <w:color w:val="auto"/>
                <w:kern w:val="0"/>
                <w:sz w:val="24"/>
                <w:szCs w:val="24"/>
                <w:highlight w:val="none"/>
                <w:lang w:bidi="ar"/>
              </w:rPr>
              <w:t>桥梁和水闸所处的安全状态</w:t>
            </w:r>
            <w:r>
              <w:rPr>
                <w:rFonts w:hint="eastAsia" w:ascii="宋体" w:hAnsi="宋体" w:cs="宋体"/>
                <w:color w:val="auto"/>
                <w:kern w:val="0"/>
                <w:sz w:val="24"/>
                <w:szCs w:val="24"/>
                <w:highlight w:val="none"/>
                <w:lang w:val="en-US" w:eastAsia="zh-CN" w:bidi="ar"/>
              </w:rPr>
              <w:t>并提出相应的维修和加固方案。</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56E277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6A38B327">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1313" w:type="pct"/>
            <w:tcBorders>
              <w:top w:val="single" w:color="000000" w:sz="4" w:space="0"/>
              <w:left w:val="single" w:color="000000" w:sz="4" w:space="0"/>
              <w:bottom w:val="single" w:color="000000" w:sz="4" w:space="0"/>
              <w:right w:val="single" w:color="000000" w:sz="4" w:space="0"/>
            </w:tcBorders>
            <w:noWrap/>
            <w:vAlign w:val="center"/>
          </w:tcPr>
          <w:p w14:paraId="6ED39FD0">
            <w:pPr>
              <w:keepNext w:val="0"/>
              <w:keepLines w:val="0"/>
              <w:pageBreakBefore w:val="0"/>
              <w:widowControl/>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r>
      <w:tr w14:paraId="550C51FD">
        <w:tblPrEx>
          <w:tblCellMar>
            <w:top w:w="0" w:type="dxa"/>
            <w:left w:w="0" w:type="dxa"/>
            <w:bottom w:w="0" w:type="dxa"/>
            <w:right w:w="0" w:type="dxa"/>
          </w:tblCellMar>
        </w:tblPrEx>
        <w:trPr>
          <w:trHeight w:val="1586" w:hRule="exac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01D95BF1">
            <w:pPr>
              <w:keepNext w:val="0"/>
              <w:keepLines w:val="0"/>
              <w:pageBreakBefore w:val="0"/>
              <w:widowControl/>
              <w:kinsoku/>
              <w:wordWrap/>
              <w:overflowPunct/>
              <w:topLinePunct w:val="0"/>
              <w:autoSpaceDE/>
              <w:autoSpaceDN/>
              <w:bidi w:val="0"/>
              <w:adjustRightInd/>
              <w:snapToGrid/>
              <w:spacing w:line="440" w:lineRule="exact"/>
              <w:ind w:left="0" w:left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以上所有检测内容按照《城市桥梁养护技术标准》（CJJ99-2017）、《城市桥梁检测与评定技术规范》（CJJT/233-2015)、《江苏省水闸安全鉴定管理办法》（苏水规〔2020〕3号）、《水闸安全评价导则》（SL214-2015）等其他相关桥梁和水利工程规范要求。</w:t>
            </w:r>
          </w:p>
        </w:tc>
      </w:tr>
    </w:tbl>
    <w:p w14:paraId="7C765BC3">
      <w:pPr>
        <w:keepNext w:val="0"/>
        <w:keepLines w:val="0"/>
        <w:pageBreakBefore w:val="0"/>
        <w:wordWrap/>
        <w:bidi w:val="0"/>
        <w:snapToGrid w:val="0"/>
        <w:spacing w:beforeAutospacing="0" w:afterAutospacing="0" w:line="440" w:lineRule="exact"/>
        <w:ind w:left="0" w:leftChars="0" w:right="0" w:rightChars="0" w:firstLine="720" w:firstLineChars="300"/>
        <w:outlineLvl w:val="1"/>
        <w:rPr>
          <w:b/>
          <w:color w:val="auto"/>
          <w:sz w:val="24"/>
          <w:highlight w:val="none"/>
        </w:rPr>
      </w:pPr>
      <w:r>
        <w:rPr>
          <w:rFonts w:hint="eastAsia"/>
          <w:b/>
          <w:color w:val="auto"/>
          <w:sz w:val="24"/>
          <w:highlight w:val="none"/>
          <w:lang w:val="en-US" w:eastAsia="zh-CN"/>
        </w:rPr>
        <w:t>四</w:t>
      </w:r>
      <w:r>
        <w:rPr>
          <w:b/>
          <w:color w:val="auto"/>
          <w:sz w:val="24"/>
          <w:highlight w:val="none"/>
        </w:rPr>
        <w:t>、</w:t>
      </w:r>
      <w:r>
        <w:rPr>
          <w:rFonts w:hint="eastAsia"/>
          <w:b/>
          <w:color w:val="auto"/>
          <w:sz w:val="24"/>
          <w:highlight w:val="none"/>
          <w:lang w:val="en-US" w:eastAsia="zh-CN"/>
        </w:rPr>
        <w:t>检测</w:t>
      </w:r>
      <w:r>
        <w:rPr>
          <w:b/>
          <w:color w:val="auto"/>
          <w:sz w:val="24"/>
          <w:highlight w:val="none"/>
        </w:rPr>
        <w:t>要求</w:t>
      </w:r>
    </w:p>
    <w:p w14:paraId="5960AF27">
      <w:pPr>
        <w:keepNext w:val="0"/>
        <w:keepLines w:val="0"/>
        <w:pageBreakBefore w:val="0"/>
        <w:wordWrap/>
        <w:bidi w:val="0"/>
        <w:snapToGrid w:val="0"/>
        <w:spacing w:beforeAutospacing="0" w:afterAutospacing="0" w:line="440" w:lineRule="exact"/>
        <w:ind w:left="0" w:leftChars="0" w:right="0" w:rightChars="0" w:firstLine="564" w:firstLineChars="235"/>
        <w:rPr>
          <w:rFonts w:hint="default"/>
          <w:bCs/>
          <w:color w:val="auto"/>
          <w:kern w:val="0"/>
          <w:sz w:val="24"/>
          <w:highlight w:val="none"/>
          <w:lang w:val="en-US"/>
        </w:rPr>
      </w:pPr>
      <w:r>
        <w:rPr>
          <w:bCs/>
          <w:color w:val="auto"/>
          <w:kern w:val="0"/>
          <w:sz w:val="24"/>
          <w:highlight w:val="none"/>
        </w:rPr>
        <w:t>1、中标人须</w:t>
      </w:r>
      <w:r>
        <w:rPr>
          <w:rFonts w:hint="eastAsia"/>
          <w:bCs/>
          <w:color w:val="auto"/>
          <w:kern w:val="0"/>
          <w:sz w:val="24"/>
          <w:highlight w:val="none"/>
          <w:lang w:val="en-US" w:eastAsia="zh-CN"/>
        </w:rPr>
        <w:t>同时具有或</w:t>
      </w:r>
      <w:r>
        <w:rPr>
          <w:bCs/>
          <w:color w:val="auto"/>
          <w:kern w:val="0"/>
          <w:sz w:val="24"/>
          <w:highlight w:val="none"/>
        </w:rPr>
        <w:t>委托</w:t>
      </w:r>
      <w:r>
        <w:rPr>
          <w:rFonts w:hint="eastAsia"/>
          <w:bCs/>
          <w:color w:val="auto"/>
          <w:kern w:val="0"/>
          <w:sz w:val="24"/>
          <w:highlight w:val="none"/>
          <w:lang w:val="en-US" w:eastAsia="zh-CN"/>
        </w:rPr>
        <w:t>①同时</w:t>
      </w:r>
      <w:r>
        <w:rPr>
          <w:bCs/>
          <w:color w:val="auto"/>
          <w:kern w:val="0"/>
          <w:sz w:val="24"/>
          <w:highlight w:val="none"/>
        </w:rPr>
        <w:t>具有岩土工程</w:t>
      </w:r>
      <w:r>
        <w:rPr>
          <w:rFonts w:hint="eastAsia"/>
          <w:bCs/>
          <w:color w:val="auto"/>
          <w:kern w:val="0"/>
          <w:sz w:val="24"/>
          <w:highlight w:val="none"/>
          <w:lang w:eastAsia="zh-CN"/>
        </w:rPr>
        <w:t>、</w:t>
      </w:r>
      <w:r>
        <w:rPr>
          <w:bCs/>
          <w:color w:val="auto"/>
          <w:kern w:val="0"/>
          <w:sz w:val="24"/>
          <w:highlight w:val="none"/>
        </w:rPr>
        <w:t>混凝土工程</w:t>
      </w:r>
      <w:r>
        <w:rPr>
          <w:rFonts w:hint="eastAsia"/>
          <w:bCs/>
          <w:color w:val="auto"/>
          <w:kern w:val="0"/>
          <w:sz w:val="24"/>
          <w:highlight w:val="none"/>
          <w:lang w:val="en-US" w:eastAsia="zh-CN"/>
        </w:rPr>
        <w:t>和</w:t>
      </w:r>
      <w:r>
        <w:rPr>
          <w:bCs/>
          <w:color w:val="auto"/>
          <w:kern w:val="0"/>
          <w:sz w:val="24"/>
          <w:highlight w:val="none"/>
        </w:rPr>
        <w:t>量测</w:t>
      </w:r>
      <w:r>
        <w:rPr>
          <w:rFonts w:hint="eastAsia"/>
          <w:bCs/>
          <w:color w:val="auto"/>
          <w:kern w:val="0"/>
          <w:sz w:val="24"/>
          <w:highlight w:val="none"/>
          <w:lang w:val="en-US" w:eastAsia="zh-CN"/>
        </w:rPr>
        <w:t>3</w:t>
      </w:r>
      <w:r>
        <w:rPr>
          <w:bCs/>
          <w:color w:val="auto"/>
          <w:kern w:val="0"/>
          <w:sz w:val="24"/>
          <w:highlight w:val="none"/>
        </w:rPr>
        <w:t>个类别水利工程质量检测资质证书以及质量技术监督部门发放的资质认定计量认证证书的专业单位进行安全检测</w:t>
      </w:r>
      <w:r>
        <w:rPr>
          <w:rFonts w:hint="eastAsia"/>
          <w:bCs/>
          <w:color w:val="auto"/>
          <w:kern w:val="0"/>
          <w:sz w:val="24"/>
          <w:highlight w:val="none"/>
          <w:lang w:eastAsia="zh-CN"/>
        </w:rPr>
        <w:t>；</w:t>
      </w:r>
      <w:r>
        <w:rPr>
          <w:rFonts w:hint="eastAsia"/>
          <w:bCs/>
          <w:color w:val="auto"/>
          <w:kern w:val="0"/>
          <w:sz w:val="24"/>
          <w:highlight w:val="none"/>
          <w:lang w:val="en-US" w:eastAsia="zh-CN"/>
        </w:rPr>
        <w:t>②建设主管部门颁发的建设工程质量检测机构资质证书或具有交通运输部颁发的公路工程试验检测资质或公路工程桥梁隧道工程专项检测资质；③水下检查需委托中国潜水打捞行业协会颁发的潜水作业安全证书以及潜水作业相应潜水服务能力与信用评估等级证书单位进行安全检测。</w:t>
      </w:r>
    </w:p>
    <w:p w14:paraId="3A474EEF">
      <w:pPr>
        <w:keepNext w:val="0"/>
        <w:keepLines w:val="0"/>
        <w:pageBreakBefore w:val="0"/>
        <w:wordWrap/>
        <w:bidi w:val="0"/>
        <w:snapToGrid w:val="0"/>
        <w:spacing w:beforeAutospacing="0" w:afterAutospacing="0" w:line="440" w:lineRule="exact"/>
        <w:ind w:left="0" w:leftChars="0" w:right="0" w:rightChars="0" w:firstLine="480" w:firstLineChars="200"/>
        <w:outlineLvl w:val="1"/>
        <w:rPr>
          <w:b/>
          <w:color w:val="auto"/>
          <w:sz w:val="24"/>
          <w:highlight w:val="none"/>
        </w:rPr>
      </w:pPr>
      <w:r>
        <w:rPr>
          <w:rFonts w:hint="eastAsia"/>
          <w:b/>
          <w:color w:val="auto"/>
          <w:sz w:val="24"/>
          <w:highlight w:val="none"/>
          <w:lang w:val="en-US" w:eastAsia="zh-CN"/>
        </w:rPr>
        <w:t>四、</w:t>
      </w:r>
      <w:r>
        <w:rPr>
          <w:b/>
          <w:color w:val="auto"/>
          <w:sz w:val="24"/>
          <w:highlight w:val="none"/>
        </w:rPr>
        <w:t>成果提交</w:t>
      </w:r>
    </w:p>
    <w:tbl>
      <w:tblPr>
        <w:tblStyle w:val="66"/>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4423"/>
        <w:gridCol w:w="2923"/>
      </w:tblGrid>
      <w:tr w14:paraId="1FC4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tcPr>
          <w:p w14:paraId="0E88CF99">
            <w:pPr>
              <w:pStyle w:val="64"/>
              <w:keepNext w:val="0"/>
              <w:keepLines w:val="0"/>
              <w:pageBreakBefore w:val="0"/>
              <w:bidi w:val="0"/>
              <w:spacing w:after="0" w:line="440" w:lineRule="exact"/>
              <w:ind w:left="0" w:leftChars="0" w:firstLine="0" w:firstLineChars="0"/>
              <w:jc w:val="center"/>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序号</w:t>
            </w:r>
          </w:p>
        </w:tc>
        <w:tc>
          <w:tcPr>
            <w:tcW w:w="4423" w:type="dxa"/>
          </w:tcPr>
          <w:p w14:paraId="1271F991">
            <w:pPr>
              <w:pStyle w:val="64"/>
              <w:keepNext w:val="0"/>
              <w:keepLines w:val="0"/>
              <w:pageBreakBefore w:val="0"/>
              <w:bidi w:val="0"/>
              <w:spacing w:after="0" w:line="440" w:lineRule="exact"/>
              <w:ind w:left="0" w:leftChars="0" w:firstLine="0" w:firstLineChars="0"/>
              <w:jc w:val="center"/>
              <w:rPr>
                <w:rFonts w:hint="default"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项目</w:t>
            </w:r>
          </w:p>
        </w:tc>
        <w:tc>
          <w:tcPr>
            <w:tcW w:w="2923" w:type="dxa"/>
          </w:tcPr>
          <w:p w14:paraId="07AC4652">
            <w:pPr>
              <w:pStyle w:val="64"/>
              <w:keepNext w:val="0"/>
              <w:keepLines w:val="0"/>
              <w:pageBreakBefore w:val="0"/>
              <w:bidi w:val="0"/>
              <w:spacing w:after="0" w:line="440" w:lineRule="exact"/>
              <w:ind w:left="0" w:leftChars="0" w:firstLine="0" w:firstLineChars="0"/>
              <w:jc w:val="center"/>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项</w:t>
            </w:r>
          </w:p>
        </w:tc>
      </w:tr>
      <w:tr w14:paraId="2CE0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tcPr>
          <w:p w14:paraId="1980790D">
            <w:pPr>
              <w:pStyle w:val="64"/>
              <w:keepNext w:val="0"/>
              <w:keepLines w:val="0"/>
              <w:pageBreakBefore w:val="0"/>
              <w:bidi w:val="0"/>
              <w:spacing w:after="0" w:line="440" w:lineRule="exact"/>
              <w:ind w:left="0" w:leftChars="0" w:firstLine="0" w:firstLineChars="0"/>
              <w:jc w:val="center"/>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1</w:t>
            </w:r>
          </w:p>
        </w:tc>
        <w:tc>
          <w:tcPr>
            <w:tcW w:w="4423" w:type="dxa"/>
          </w:tcPr>
          <w:p w14:paraId="5C651484">
            <w:pPr>
              <w:keepNext w:val="0"/>
              <w:keepLines w:val="0"/>
              <w:pageBreakBefore w:val="0"/>
              <w:widowControl/>
              <w:suppressLineNumbers w:val="0"/>
              <w:bidi w:val="0"/>
              <w:spacing w:line="440" w:lineRule="exact"/>
              <w:ind w:left="0" w:leftChars="0"/>
              <w:jc w:val="center"/>
              <w:rPr>
                <w:rFonts w:ascii="Times New Roman" w:hAnsi="Times New Roman" w:eastAsia="宋体" w:cs="Times New Roman"/>
                <w:bCs/>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
              </w:rPr>
              <w:t>工程检测试验报告</w:t>
            </w:r>
          </w:p>
        </w:tc>
        <w:tc>
          <w:tcPr>
            <w:tcW w:w="2923" w:type="dxa"/>
          </w:tcPr>
          <w:p w14:paraId="14006FAB">
            <w:pPr>
              <w:pStyle w:val="64"/>
              <w:keepNext w:val="0"/>
              <w:keepLines w:val="0"/>
              <w:pageBreakBefore w:val="0"/>
              <w:bidi w:val="0"/>
              <w:spacing w:after="0" w:line="440" w:lineRule="exact"/>
              <w:ind w:left="0" w:leftChars="0" w:firstLine="0" w:firstLineChars="0"/>
              <w:jc w:val="center"/>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1</w:t>
            </w:r>
          </w:p>
        </w:tc>
      </w:tr>
      <w:tr w14:paraId="1078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tcPr>
          <w:p w14:paraId="41475C58">
            <w:pPr>
              <w:pStyle w:val="64"/>
              <w:keepNext w:val="0"/>
              <w:keepLines w:val="0"/>
              <w:pageBreakBefore w:val="0"/>
              <w:bidi w:val="0"/>
              <w:spacing w:after="0" w:line="440" w:lineRule="exact"/>
              <w:ind w:left="0" w:leftChars="0" w:firstLine="0" w:firstLineChars="0"/>
              <w:jc w:val="center"/>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2</w:t>
            </w:r>
          </w:p>
        </w:tc>
        <w:tc>
          <w:tcPr>
            <w:tcW w:w="4423" w:type="dxa"/>
          </w:tcPr>
          <w:p w14:paraId="5A97C544">
            <w:pPr>
              <w:keepNext w:val="0"/>
              <w:keepLines w:val="0"/>
              <w:pageBreakBefore w:val="0"/>
              <w:widowControl/>
              <w:suppressLineNumbers w:val="0"/>
              <w:bidi w:val="0"/>
              <w:spacing w:line="440" w:lineRule="exact"/>
              <w:ind w:left="0" w:leftChars="0"/>
              <w:jc w:val="center"/>
              <w:rPr>
                <w:rFonts w:ascii="Times New Roman" w:hAnsi="Times New Roman" w:eastAsia="宋体" w:cs="Times New Roman"/>
                <w:bCs/>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
              </w:rPr>
              <w:t>水下检查报告</w:t>
            </w:r>
          </w:p>
        </w:tc>
        <w:tc>
          <w:tcPr>
            <w:tcW w:w="2923" w:type="dxa"/>
          </w:tcPr>
          <w:p w14:paraId="0176B0D8">
            <w:pPr>
              <w:keepNext w:val="0"/>
              <w:keepLines w:val="0"/>
              <w:pageBreakBefore w:val="0"/>
              <w:bidi w:val="0"/>
              <w:spacing w:line="440" w:lineRule="exact"/>
              <w:ind w:left="0" w:leftChars="0"/>
              <w:jc w:val="center"/>
              <w:rPr>
                <w:rFonts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1</w:t>
            </w:r>
          </w:p>
        </w:tc>
      </w:tr>
      <w:tr w14:paraId="6D9B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tcPr>
          <w:p w14:paraId="3AFD4557">
            <w:pPr>
              <w:pStyle w:val="64"/>
              <w:keepNext w:val="0"/>
              <w:keepLines w:val="0"/>
              <w:pageBreakBefore w:val="0"/>
              <w:bidi w:val="0"/>
              <w:spacing w:after="0" w:line="440" w:lineRule="exact"/>
              <w:ind w:left="0" w:leftChars="0" w:firstLine="0" w:firstLineChars="0"/>
              <w:jc w:val="center"/>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3</w:t>
            </w:r>
          </w:p>
        </w:tc>
        <w:tc>
          <w:tcPr>
            <w:tcW w:w="4423" w:type="dxa"/>
          </w:tcPr>
          <w:p w14:paraId="5C7E299D">
            <w:pPr>
              <w:keepNext w:val="0"/>
              <w:keepLines w:val="0"/>
              <w:pageBreakBefore w:val="0"/>
              <w:widowControl/>
              <w:suppressLineNumbers w:val="0"/>
              <w:bidi w:val="0"/>
              <w:spacing w:line="440" w:lineRule="exact"/>
              <w:ind w:left="0" w:leftChars="0"/>
              <w:jc w:val="center"/>
              <w:rPr>
                <w:rFonts w:ascii="Times New Roman" w:hAnsi="Times New Roman" w:eastAsia="宋体" w:cs="Times New Roman"/>
                <w:bCs/>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
              </w:rPr>
              <w:t>结构验算报告</w:t>
            </w:r>
          </w:p>
        </w:tc>
        <w:tc>
          <w:tcPr>
            <w:tcW w:w="2923" w:type="dxa"/>
          </w:tcPr>
          <w:p w14:paraId="6874BFFC">
            <w:pPr>
              <w:keepNext w:val="0"/>
              <w:keepLines w:val="0"/>
              <w:pageBreakBefore w:val="0"/>
              <w:bidi w:val="0"/>
              <w:spacing w:line="440" w:lineRule="exact"/>
              <w:ind w:left="0" w:leftChars="0"/>
              <w:jc w:val="center"/>
              <w:rPr>
                <w:rFonts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1</w:t>
            </w:r>
          </w:p>
        </w:tc>
      </w:tr>
      <w:tr w14:paraId="3242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tcPr>
          <w:p w14:paraId="34752033">
            <w:pPr>
              <w:pStyle w:val="64"/>
              <w:keepNext w:val="0"/>
              <w:keepLines w:val="0"/>
              <w:pageBreakBefore w:val="0"/>
              <w:bidi w:val="0"/>
              <w:spacing w:after="0" w:line="440" w:lineRule="exact"/>
              <w:ind w:left="0" w:leftChars="0" w:firstLine="0" w:firstLineChars="0"/>
              <w:jc w:val="center"/>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4</w:t>
            </w:r>
          </w:p>
        </w:tc>
        <w:tc>
          <w:tcPr>
            <w:tcW w:w="4423" w:type="dxa"/>
          </w:tcPr>
          <w:p w14:paraId="79623821">
            <w:pPr>
              <w:keepNext w:val="0"/>
              <w:keepLines w:val="0"/>
              <w:pageBreakBefore w:val="0"/>
              <w:widowControl/>
              <w:suppressLineNumbers w:val="0"/>
              <w:bidi w:val="0"/>
              <w:spacing w:line="440" w:lineRule="exact"/>
              <w:ind w:left="0" w:leftChars="0"/>
              <w:jc w:val="center"/>
              <w:rPr>
                <w:rFonts w:ascii="Times New Roman" w:hAnsi="Times New Roman" w:eastAsia="宋体" w:cs="Times New Roman"/>
                <w:bCs/>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
              </w:rPr>
              <w:t>综合</w:t>
            </w:r>
            <w:r>
              <w:rPr>
                <w:rFonts w:hint="eastAsia" w:ascii="宋体" w:hAnsi="宋体" w:cs="宋体"/>
                <w:b w:val="0"/>
                <w:bCs w:val="0"/>
                <w:color w:val="auto"/>
                <w:kern w:val="0"/>
                <w:sz w:val="24"/>
                <w:szCs w:val="24"/>
                <w:highlight w:val="none"/>
                <w:lang w:val="en-US" w:eastAsia="zh-CN" w:bidi="ar"/>
              </w:rPr>
              <w:t>评估</w:t>
            </w:r>
            <w:r>
              <w:rPr>
                <w:rFonts w:hint="eastAsia" w:ascii="宋体" w:hAnsi="宋体" w:eastAsia="宋体" w:cs="宋体"/>
                <w:b w:val="0"/>
                <w:bCs w:val="0"/>
                <w:color w:val="auto"/>
                <w:kern w:val="0"/>
                <w:sz w:val="24"/>
                <w:szCs w:val="24"/>
                <w:highlight w:val="none"/>
                <w:lang w:val="en-US" w:eastAsia="zh-CN" w:bidi="ar"/>
              </w:rPr>
              <w:t>报告</w:t>
            </w:r>
          </w:p>
        </w:tc>
        <w:tc>
          <w:tcPr>
            <w:tcW w:w="2923" w:type="dxa"/>
          </w:tcPr>
          <w:p w14:paraId="18C8231A">
            <w:pPr>
              <w:keepNext w:val="0"/>
              <w:keepLines w:val="0"/>
              <w:pageBreakBefore w:val="0"/>
              <w:bidi w:val="0"/>
              <w:spacing w:line="440" w:lineRule="exact"/>
              <w:ind w:left="0" w:leftChars="0"/>
              <w:jc w:val="center"/>
              <w:rPr>
                <w:rFonts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1</w:t>
            </w:r>
          </w:p>
        </w:tc>
      </w:tr>
    </w:tbl>
    <w:p w14:paraId="24DF4EFE">
      <w:pPr>
        <w:pStyle w:val="64"/>
        <w:keepNext w:val="0"/>
        <w:keepLines w:val="0"/>
        <w:pageBreakBefore w:val="0"/>
        <w:bidi w:val="0"/>
        <w:spacing w:after="0" w:line="440" w:lineRule="exact"/>
        <w:ind w:left="0" w:lef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注：以上纸质文件各</w:t>
      </w:r>
      <w:r>
        <w:rPr>
          <w:rFonts w:hint="eastAsia" w:ascii="Times New Roman" w:eastAsia="宋体" w:cs="Times New Roman"/>
          <w:color w:val="auto"/>
          <w:kern w:val="2"/>
          <w:sz w:val="24"/>
          <w:szCs w:val="24"/>
          <w:highlight w:val="none"/>
          <w:lang w:val="en-US" w:eastAsia="zh-CN" w:bidi="ar-SA"/>
        </w:rPr>
        <w:t>4</w:t>
      </w:r>
      <w:r>
        <w:rPr>
          <w:rFonts w:hint="eastAsia" w:ascii="Times New Roman" w:hAnsi="Times New Roman" w:eastAsia="宋体" w:cs="Times New Roman"/>
          <w:color w:val="auto"/>
          <w:kern w:val="2"/>
          <w:sz w:val="24"/>
          <w:szCs w:val="24"/>
          <w:highlight w:val="none"/>
          <w:lang w:val="en-US" w:eastAsia="zh-CN" w:bidi="ar-SA"/>
        </w:rPr>
        <w:t>套和电子文件各1套。</w:t>
      </w:r>
    </w:p>
    <w:p w14:paraId="11DA2C1F">
      <w:pPr>
        <w:pStyle w:val="330"/>
        <w:keepNext w:val="0"/>
        <w:keepLines w:val="0"/>
        <w:pageBreakBefore w:val="0"/>
        <w:widowControl w:val="0"/>
        <w:tabs>
          <w:tab w:val="left" w:pos="9193"/>
          <w:tab w:val="left" w:pos="9827"/>
        </w:tabs>
        <w:kinsoku/>
        <w:wordWrap/>
        <w:overflowPunct/>
        <w:topLinePunct w:val="0"/>
        <w:autoSpaceDE w:val="0"/>
        <w:autoSpaceDN w:val="0"/>
        <w:bidi w:val="0"/>
        <w:adjustRightInd/>
        <w:snapToGrid w:val="0"/>
        <w:spacing w:before="0" w:after="0" w:line="440" w:lineRule="exact"/>
        <w:ind w:left="0" w:leftChars="0" w:firstLine="560"/>
        <w:jc w:val="both"/>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五</w:t>
      </w:r>
      <w:r>
        <w:rPr>
          <w:rFonts w:hint="eastAsia" w:ascii="宋体" w:hAnsi="宋体" w:eastAsia="宋体" w:cs="宋体"/>
          <w:b w:val="0"/>
          <w:bCs w:val="0"/>
          <w:color w:val="auto"/>
          <w:kern w:val="0"/>
          <w:sz w:val="24"/>
          <w:szCs w:val="24"/>
          <w:highlight w:val="none"/>
          <w:lang w:val="en-US" w:eastAsia="zh-CN" w:bidi="ar"/>
        </w:rPr>
        <w:t>、付款方式：合同签订后</w:t>
      </w:r>
      <w:r>
        <w:rPr>
          <w:rFonts w:hint="eastAsia" w:ascii="宋体" w:hAnsi="宋体" w:cs="宋体"/>
          <w:b w:val="0"/>
          <w:bCs w:val="0"/>
          <w:color w:val="auto"/>
          <w:kern w:val="0"/>
          <w:sz w:val="24"/>
          <w:szCs w:val="24"/>
          <w:highlight w:val="none"/>
          <w:lang w:val="en-US" w:eastAsia="zh-CN" w:bidi="ar"/>
        </w:rPr>
        <w:t>90</w:t>
      </w:r>
      <w:r>
        <w:rPr>
          <w:rFonts w:hint="eastAsia" w:ascii="宋体" w:hAnsi="宋体" w:eastAsia="宋体" w:cs="宋体"/>
          <w:b w:val="0"/>
          <w:bCs w:val="0"/>
          <w:color w:val="auto"/>
          <w:kern w:val="0"/>
          <w:sz w:val="24"/>
          <w:szCs w:val="24"/>
          <w:highlight w:val="none"/>
          <w:lang w:val="en-US" w:eastAsia="zh-CN" w:bidi="ar"/>
        </w:rPr>
        <w:t>天内提交工程检测试验报告、水下检查报告、结构验算报告以及</w:t>
      </w:r>
      <w:r>
        <w:rPr>
          <w:rFonts w:hint="eastAsia" w:ascii="宋体" w:hAnsi="宋体" w:cs="宋体"/>
          <w:b w:val="0"/>
          <w:bCs w:val="0"/>
          <w:color w:val="auto"/>
          <w:kern w:val="0"/>
          <w:sz w:val="24"/>
          <w:szCs w:val="24"/>
          <w:highlight w:val="none"/>
          <w:lang w:val="en-US" w:eastAsia="zh-CN" w:bidi="ar"/>
        </w:rPr>
        <w:t>综合评估报告</w:t>
      </w:r>
      <w:r>
        <w:rPr>
          <w:rFonts w:hint="eastAsia" w:ascii="宋体" w:hAnsi="宋体" w:eastAsia="宋体" w:cs="宋体"/>
          <w:b w:val="0"/>
          <w:bCs w:val="0"/>
          <w:color w:val="auto"/>
          <w:kern w:val="0"/>
          <w:sz w:val="24"/>
          <w:szCs w:val="24"/>
          <w:highlight w:val="none"/>
          <w:lang w:val="en-US" w:eastAsia="zh-CN" w:bidi="ar"/>
        </w:rPr>
        <w:t>，经专家</w:t>
      </w:r>
      <w:r>
        <w:rPr>
          <w:rFonts w:hint="eastAsia" w:ascii="宋体" w:hAnsi="宋体" w:cs="宋体"/>
          <w:b w:val="0"/>
          <w:bCs w:val="0"/>
          <w:color w:val="auto"/>
          <w:kern w:val="0"/>
          <w:sz w:val="24"/>
          <w:szCs w:val="24"/>
          <w:highlight w:val="none"/>
          <w:lang w:val="en-US" w:eastAsia="zh-CN" w:bidi="ar"/>
        </w:rPr>
        <w:t>审查</w:t>
      </w:r>
      <w:r>
        <w:rPr>
          <w:rFonts w:hint="eastAsia" w:ascii="宋体" w:hAnsi="宋体" w:eastAsia="宋体" w:cs="宋体"/>
          <w:b w:val="0"/>
          <w:bCs w:val="0"/>
          <w:color w:val="auto"/>
          <w:kern w:val="0"/>
          <w:sz w:val="24"/>
          <w:szCs w:val="24"/>
          <w:highlight w:val="none"/>
          <w:lang w:val="en-US" w:eastAsia="zh-CN" w:bidi="ar"/>
        </w:rPr>
        <w:t>，并修改完善提交最终稿后，一次性付清全部费用。</w:t>
      </w:r>
    </w:p>
    <w:p w14:paraId="2003F79B">
      <w:pPr>
        <w:keepNext w:val="0"/>
        <w:keepLines w:val="0"/>
        <w:pageBreakBefore w:val="0"/>
        <w:bidi w:val="0"/>
        <w:spacing w:beforeAutospacing="0" w:afterAutospacing="0" w:line="440" w:lineRule="exact"/>
        <w:ind w:left="0" w:leftChars="0" w:right="0" w:rightChars="0" w:firstLine="552" w:firstLineChars="200"/>
        <w:rPr>
          <w:rStyle w:val="124"/>
          <w:rFonts w:hint="default"/>
          <w:bCs/>
          <w:color w:val="auto"/>
          <w:sz w:val="28"/>
          <w:szCs w:val="28"/>
          <w:highlight w:val="none"/>
        </w:rPr>
      </w:pPr>
      <w:r>
        <w:rPr>
          <w:rStyle w:val="124"/>
          <w:rFonts w:hint="default"/>
          <w:bCs/>
          <w:color w:val="auto"/>
          <w:sz w:val="28"/>
          <w:szCs w:val="28"/>
          <w:highlight w:val="none"/>
        </w:rPr>
        <w:br w:type="page"/>
      </w:r>
    </w:p>
    <w:p w14:paraId="0067F551">
      <w:pPr>
        <w:pStyle w:val="63"/>
        <w:keepNext w:val="0"/>
        <w:keepLines w:val="0"/>
        <w:pageBreakBefore w:val="0"/>
        <w:bidi w:val="0"/>
        <w:spacing w:beforeAutospacing="0" w:after="0" w:afterLines="0" w:afterAutospacing="0" w:line="440" w:lineRule="exact"/>
        <w:ind w:left="0" w:leftChars="0" w:right="0" w:rightChars="0"/>
        <w:rPr>
          <w:rStyle w:val="124"/>
          <w:rFonts w:hint="default"/>
          <w:color w:val="auto"/>
          <w:sz w:val="28"/>
          <w:szCs w:val="28"/>
          <w:highlight w:val="none"/>
        </w:rPr>
      </w:pPr>
      <w:r>
        <w:rPr>
          <w:rStyle w:val="124"/>
          <w:rFonts w:hint="default"/>
          <w:color w:val="auto"/>
          <w:sz w:val="28"/>
          <w:szCs w:val="28"/>
          <w:highlight w:val="none"/>
        </w:rPr>
        <w:t>第四章  评审方法和程序</w:t>
      </w:r>
    </w:p>
    <w:p w14:paraId="030E8884">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bookmarkStart w:id="14" w:name="OLE_LINK61"/>
      <w:bookmarkStart w:id="15" w:name="OLE_LINK65"/>
      <w:r>
        <w:rPr>
          <w:rFonts w:ascii="宋体" w:hAnsi="宋体"/>
          <w:b/>
          <w:color w:val="auto"/>
          <w:sz w:val="24"/>
          <w:highlight w:val="none"/>
        </w:rPr>
        <w:t>一、采购人委托代理机构组织开标</w:t>
      </w:r>
    </w:p>
    <w:p w14:paraId="0A2F5826">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ascii="宋体" w:hAnsi="宋体"/>
          <w:color w:val="auto"/>
          <w:sz w:val="24"/>
          <w:highlight w:val="none"/>
        </w:rPr>
        <w:t>1、成立评标委员会，由有关专家依法组成。</w:t>
      </w:r>
    </w:p>
    <w:p w14:paraId="7B441197">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ascii="宋体" w:hAnsi="宋体"/>
          <w:color w:val="auto"/>
          <w:sz w:val="24"/>
          <w:highlight w:val="none"/>
        </w:rPr>
        <w:t>2、投标人的法定代表人或被授权人须持身份证准时参加投标会。</w:t>
      </w:r>
    </w:p>
    <w:p w14:paraId="3E8FBB19">
      <w:pPr>
        <w:keepNext w:val="0"/>
        <w:keepLines w:val="0"/>
        <w:pageBreakBefore w:val="0"/>
        <w:bidi w:val="0"/>
        <w:spacing w:beforeAutospacing="0" w:afterAutospacing="0" w:line="440" w:lineRule="exact"/>
        <w:ind w:left="0" w:leftChars="0" w:right="0" w:rightChars="0" w:firstLine="480" w:firstLineChars="200"/>
        <w:rPr>
          <w:rFonts w:ascii="宋体" w:hAnsi="宋体" w:cs="宋体"/>
          <w:b/>
          <w:color w:val="auto"/>
          <w:sz w:val="24"/>
          <w:highlight w:val="none"/>
        </w:rPr>
      </w:pPr>
      <w:r>
        <w:rPr>
          <w:rFonts w:hint="eastAsia" w:ascii="宋体" w:hAnsi="宋体" w:cs="宋体"/>
          <w:b/>
          <w:color w:val="auto"/>
          <w:sz w:val="24"/>
          <w:highlight w:val="none"/>
        </w:rPr>
        <w:t>投标人递交投标文件时，投标人的法定代表人（或其授权代理人）必须携带本人身份证原件、法定代表人身份证明（或授权委托书）原件准时参加开标会议。否则，其投标文件不予受理。</w:t>
      </w:r>
    </w:p>
    <w:p w14:paraId="718172A0">
      <w:pPr>
        <w:keepNext w:val="0"/>
        <w:keepLines w:val="0"/>
        <w:pageBreakBefore w:val="0"/>
        <w:autoSpaceDE w:val="0"/>
        <w:autoSpaceDN w:val="0"/>
        <w:bidi w:val="0"/>
        <w:adjustRightInd w:val="0"/>
        <w:spacing w:beforeAutospacing="0" w:afterAutospacing="0" w:line="440" w:lineRule="exact"/>
        <w:ind w:left="0" w:leftChars="0" w:right="0" w:rightChars="0" w:firstLine="480" w:firstLineChars="200"/>
        <w:rPr>
          <w:rFonts w:ascii="宋体" w:hAnsi="宋体" w:cs="宋体"/>
          <w:b/>
          <w:bCs/>
          <w:color w:val="auto"/>
          <w:sz w:val="24"/>
          <w:highlight w:val="none"/>
        </w:rPr>
      </w:pPr>
      <w:r>
        <w:rPr>
          <w:rFonts w:hint="eastAsia" w:ascii="宋体" w:hAnsi="宋体" w:cs="宋体"/>
          <w:b/>
          <w:color w:val="auto"/>
          <w:sz w:val="24"/>
          <w:highlight w:val="none"/>
        </w:rPr>
        <w:t>注：法定代表人身份证明（或授权委托书）</w:t>
      </w:r>
      <w:r>
        <w:rPr>
          <w:rFonts w:hint="eastAsia" w:ascii="宋体" w:hAnsi="宋体" w:cs="宋体"/>
          <w:b/>
          <w:bCs/>
          <w:color w:val="auto"/>
          <w:sz w:val="24"/>
          <w:highlight w:val="none"/>
        </w:rPr>
        <w:t>不仅需要装订在投标文件中，还需要一份</w:t>
      </w:r>
      <w:r>
        <w:rPr>
          <w:rFonts w:hint="eastAsia" w:ascii="宋体" w:hAnsi="宋体" w:cs="宋体"/>
          <w:b/>
          <w:color w:val="auto"/>
          <w:sz w:val="24"/>
          <w:highlight w:val="none"/>
        </w:rPr>
        <w:t>原件</w:t>
      </w:r>
      <w:r>
        <w:rPr>
          <w:rFonts w:hint="eastAsia" w:ascii="宋体" w:hAnsi="宋体" w:cs="宋体"/>
          <w:b/>
          <w:bCs/>
          <w:color w:val="auto"/>
          <w:sz w:val="24"/>
          <w:highlight w:val="none"/>
        </w:rPr>
        <w:t>由法定代表人（或其授权代理人）在投标时随身携带，供递交投标文件时核验。</w:t>
      </w:r>
    </w:p>
    <w:p w14:paraId="5F0D45B3">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hint="eastAsia" w:ascii="宋体" w:hAnsi="宋体"/>
          <w:b/>
          <w:color w:val="auto"/>
          <w:sz w:val="24"/>
          <w:highlight w:val="none"/>
        </w:rPr>
        <w:t>二、开标</w:t>
      </w:r>
    </w:p>
    <w:p w14:paraId="7072CA7F">
      <w:pPr>
        <w:keepNext w:val="0"/>
        <w:keepLines w:val="0"/>
        <w:pageBreakBefore w:val="0"/>
        <w:bidi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、采购代理机构主持开标并记录，及时处理投标人代表提出的询问或者回避申请。</w:t>
      </w:r>
    </w:p>
    <w:p w14:paraId="2C7D5BF9">
      <w:pPr>
        <w:keepNext w:val="0"/>
        <w:keepLines w:val="0"/>
        <w:pageBreakBefore w:val="0"/>
        <w:bidi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 投标人不足</w:t>
      </w:r>
      <w:r>
        <w:rPr>
          <w:rFonts w:ascii="宋体" w:hAnsi="宋体"/>
          <w:color w:val="auto"/>
          <w:sz w:val="24"/>
          <w:highlight w:val="none"/>
        </w:rPr>
        <w:t>3</w:t>
      </w:r>
      <w:r>
        <w:rPr>
          <w:rFonts w:hint="eastAsia" w:ascii="宋体" w:hAnsi="宋体"/>
          <w:color w:val="auto"/>
          <w:sz w:val="24"/>
          <w:highlight w:val="none"/>
        </w:rPr>
        <w:t>家的不得开标，相应处理方式见本招标文件第四章第十一条的规定。</w:t>
      </w:r>
    </w:p>
    <w:p w14:paraId="5601716C">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hint="eastAsia" w:ascii="宋体" w:hAnsi="宋体"/>
          <w:b/>
          <w:color w:val="auto"/>
          <w:sz w:val="24"/>
          <w:highlight w:val="none"/>
        </w:rPr>
        <w:t>三、资格审查</w:t>
      </w:r>
    </w:p>
    <w:p w14:paraId="198DC7E6">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、开标后，采购人及其委托的采购代理机构依据中华人民共和国财政部令第87号《政府采购货物和服务招标投标管理办法》文件第四十四条的规定，根据招标文件载明的资格审查要求，对投标人的资格进行审查。</w:t>
      </w:r>
    </w:p>
    <w:p w14:paraId="52E04823">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2、资格审查合格的投标人进入评标。</w:t>
      </w:r>
    </w:p>
    <w:p w14:paraId="60223A0C">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3、合格投标人不足3家的，不得评标，相应处理方式见本招标文件第四部分第十一条的规定。</w:t>
      </w:r>
    </w:p>
    <w:p w14:paraId="3C64EBDD">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hint="eastAsia" w:ascii="宋体" w:hAnsi="宋体"/>
          <w:b/>
          <w:color w:val="auto"/>
          <w:sz w:val="24"/>
          <w:highlight w:val="none"/>
        </w:rPr>
        <w:t>四、评标</w:t>
      </w:r>
    </w:p>
    <w:p w14:paraId="017E78CA">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b/>
          <w:color w:val="auto"/>
          <w:sz w:val="24"/>
          <w:highlight w:val="none"/>
        </w:rPr>
      </w:pPr>
      <w:r>
        <w:rPr>
          <w:rFonts w:hint="eastAsia" w:ascii="宋体" w:hAnsi="宋体"/>
          <w:color w:val="auto"/>
          <w:sz w:val="24"/>
          <w:highlight w:val="none"/>
        </w:rPr>
        <w:t>1、评标时间：</w:t>
      </w:r>
      <w:r>
        <w:rPr>
          <w:rFonts w:hint="eastAsia" w:ascii="宋体" w:hAnsi="宋体"/>
          <w:b/>
          <w:color w:val="auto"/>
          <w:sz w:val="24"/>
          <w:highlight w:val="none"/>
        </w:rPr>
        <w:t>开标后。</w:t>
      </w:r>
    </w:p>
    <w:p w14:paraId="502FF2A3">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2、采购代理机构负责组织评标工作，并履行下列职责：</w:t>
      </w:r>
    </w:p>
    <w:p w14:paraId="29168DC5">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（1）核对评审专家身份，对评审专家在政府采购活动中的职责履行情况予以记录，并及时将有关违法违规行为向财政部门报告。</w:t>
      </w:r>
    </w:p>
    <w:p w14:paraId="1A33E993">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（2）宣布评标纪律。</w:t>
      </w:r>
    </w:p>
    <w:p w14:paraId="2C573958">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（3）公布投标人名单，告知评审专家应当回避的情形。</w:t>
      </w:r>
    </w:p>
    <w:p w14:paraId="06B4C917">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（4）组织评标委员会推选评标组长，采购人代表不得担任组长。</w:t>
      </w:r>
    </w:p>
    <w:p w14:paraId="22C870A8">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（5）在评标期间采取必要的通讯管理措施，保证评标活动不受外界干扰；除采购人代表、评标现场组织人员外，采购人的其他工作人员以及与评标工作无关的人员不得进入评标现场。</w:t>
      </w:r>
    </w:p>
    <w:p w14:paraId="14D48D1C">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（6）根据评标委员会的要求介绍政府采购相关政策法规、招标文件。</w:t>
      </w:r>
    </w:p>
    <w:p w14:paraId="26E3C4D0">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04FCE710">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（8）核对评标结果，有下列规定情形的，要求评标委员会复核或者书面说明理由，评标委员会拒绝的，则予以书面记录并向本级财政部门报告：</w:t>
      </w:r>
    </w:p>
    <w:p w14:paraId="3E204CAE">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① 分值汇总计算错误的；</w:t>
      </w:r>
    </w:p>
    <w:p w14:paraId="0E183008">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② 分项评分超出评分标准范围的；</w:t>
      </w:r>
    </w:p>
    <w:p w14:paraId="3E6908C9">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③ 评标委员会成员对客观评审因素评分不一致的；</w:t>
      </w:r>
    </w:p>
    <w:p w14:paraId="350DE58C">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④ 经评标委员会认定评分畸高、畸低的。</w:t>
      </w:r>
    </w:p>
    <w:p w14:paraId="360B656C">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（9）评审工作完成后，按照规定向评审专家支付劳务报酬和异地评审差旅费，不得向评审专家以外的其他人员支付评审劳务报酬；</w:t>
      </w:r>
    </w:p>
    <w:p w14:paraId="213A1D1A">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（10）处理与评标有关的其他事项。</w:t>
      </w:r>
    </w:p>
    <w:p w14:paraId="41688A9D">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3、评标委员会负责具体评标事务：</w:t>
      </w:r>
    </w:p>
    <w:p w14:paraId="50A880A7">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1）独立履行审查、评价合格投标人的投标文件是否符合招标文件的实质性要求并进行比较和评价；按照招标文件中规定的评标方法和标准，对投标文件进行评审，综合比较与评价并依据招标文件载明的评标方法直接确定中标人。</w:t>
      </w:r>
    </w:p>
    <w:p w14:paraId="29816C8E">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72CA6E30">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F69ED02">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4、评标委员会成员独立履行以下职责与义务：</w:t>
      </w:r>
    </w:p>
    <w:p w14:paraId="447B8012">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（1）遵纪守法，客观、公正、廉洁地履行职责；</w:t>
      </w:r>
    </w:p>
    <w:p w14:paraId="56C5BBAE">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（2）审查合格投标人的投标文件是否实质性响应招标文件要求，并做出评价；</w:t>
      </w:r>
    </w:p>
    <w:p w14:paraId="25B2F9FD">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（3）按照招标文件规定的评标办法和评标标准进行评标，对评审意见承担个人责任；</w:t>
      </w:r>
    </w:p>
    <w:p w14:paraId="2A419BA0">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（4）可以要求投标人对投标文件有关事项作出解释或澄清；</w:t>
      </w:r>
    </w:p>
    <w:p w14:paraId="3DEC91C8">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（5）对评标过程和结果，以及投标人的商业秘密保密；</w:t>
      </w:r>
    </w:p>
    <w:p w14:paraId="4B76C856">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（6）配合相关部门的投诉处理工作；</w:t>
      </w:r>
    </w:p>
    <w:p w14:paraId="04CB0EAC">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（7）配合采购人或采购代理机构答复投标人提出的质疑。</w:t>
      </w:r>
    </w:p>
    <w:p w14:paraId="64988411">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5、除采购人代表、评标现场组织人员外，采购人的其他工作人员以及与评标工作无关的人员不得进入评标现场；有关人员对评标情况以及在评标过程中获悉的国家秘密、商业秘密负有保密责任。</w:t>
      </w:r>
    </w:p>
    <w:p w14:paraId="7675A906">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6、开标后直到公告项目成交结果发出中标通知书并授予中标人合同为止，凡属于评审、澄清、评价和比较投标的所有资料及有关授予合同等的相关信息，都不应向投标人或与评标无关的其他人泄露。</w:t>
      </w:r>
    </w:p>
    <w:p w14:paraId="1DB048E8">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7、评审期间，合格投标人的投标文件仍有可能被评标委员会根据规定判为无效投标。</w:t>
      </w:r>
    </w:p>
    <w:p w14:paraId="49F426A5">
      <w:pPr>
        <w:keepNext w:val="0"/>
        <w:keepLines w:val="0"/>
        <w:pageBreakBefore w:val="0"/>
        <w:bidi w:val="0"/>
        <w:adjustRightInd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8、在投标文件的评审、澄清、评价和比较以及授予合同的过程中，投标人对采购人和评标委员会成员有施加影响的任何行为，都将取消其可能的中标资格。</w:t>
      </w:r>
    </w:p>
    <w:p w14:paraId="4A61DDD4">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hint="eastAsia" w:ascii="宋体" w:hAnsi="宋体"/>
          <w:b/>
          <w:color w:val="auto"/>
          <w:sz w:val="24"/>
          <w:highlight w:val="none"/>
        </w:rPr>
        <w:t>五、评审原则</w:t>
      </w:r>
    </w:p>
    <w:p w14:paraId="7F593A6F">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olor w:val="auto"/>
          <w:sz w:val="24"/>
          <w:highlight w:val="none"/>
        </w:rPr>
        <w:t>1、</w:t>
      </w:r>
      <w:r>
        <w:rPr>
          <w:rFonts w:hint="eastAsia" w:ascii="宋体" w:hAnsi="宋体" w:cs="宋体"/>
          <w:color w:val="auto"/>
          <w:sz w:val="24"/>
          <w:highlight w:val="none"/>
        </w:rPr>
        <w:t>本项目采用</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综合评分法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，即指投标文件满足本项目招标文件全部实质性要求，且按照评审因素的量化指标，经评审后总得分最高的投标人推荐为中标人的评标方法。</w:t>
      </w:r>
    </w:p>
    <w:p w14:paraId="71093E9F">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6F183A11">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3、评标委员会严格按照招标文件规定的要求、条件、评分标准，对投标人所提供的完整计划标的物的科学性、可行性、产品质量、服务质量的保证及承诺等实质性响应内容进行比较评价。</w:t>
      </w:r>
    </w:p>
    <w:p w14:paraId="249B9AA3">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s="宋体"/>
          <w:color w:val="auto"/>
          <w:sz w:val="24"/>
          <w:highlight w:val="none"/>
        </w:rPr>
        <w:t>4、对投标文件的评审判定，只依据投标文件内容本身，不依靠开标后任何外来证明文件。</w:t>
      </w:r>
    </w:p>
    <w:p w14:paraId="26EBE886">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hint="eastAsia" w:ascii="宋体" w:hAnsi="宋体"/>
          <w:b/>
          <w:color w:val="auto"/>
          <w:sz w:val="24"/>
          <w:highlight w:val="none"/>
        </w:rPr>
        <w:t>六、评审方法</w:t>
      </w:r>
    </w:p>
    <w:p w14:paraId="28D21C5D">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评标程序：</w:t>
      </w:r>
    </w:p>
    <w:p w14:paraId="6EFB0A1A">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资格符合性评审——商务技术标评审——价格标评审——确定中标候选人。</w:t>
      </w:r>
    </w:p>
    <w:p w14:paraId="24F35DBC">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本次资格审查采用资格后审，各投标人资格审查通过后方能进入商务技术标的开标。先开商务技术标，商务技术标打分结束后再开价格标。</w:t>
      </w:r>
    </w:p>
    <w:p w14:paraId="452CBE92">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2、评标委员会将仅对按本招标文件载明的方法与规定，为实质上响应招标文件要求的投标文件评审并进行评价和比较。</w:t>
      </w:r>
    </w:p>
    <w:p w14:paraId="0A02677F">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3、本次项目的商务技术标和价格标评审总分值为100分。两部分评审因素比重如下：</w:t>
      </w:r>
    </w:p>
    <w:p w14:paraId="4EF0110F">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商务技术标分值占总分值的比重为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7</w:t>
      </w:r>
      <w:r>
        <w:rPr>
          <w:rFonts w:ascii="宋体" w:hAnsi="宋体" w:cs="宋体"/>
          <w:b/>
          <w:bCs/>
          <w:color w:val="auto"/>
          <w:sz w:val="24"/>
          <w:highlight w:val="none"/>
          <w:u w:val="single"/>
        </w:rPr>
        <w:t>0</w:t>
      </w:r>
      <w:r>
        <w:rPr>
          <w:rFonts w:hint="eastAsia" w:ascii="宋体" w:hAnsi="宋体" w:cs="宋体"/>
          <w:b/>
          <w:bCs/>
          <w:color w:val="auto"/>
          <w:sz w:val="24"/>
          <w:highlight w:val="none"/>
          <w:u w:val="single"/>
        </w:rPr>
        <w:t xml:space="preserve">%（权重）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（计算结果均四舍五入保留两位小数）；</w:t>
      </w:r>
    </w:p>
    <w:p w14:paraId="26671E10">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s="宋体"/>
          <w:color w:val="auto"/>
          <w:sz w:val="24"/>
          <w:highlight w:val="none"/>
        </w:rPr>
        <w:t>价格标分值占总分值的比重为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3</w:t>
      </w:r>
      <w:r>
        <w:rPr>
          <w:rFonts w:ascii="宋体" w:hAnsi="宋体" w:cs="宋体"/>
          <w:b/>
          <w:bCs/>
          <w:color w:val="auto"/>
          <w:sz w:val="24"/>
          <w:highlight w:val="none"/>
          <w:u w:val="single"/>
        </w:rPr>
        <w:t>0</w:t>
      </w:r>
      <w:r>
        <w:rPr>
          <w:rFonts w:hint="eastAsia" w:ascii="宋体" w:hAnsi="宋体" w:cs="宋体"/>
          <w:b/>
          <w:bCs/>
          <w:color w:val="auto"/>
          <w:sz w:val="24"/>
          <w:highlight w:val="none"/>
          <w:u w:val="single"/>
        </w:rPr>
        <w:t>%（权重）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（计算结果均四舍五入保留两位小数）。</w:t>
      </w:r>
    </w:p>
    <w:p w14:paraId="01D72B63">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4、评标委员会严格按照招标文件的要求、条件、评分标准，对投标人所提供货物或服务的先进性、可靠性、售后服务承诺、质量保证承诺等实质性响应内容进行比较。</w:t>
      </w:r>
    </w:p>
    <w:p w14:paraId="770B4C65">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5、评标委员会构成共5人；评标委员会各成员独立对每个进入打分程序的有效投标人的投标文件的技术部分以打分的形式进行评审和评价。</w:t>
      </w:r>
    </w:p>
    <w:p w14:paraId="254FCF52">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6、商务技术标得分按算术平均值计算（计算结果均四舍五入保留两位小数）。</w:t>
      </w:r>
    </w:p>
    <w:p w14:paraId="4BC846E9">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7、开启投标人的商务报价标，现场唱标后由投标人代表签名确认。</w:t>
      </w:r>
    </w:p>
    <w:p w14:paraId="466AC1E3">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8、投标人的价格标评审得分直接计算取得，并与其商务技术标得分相加为该投标人的综合得分（计算结果均四舍五入保留两位小数）。</w:t>
      </w:r>
    </w:p>
    <w:p w14:paraId="6BF2FCAC">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9、评审后的综合得分相同的，按投标报价由低到高顺序排列；综合得分且投标报价相同的，则采取现场抽签的方式确定（投标人的抽签顺序分别为各投标人递交投标文件签到顺序号）。</w:t>
      </w:r>
    </w:p>
    <w:p w14:paraId="1D06F9F9">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10、评标结果按投标文件满足招标文件全部实质性要求，且按照评审因素的量化指标评审综合得分从高到低的顺序依次推荐3名中标候选人，出具评审报告并将结果通知所有投标人。</w:t>
      </w:r>
    </w:p>
    <w:p w14:paraId="66F1B6F2">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hint="eastAsia" w:ascii="宋体" w:hAnsi="宋体"/>
          <w:b/>
          <w:color w:val="auto"/>
          <w:sz w:val="24"/>
          <w:highlight w:val="none"/>
        </w:rPr>
        <w:t>七、关于投标价格评审</w:t>
      </w:r>
    </w:p>
    <w:p w14:paraId="1512C3CC">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1、针对投标价格实质响应的评审</w:t>
      </w:r>
    </w:p>
    <w:p w14:paraId="012542DD">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s="宋体"/>
          <w:color w:val="auto"/>
          <w:sz w:val="24"/>
          <w:highlight w:val="none"/>
        </w:rPr>
      </w:pPr>
      <w:r>
        <w:rPr>
          <w:rFonts w:hint="eastAsia" w:ascii="宋体" w:hAnsi="宋体" w:cs="宋体"/>
          <w:color w:val="auto"/>
          <w:sz w:val="24"/>
          <w:highlight w:val="none"/>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30C0EE40">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2、针对投标价格合理性的评审</w:t>
      </w:r>
    </w:p>
    <w:p w14:paraId="1A8F0B4F">
      <w:pPr>
        <w:keepNext w:val="0"/>
        <w:keepLines w:val="0"/>
        <w:pageBreakBefore w:val="0"/>
        <w:bidi w:val="0"/>
        <w:snapToGrid w:val="0"/>
        <w:spacing w:beforeAutospacing="0" w:afterAutospacing="0" w:line="440" w:lineRule="exact"/>
        <w:ind w:left="0" w:leftChars="0" w:right="0" w:rightChars="0"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2、针对投标价格合理性的评审</w:t>
      </w:r>
    </w:p>
    <w:p w14:paraId="594B4813">
      <w:pPr>
        <w:keepNext w:val="0"/>
        <w:keepLines w:val="0"/>
        <w:pageBreakBefore w:val="0"/>
        <w:bidi w:val="0"/>
        <w:snapToGrid w:val="0"/>
        <w:spacing w:beforeAutospacing="0" w:afterAutospacing="0" w:line="440" w:lineRule="exact"/>
        <w:ind w:left="0" w:leftChars="0" w:right="0" w:rightChars="0"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2.1评审过程中出现下列情形之一的，评标委员会应当启动异常低价投标（响应）审查程序：</w:t>
      </w:r>
    </w:p>
    <w:p w14:paraId="4907D057">
      <w:pPr>
        <w:keepNext w:val="0"/>
        <w:keepLines w:val="0"/>
        <w:pageBreakBefore w:val="0"/>
        <w:bidi w:val="0"/>
        <w:snapToGrid w:val="0"/>
        <w:spacing w:beforeAutospacing="0" w:afterAutospacing="0" w:line="440" w:lineRule="exact"/>
        <w:ind w:left="0" w:leftChars="0" w:right="0" w:rightChars="0"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2.1.1投标（响应）报价低于全部通过符合性审查供应商投标（响应）报价平均值50%的，即投标（响应）报价&lt;全部通过符合性审查供应商投标（响应）报价平均值×50%；</w:t>
      </w:r>
    </w:p>
    <w:p w14:paraId="51FA99EC">
      <w:pPr>
        <w:keepNext w:val="0"/>
        <w:keepLines w:val="0"/>
        <w:pageBreakBefore w:val="0"/>
        <w:bidi w:val="0"/>
        <w:snapToGrid w:val="0"/>
        <w:spacing w:beforeAutospacing="0" w:afterAutospacing="0" w:line="440" w:lineRule="exact"/>
        <w:ind w:left="0" w:leftChars="0" w:right="0" w:rightChars="0"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2.1.2投标（响应）报价低于通过符合性审查的次低报价供应商投标（响应）报价50%的，即投标（响应）报价&lt;通过符合性审查的次低报价供应商投标（响应）报价×50%；</w:t>
      </w:r>
    </w:p>
    <w:p w14:paraId="1A881D4C">
      <w:pPr>
        <w:keepNext w:val="0"/>
        <w:keepLines w:val="0"/>
        <w:pageBreakBefore w:val="0"/>
        <w:bidi w:val="0"/>
        <w:snapToGrid w:val="0"/>
        <w:spacing w:beforeAutospacing="0" w:afterAutospacing="0" w:line="440" w:lineRule="exact"/>
        <w:ind w:left="0" w:leftChars="0" w:right="0" w:rightChars="0"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2.1.3投标（响应）报价低于采购项目最高限价45%的，即投标（响应）报价&lt;采购项目最高限价×45%；</w:t>
      </w:r>
    </w:p>
    <w:p w14:paraId="1EE3471F">
      <w:pPr>
        <w:keepNext w:val="0"/>
        <w:keepLines w:val="0"/>
        <w:pageBreakBefore w:val="0"/>
        <w:bidi w:val="0"/>
        <w:snapToGrid w:val="0"/>
        <w:spacing w:beforeAutospacing="0" w:afterAutospacing="0" w:line="440" w:lineRule="exact"/>
        <w:ind w:left="0" w:leftChars="0" w:right="0" w:rightChars="0"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2.1.4评标委员会基于专业判断，认为供应商报价过低，有可能影响产品质量或者不能诚信履约的其他情形。</w:t>
      </w:r>
    </w:p>
    <w:p w14:paraId="03CEB26B">
      <w:pPr>
        <w:keepNext w:val="0"/>
        <w:keepLines w:val="0"/>
        <w:pageBreakBefore w:val="0"/>
        <w:bidi w:val="0"/>
        <w:snapToGrid w:val="0"/>
        <w:spacing w:beforeAutospacing="0" w:afterAutospacing="0" w:line="440" w:lineRule="exact"/>
        <w:ind w:left="0" w:leftChars="0" w:right="0" w:rightChars="0"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2.2启动异常低价投标（响应）审查后，属于前述第2.1.1项至第2.1.4项情形的，评标委员会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2.1.3项情形，供应商已随投标（响应）文件一并提交相关书面说明及必要的证明材料的，在评审时可不再重复提交。</w:t>
      </w:r>
    </w:p>
    <w:p w14:paraId="24CC23DF">
      <w:pPr>
        <w:keepNext w:val="0"/>
        <w:keepLines w:val="0"/>
        <w:pageBreakBefore w:val="0"/>
        <w:bidi w:val="0"/>
        <w:snapToGrid w:val="0"/>
        <w:spacing w:beforeAutospacing="0" w:afterAutospacing="0" w:line="440" w:lineRule="exact"/>
        <w:ind w:left="0" w:leftChars="0" w:right="0" w:rightChars="0"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6938841C">
      <w:pPr>
        <w:keepNext w:val="0"/>
        <w:keepLines w:val="0"/>
        <w:pageBreakBefore w:val="0"/>
        <w:bidi w:val="0"/>
        <w:snapToGrid w:val="0"/>
        <w:spacing w:beforeAutospacing="0" w:afterAutospacing="0" w:line="440" w:lineRule="exact"/>
        <w:ind w:left="0" w:leftChars="0" w:right="0" w:rightChars="0"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78802CD5">
      <w:pPr>
        <w:keepNext w:val="0"/>
        <w:keepLines w:val="0"/>
        <w:pageBreakBefore w:val="0"/>
        <w:bidi w:val="0"/>
        <w:snapToGrid w:val="0"/>
        <w:spacing w:beforeAutospacing="0" w:afterAutospacing="0" w:line="440" w:lineRule="exact"/>
        <w:ind w:left="0" w:leftChars="0" w:right="0" w:rightChars="0"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异常低价投标（响应）审查的启动原因、审查意见和审查结果应当在评审报告中记录，并随供应商提供的相关书面说明及证明材料，以及评标委员会有关互联网浏览、查询历史一并归档。</w:t>
      </w:r>
    </w:p>
    <w:p w14:paraId="67987C1A">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hint="eastAsia" w:ascii="宋体" w:hAnsi="宋体"/>
          <w:b/>
          <w:color w:val="auto"/>
          <w:sz w:val="24"/>
          <w:highlight w:val="none"/>
        </w:rPr>
        <w:t>八、评审评分项</w:t>
      </w:r>
    </w:p>
    <w:p w14:paraId="36E3098F">
      <w:pPr>
        <w:keepNext w:val="0"/>
        <w:keepLines w:val="0"/>
        <w:pageBreakBefore w:val="0"/>
        <w:bidi w:val="0"/>
        <w:spacing w:beforeAutospacing="0" w:afterAutospacing="0" w:line="440" w:lineRule="exact"/>
        <w:ind w:left="0" w:leftChars="0" w:right="0" w:rightChars="0" w:firstLine="480" w:firstLineChars="200"/>
        <w:rPr>
          <w:rFonts w:ascii="宋体" w:hAnsi="宋体"/>
          <w:b/>
          <w:bCs/>
          <w:color w:val="auto"/>
          <w:sz w:val="24"/>
          <w:highlight w:val="none"/>
        </w:rPr>
      </w:pPr>
      <w:r>
        <w:rPr>
          <w:rFonts w:hint="eastAsia" w:ascii="宋体" w:hAnsi="宋体"/>
          <w:b/>
          <w:bCs/>
          <w:color w:val="auto"/>
          <w:sz w:val="24"/>
          <w:highlight w:val="none"/>
        </w:rPr>
        <w:t>（一）商务技术标</w:t>
      </w:r>
      <w:r>
        <w:rPr>
          <w:rFonts w:ascii="宋体" w:hAnsi="宋体"/>
          <w:b/>
          <w:bCs/>
          <w:color w:val="auto"/>
          <w:sz w:val="24"/>
          <w:highlight w:val="none"/>
        </w:rPr>
        <w:t xml:space="preserve">  （</w:t>
      </w:r>
      <w:r>
        <w:rPr>
          <w:rFonts w:hint="eastAsia" w:ascii="宋体" w:hAnsi="宋体"/>
          <w:b/>
          <w:bCs/>
          <w:color w:val="auto"/>
          <w:sz w:val="24"/>
          <w:highlight w:val="none"/>
        </w:rPr>
        <w:t>7</w:t>
      </w:r>
      <w:r>
        <w:rPr>
          <w:rFonts w:ascii="宋体" w:hAnsi="宋体"/>
          <w:b/>
          <w:bCs/>
          <w:color w:val="auto"/>
          <w:sz w:val="24"/>
          <w:highlight w:val="none"/>
        </w:rPr>
        <w:t>0分）</w:t>
      </w:r>
    </w:p>
    <w:bookmarkEnd w:id="14"/>
    <w:bookmarkEnd w:id="15"/>
    <w:tbl>
      <w:tblPr>
        <w:tblStyle w:val="6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713"/>
        <w:gridCol w:w="5812"/>
        <w:gridCol w:w="851"/>
      </w:tblGrid>
      <w:tr w14:paraId="52C4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0"/>
            <w:vAlign w:val="center"/>
          </w:tcPr>
          <w:p w14:paraId="299E3E3D">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13" w:type="dxa"/>
            <w:noWrap w:val="0"/>
            <w:vAlign w:val="center"/>
          </w:tcPr>
          <w:p w14:paraId="5C32EBA6">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812" w:type="dxa"/>
            <w:noWrap w:val="0"/>
            <w:vAlign w:val="center"/>
          </w:tcPr>
          <w:p w14:paraId="2F01B8AC">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851" w:type="dxa"/>
            <w:noWrap w:val="0"/>
            <w:vAlign w:val="center"/>
          </w:tcPr>
          <w:p w14:paraId="04290E14">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w:t>
            </w:r>
          </w:p>
          <w:p w14:paraId="59F48B90">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分数</w:t>
            </w:r>
          </w:p>
        </w:tc>
      </w:tr>
      <w:tr w14:paraId="58E0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0"/>
            <w:vAlign w:val="center"/>
          </w:tcPr>
          <w:p w14:paraId="408821C5">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713" w:type="dxa"/>
            <w:noWrap w:val="0"/>
            <w:vAlign w:val="center"/>
          </w:tcPr>
          <w:p w14:paraId="09D51F78">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资质等级证书</w:t>
            </w:r>
          </w:p>
        </w:tc>
        <w:tc>
          <w:tcPr>
            <w:tcW w:w="5812" w:type="dxa"/>
            <w:noWrap w:val="0"/>
            <w:vAlign w:val="center"/>
          </w:tcPr>
          <w:p w14:paraId="58F9EB3E">
            <w:pPr>
              <w:pStyle w:val="133"/>
              <w:keepNext w:val="0"/>
              <w:keepLines w:val="0"/>
              <w:pageBreakBefore w:val="0"/>
              <w:widowControl w:val="0"/>
              <w:kinsoku w:val="0"/>
              <w:wordWrap/>
              <w:overflowPunct w:val="0"/>
              <w:topLinePunct w:val="0"/>
              <w:bidi w:val="0"/>
              <w:snapToGrid/>
              <w:spacing w:line="440" w:lineRule="exact"/>
              <w:ind w:left="0" w:leftChars="0" w:right="0"/>
              <w:jc w:val="both"/>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①</w:t>
            </w:r>
            <w:r>
              <w:rPr>
                <w:rFonts w:hint="eastAsia" w:ascii="宋体" w:hAnsi="宋体" w:eastAsia="宋体" w:cs="宋体"/>
                <w:color w:val="auto"/>
                <w:kern w:val="2"/>
                <w:sz w:val="24"/>
                <w:szCs w:val="24"/>
                <w:highlight w:val="none"/>
              </w:rPr>
              <w:t>投标人具有水利部颁发的水利工程质量检测单位资质等级证书，涉及岩土工程、混凝土工程</w:t>
            </w:r>
            <w:r>
              <w:rPr>
                <w:rFonts w:hint="eastAsia" w:cs="宋体"/>
                <w:color w:val="auto"/>
                <w:kern w:val="2"/>
                <w:sz w:val="24"/>
                <w:szCs w:val="24"/>
                <w:highlight w:val="none"/>
                <w:lang w:eastAsia="zh-CN"/>
              </w:rPr>
              <w:t>、</w:t>
            </w:r>
            <w:r>
              <w:rPr>
                <w:rFonts w:hint="eastAsia" w:ascii="宋体" w:hAnsi="宋体" w:eastAsia="宋体" w:cs="宋体"/>
                <w:color w:val="auto"/>
                <w:kern w:val="2"/>
                <w:sz w:val="24"/>
                <w:szCs w:val="24"/>
                <w:highlight w:val="none"/>
              </w:rPr>
              <w:t>量测专业甲级资质，每个甲级资质加</w:t>
            </w: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分，此项最多得</w:t>
            </w: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分；</w:t>
            </w:r>
          </w:p>
          <w:p w14:paraId="56BBBDE5">
            <w:pPr>
              <w:pStyle w:val="133"/>
              <w:keepNext w:val="0"/>
              <w:keepLines w:val="0"/>
              <w:pageBreakBefore w:val="0"/>
              <w:widowControl w:val="0"/>
              <w:kinsoku w:val="0"/>
              <w:wordWrap/>
              <w:overflowPunct w:val="0"/>
              <w:topLinePunct w:val="0"/>
              <w:bidi w:val="0"/>
              <w:snapToGrid/>
              <w:spacing w:line="440" w:lineRule="exact"/>
              <w:ind w:left="0" w:leftChars="0" w:right="0"/>
              <w:jc w:val="both"/>
              <w:textAlignment w:val="auto"/>
              <w:rPr>
                <w:rFonts w:hint="default"/>
                <w:bCs/>
                <w:color w:val="auto"/>
                <w:kern w:val="0"/>
                <w:sz w:val="24"/>
                <w:highlight w:val="none"/>
                <w:lang w:val="en-US" w:eastAsia="zh-CN"/>
              </w:rPr>
            </w:pPr>
            <w:r>
              <w:rPr>
                <w:rFonts w:hint="eastAsia" w:cs="宋体"/>
                <w:color w:val="auto"/>
                <w:kern w:val="2"/>
                <w:sz w:val="24"/>
                <w:szCs w:val="24"/>
                <w:highlight w:val="none"/>
                <w:lang w:val="en-US" w:eastAsia="zh-CN"/>
              </w:rPr>
              <w:t>②</w:t>
            </w:r>
            <w:r>
              <w:rPr>
                <w:rFonts w:hint="eastAsia" w:ascii="宋体" w:hAnsi="宋体" w:eastAsia="宋体" w:cs="宋体"/>
                <w:bCs/>
                <w:color w:val="auto"/>
                <w:kern w:val="0"/>
                <w:sz w:val="24"/>
                <w:highlight w:val="none"/>
                <w:lang w:val="en-US" w:eastAsia="zh-CN"/>
              </w:rPr>
              <w:t>投标人具有建</w:t>
            </w:r>
            <w:r>
              <w:rPr>
                <w:rFonts w:hint="eastAsia"/>
                <w:bCs/>
                <w:color w:val="auto"/>
                <w:kern w:val="0"/>
                <w:sz w:val="24"/>
                <w:highlight w:val="none"/>
                <w:lang w:val="en-US" w:eastAsia="zh-CN"/>
              </w:rPr>
              <w:t>设主管部门颁发的建设工程质量检测机构资质证书或具有交通运输部颁发的公路工程试验检测综合甲级资质证书或公路工程桥梁隧道工程专项检测资质的加3分。</w:t>
            </w:r>
          </w:p>
          <w:p w14:paraId="1CCBCC83">
            <w:pPr>
              <w:pStyle w:val="133"/>
              <w:keepNext w:val="0"/>
              <w:keepLines w:val="0"/>
              <w:pageBreakBefore w:val="0"/>
              <w:widowControl w:val="0"/>
              <w:kinsoku w:val="0"/>
              <w:wordWrap/>
              <w:overflowPunct w:val="0"/>
              <w:topLinePunct w:val="0"/>
              <w:bidi w:val="0"/>
              <w:snapToGrid/>
              <w:spacing w:line="440" w:lineRule="exact"/>
              <w:ind w:left="0" w:leftChars="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投标人如不具有上述资质可另行委托一家具有相应资质检测单位，须附相关合作协议及相应资质证书</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否则不得分</w:t>
            </w:r>
            <w:r>
              <w:rPr>
                <w:rFonts w:hint="eastAsia" w:ascii="宋体" w:hAnsi="宋体" w:eastAsia="宋体" w:cs="宋体"/>
                <w:color w:val="auto"/>
                <w:kern w:val="2"/>
                <w:sz w:val="24"/>
                <w:szCs w:val="24"/>
                <w:highlight w:val="none"/>
              </w:rPr>
              <w:t>。</w:t>
            </w:r>
          </w:p>
        </w:tc>
        <w:tc>
          <w:tcPr>
            <w:tcW w:w="851" w:type="dxa"/>
            <w:noWrap w:val="0"/>
            <w:vAlign w:val="center"/>
          </w:tcPr>
          <w:p w14:paraId="428F529E">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r>
      <w:tr w14:paraId="08E9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0"/>
            <w:vAlign w:val="center"/>
          </w:tcPr>
          <w:p w14:paraId="40B63B3F">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1713" w:type="dxa"/>
            <w:noWrap w:val="0"/>
            <w:vAlign w:val="center"/>
          </w:tcPr>
          <w:p w14:paraId="3A8A21E3">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信用等级证书</w:t>
            </w:r>
          </w:p>
        </w:tc>
        <w:tc>
          <w:tcPr>
            <w:tcW w:w="5812" w:type="dxa"/>
            <w:noWrap w:val="0"/>
            <w:vAlign w:val="center"/>
          </w:tcPr>
          <w:p w14:paraId="5CF725C4">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投标人具有全国水利建设市场主体信用评价等级为设计类AAA级的得3分，AA级的得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分，A级</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val="en-US" w:eastAsia="zh-CN"/>
              </w:rPr>
              <w:t>不得分</w:t>
            </w:r>
            <w:r>
              <w:rPr>
                <w:rFonts w:hint="eastAsia" w:ascii="宋体" w:hAnsi="宋体" w:eastAsia="宋体" w:cs="宋体"/>
                <w:color w:val="auto"/>
                <w:sz w:val="24"/>
                <w:szCs w:val="24"/>
                <w:highlight w:val="none"/>
              </w:rPr>
              <w:t>。</w:t>
            </w:r>
          </w:p>
        </w:tc>
        <w:tc>
          <w:tcPr>
            <w:tcW w:w="851" w:type="dxa"/>
            <w:noWrap w:val="0"/>
            <w:vAlign w:val="center"/>
          </w:tcPr>
          <w:p w14:paraId="53B5FA2D">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6C85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shd w:val="clear" w:color="auto" w:fill="auto"/>
            <w:noWrap w:val="0"/>
            <w:vAlign w:val="center"/>
          </w:tcPr>
          <w:p w14:paraId="44AE8AEE">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713" w:type="dxa"/>
            <w:shd w:val="clear" w:color="auto" w:fill="auto"/>
            <w:noWrap w:val="0"/>
            <w:vAlign w:val="center"/>
          </w:tcPr>
          <w:p w14:paraId="4658A27C">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2"/>
                <w:sz w:val="24"/>
                <w:szCs w:val="24"/>
                <w:highlight w:val="none"/>
              </w:rPr>
              <w:t>项目负责人素质</w:t>
            </w:r>
          </w:p>
        </w:tc>
        <w:tc>
          <w:tcPr>
            <w:tcW w:w="5812" w:type="dxa"/>
            <w:shd w:val="clear" w:color="auto" w:fill="auto"/>
            <w:noWrap w:val="0"/>
            <w:vAlign w:val="center"/>
          </w:tcPr>
          <w:p w14:paraId="495D4D14">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项目负责人具备水利工程高级工程师及以上技术职称得2分，具有注册土木工程师（水利水电工程水工结构）职业资格得2分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本项最多得4分</w:t>
            </w:r>
            <w:r>
              <w:rPr>
                <w:rFonts w:hint="eastAsia" w:ascii="宋体" w:hAnsi="宋体" w:eastAsia="宋体" w:cs="宋体"/>
                <w:color w:val="auto"/>
                <w:sz w:val="24"/>
                <w:szCs w:val="24"/>
                <w:highlight w:val="none"/>
              </w:rPr>
              <w:t>。</w:t>
            </w:r>
          </w:p>
        </w:tc>
        <w:tc>
          <w:tcPr>
            <w:tcW w:w="851" w:type="dxa"/>
            <w:shd w:val="clear" w:color="auto" w:fill="auto"/>
            <w:noWrap w:val="0"/>
            <w:vAlign w:val="center"/>
          </w:tcPr>
          <w:p w14:paraId="2ACB6CB4">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r>
      <w:tr w14:paraId="63E1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shd w:val="clear" w:color="auto" w:fill="auto"/>
            <w:noWrap w:val="0"/>
            <w:vAlign w:val="center"/>
          </w:tcPr>
          <w:p w14:paraId="642149CF">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713" w:type="dxa"/>
            <w:shd w:val="clear" w:color="auto" w:fill="auto"/>
            <w:noWrap w:val="0"/>
            <w:vAlign w:val="center"/>
          </w:tcPr>
          <w:p w14:paraId="0A1313F8">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rightChars="0"/>
              <w:jc w:val="center"/>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项目组成员</w:t>
            </w:r>
          </w:p>
        </w:tc>
        <w:tc>
          <w:tcPr>
            <w:tcW w:w="5812" w:type="dxa"/>
            <w:shd w:val="clear" w:color="auto" w:fill="auto"/>
            <w:noWrap w:val="0"/>
            <w:vAlign w:val="center"/>
          </w:tcPr>
          <w:p w14:paraId="6BFD4C46">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项目组成员（不含项目负责人）配备有地质、水工、建筑、结构等专业，</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rPr>
              <w:t>具有高级</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rPr>
              <w:t>技术职称的每人加1分（一人多专业不另加分），本项最高得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4F71A840">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注：专业以毕业证书或职称证书或注册执业资格证书为准，提供证书复印件、并提供对应持证人员社保机构出具的202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年1月～2026年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月（任意一个月的社保缴费证明）复印件，并加盖公章（缺一不得分）。</w:t>
            </w:r>
          </w:p>
        </w:tc>
        <w:tc>
          <w:tcPr>
            <w:tcW w:w="851" w:type="dxa"/>
            <w:shd w:val="clear" w:color="auto" w:fill="auto"/>
            <w:noWrap w:val="0"/>
            <w:vAlign w:val="center"/>
          </w:tcPr>
          <w:p w14:paraId="4880F0D6">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r>
      <w:tr w14:paraId="2E26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001" w:type="dxa"/>
            <w:noWrap w:val="0"/>
            <w:vAlign w:val="center"/>
          </w:tcPr>
          <w:p w14:paraId="5E8E769A">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1713" w:type="dxa"/>
            <w:noWrap w:val="0"/>
            <w:vAlign w:val="center"/>
          </w:tcPr>
          <w:p w14:paraId="3FBFCBDF">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企业</w:t>
            </w:r>
            <w:r>
              <w:rPr>
                <w:rFonts w:hint="eastAsia" w:ascii="宋体" w:hAnsi="宋体" w:eastAsia="宋体" w:cs="宋体"/>
                <w:color w:val="auto"/>
                <w:sz w:val="24"/>
                <w:szCs w:val="24"/>
                <w:highlight w:val="none"/>
              </w:rPr>
              <w:t>业绩</w:t>
            </w:r>
          </w:p>
        </w:tc>
        <w:tc>
          <w:tcPr>
            <w:tcW w:w="5812" w:type="dxa"/>
            <w:noWrap w:val="0"/>
            <w:vAlign w:val="center"/>
          </w:tcPr>
          <w:p w14:paraId="4D1D5AFC">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近5年（2021年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月1日以来，以合同签订时间为准），投标人承担过大(中)型水闸安全鉴定项目，每提供1个大(中)型水闸安全鉴定的合同得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分。注：提供合同及安全鉴定报告书复印件，如合同中无法体现水闸规模的须提供相关证明材料。</w:t>
            </w:r>
          </w:p>
        </w:tc>
        <w:tc>
          <w:tcPr>
            <w:tcW w:w="851" w:type="dxa"/>
            <w:noWrap w:val="0"/>
            <w:vAlign w:val="center"/>
          </w:tcPr>
          <w:p w14:paraId="6FEDDA90">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r>
      <w:tr w14:paraId="602B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01" w:type="dxa"/>
            <w:shd w:val="clear" w:color="auto" w:fill="auto"/>
            <w:noWrap w:val="0"/>
            <w:vAlign w:val="center"/>
          </w:tcPr>
          <w:p w14:paraId="1E1A6382">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1713" w:type="dxa"/>
            <w:shd w:val="clear" w:color="auto" w:fill="auto"/>
            <w:noWrap w:val="0"/>
            <w:vAlign w:val="center"/>
          </w:tcPr>
          <w:p w14:paraId="78FA8AB9">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2"/>
                <w:sz w:val="24"/>
                <w:szCs w:val="24"/>
                <w:highlight w:val="none"/>
              </w:rPr>
              <w:t>项目负责人业绩</w:t>
            </w:r>
          </w:p>
        </w:tc>
        <w:tc>
          <w:tcPr>
            <w:tcW w:w="5812" w:type="dxa"/>
            <w:shd w:val="clear" w:color="auto" w:fill="auto"/>
            <w:noWrap w:val="0"/>
            <w:vAlign w:val="center"/>
          </w:tcPr>
          <w:p w14:paraId="623C9460">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项目负责人近5年内（2021年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月1日以来，以合同签订时间为准），承担过大(中)型水闸安全鉴定项目的，</w:t>
            </w:r>
            <w:r>
              <w:rPr>
                <w:rFonts w:hint="eastAsia" w:ascii="宋体" w:hAnsi="宋体" w:cs="宋体"/>
                <w:color w:val="auto"/>
                <w:sz w:val="24"/>
                <w:szCs w:val="24"/>
                <w:highlight w:val="none"/>
                <w:lang w:val="en-US" w:eastAsia="zh-CN"/>
              </w:rPr>
              <w:t>并在该项目中担任项目负责人的，</w:t>
            </w:r>
            <w:r>
              <w:rPr>
                <w:rFonts w:hint="eastAsia" w:ascii="宋体" w:hAnsi="宋体" w:eastAsia="宋体" w:cs="宋体"/>
                <w:color w:val="auto"/>
                <w:sz w:val="24"/>
                <w:szCs w:val="24"/>
                <w:highlight w:val="none"/>
              </w:rPr>
              <w:t>每提供一份大(中)型水闸安全鉴定的合同得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4D06E915">
            <w:pPr>
              <w:pStyle w:val="684"/>
              <w:keepNext w:val="0"/>
              <w:keepLines w:val="0"/>
              <w:pageBreakBefore w:val="0"/>
              <w:widowControl w:val="0"/>
              <w:wordWrap/>
              <w:topLinePunct w:val="0"/>
              <w:bidi w:val="0"/>
              <w:snapToGrid/>
              <w:spacing w:line="440" w:lineRule="exact"/>
              <w:ind w:left="0" w:leftChars="0" w:right="0" w:rightChars="0" w:firstLine="482"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注：提供合同及安全鉴定报告书复印件，如合同中无法体现水闸规模</w:t>
            </w:r>
            <w:r>
              <w:rPr>
                <w:rFonts w:hint="eastAsia" w:ascii="宋体" w:hAnsi="宋体" w:cs="宋体"/>
                <w:color w:val="auto"/>
                <w:sz w:val="24"/>
                <w:szCs w:val="24"/>
                <w:highlight w:val="none"/>
                <w:lang w:val="en-US" w:eastAsia="zh-CN"/>
              </w:rPr>
              <w:t>或项目负责人名字</w:t>
            </w:r>
            <w:r>
              <w:rPr>
                <w:rFonts w:hint="eastAsia" w:ascii="宋体" w:hAnsi="宋体" w:eastAsia="宋体" w:cs="宋体"/>
                <w:color w:val="auto"/>
                <w:sz w:val="24"/>
                <w:szCs w:val="24"/>
                <w:highlight w:val="none"/>
              </w:rPr>
              <w:t>的须提供相关证明材料。</w:t>
            </w:r>
            <w:r>
              <w:rPr>
                <w:rFonts w:hint="eastAsia" w:ascii="宋体" w:hAnsi="宋体" w:cs="宋体"/>
                <w:color w:val="auto"/>
                <w:sz w:val="24"/>
                <w:szCs w:val="24"/>
                <w:highlight w:val="none"/>
                <w:lang w:val="en-US" w:eastAsia="zh-CN"/>
              </w:rPr>
              <w:t>企业</w:t>
            </w:r>
            <w:r>
              <w:rPr>
                <w:rFonts w:hint="eastAsia" w:ascii="宋体" w:hAnsi="宋体" w:eastAsia="宋体" w:cs="宋体"/>
                <w:color w:val="auto"/>
                <w:sz w:val="24"/>
                <w:szCs w:val="24"/>
                <w:highlight w:val="none"/>
              </w:rPr>
              <w:t>业绩与项目负责人业绩</w:t>
            </w:r>
            <w:r>
              <w:rPr>
                <w:rFonts w:hint="eastAsia" w:ascii="宋体" w:hAnsi="宋体" w:cs="宋体"/>
                <w:color w:val="auto"/>
                <w:sz w:val="24"/>
                <w:szCs w:val="24"/>
                <w:highlight w:val="none"/>
                <w:lang w:val="en-US" w:eastAsia="zh-CN"/>
              </w:rPr>
              <w:t>不</w:t>
            </w:r>
            <w:r>
              <w:rPr>
                <w:rFonts w:hint="eastAsia" w:ascii="宋体" w:hAnsi="宋体" w:eastAsia="宋体" w:cs="宋体"/>
                <w:color w:val="auto"/>
                <w:sz w:val="24"/>
                <w:szCs w:val="24"/>
                <w:highlight w:val="none"/>
              </w:rPr>
              <w:t>可同时得分。</w:t>
            </w:r>
          </w:p>
        </w:tc>
        <w:tc>
          <w:tcPr>
            <w:tcW w:w="851" w:type="dxa"/>
            <w:shd w:val="clear" w:color="auto" w:fill="auto"/>
            <w:noWrap w:val="0"/>
            <w:vAlign w:val="center"/>
          </w:tcPr>
          <w:p w14:paraId="48F45B41">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r>
      <w:tr w14:paraId="6F04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0"/>
            <w:vAlign w:val="center"/>
          </w:tcPr>
          <w:p w14:paraId="2025FCE0">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713" w:type="dxa"/>
            <w:noWrap w:val="0"/>
            <w:vAlign w:val="center"/>
          </w:tcPr>
          <w:p w14:paraId="65F2848B">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对项目目的、任务及工作量的理解。</w:t>
            </w:r>
          </w:p>
        </w:tc>
        <w:tc>
          <w:tcPr>
            <w:tcW w:w="5812" w:type="dxa"/>
            <w:noWrap w:val="0"/>
            <w:vAlign w:val="center"/>
          </w:tcPr>
          <w:p w14:paraId="4987D9F9">
            <w:pPr>
              <w:keepNext w:val="0"/>
              <w:keepLines w:val="0"/>
              <w:pageBreakBefore w:val="0"/>
              <w:widowControl w:val="0"/>
              <w:wordWrap/>
              <w:topLinePunct w:val="0"/>
              <w:autoSpaceDE w:val="0"/>
              <w:autoSpaceDN w:val="0"/>
              <w:bidi w:val="0"/>
              <w:adjustRightInd w:val="0"/>
              <w:snapToGrid/>
              <w:spacing w:line="44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对项目目的、要求和工作量理解透彻可得</w:t>
            </w:r>
            <w:r>
              <w:rPr>
                <w:rFonts w:hint="eastAsia" w:ascii="宋体" w:hAnsi="宋体" w:cs="宋体"/>
                <w:color w:val="auto"/>
                <w:sz w:val="24"/>
                <w:szCs w:val="24"/>
                <w:highlight w:val="none"/>
                <w:lang w:val="en-US" w:eastAsia="zh-CN"/>
              </w:rPr>
              <w:t>6（不含）-8（含）</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对项目目的、要求和工作量理解基本切合工作实际可得</w:t>
            </w:r>
            <w:r>
              <w:rPr>
                <w:rFonts w:hint="eastAsia" w:ascii="宋体" w:hAnsi="宋体" w:cs="宋体"/>
                <w:color w:val="auto"/>
                <w:sz w:val="24"/>
                <w:szCs w:val="24"/>
                <w:highlight w:val="none"/>
                <w:lang w:val="en-US" w:eastAsia="zh-CN"/>
              </w:rPr>
              <w:t>4（不含）-6</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（含）</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对项目目的、要求和工作量理解不够切合工作可得0</w:t>
            </w:r>
            <w:r>
              <w:rPr>
                <w:rFonts w:hint="eastAsia" w:ascii="宋体" w:hAnsi="宋体" w:cs="宋体"/>
                <w:color w:val="auto"/>
                <w:sz w:val="24"/>
                <w:szCs w:val="24"/>
                <w:highlight w:val="none"/>
                <w:lang w:val="en-US" w:eastAsia="zh-CN"/>
              </w:rPr>
              <w:t>（不含）</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4（含）</w:t>
            </w:r>
            <w:r>
              <w:rPr>
                <w:rFonts w:hint="eastAsia" w:ascii="宋体" w:hAnsi="宋体" w:eastAsia="宋体" w:cs="宋体"/>
                <w:color w:val="auto"/>
                <w:sz w:val="24"/>
                <w:szCs w:val="24"/>
                <w:highlight w:val="none"/>
              </w:rPr>
              <w:t>分分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无表述不得分。</w:t>
            </w:r>
          </w:p>
        </w:tc>
        <w:tc>
          <w:tcPr>
            <w:tcW w:w="851" w:type="dxa"/>
            <w:noWrap w:val="0"/>
            <w:vAlign w:val="center"/>
          </w:tcPr>
          <w:p w14:paraId="31553B9D">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r>
      <w:tr w14:paraId="502D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0"/>
            <w:vAlign w:val="center"/>
          </w:tcPr>
          <w:p w14:paraId="48A2584F">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1713" w:type="dxa"/>
            <w:noWrap w:val="0"/>
            <w:vAlign w:val="center"/>
          </w:tcPr>
          <w:p w14:paraId="5CF1C442">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工作方案思路、理念及完整性</w:t>
            </w:r>
          </w:p>
        </w:tc>
        <w:tc>
          <w:tcPr>
            <w:tcW w:w="5812" w:type="dxa"/>
            <w:noWrap w:val="0"/>
            <w:vAlign w:val="center"/>
          </w:tcPr>
          <w:p w14:paraId="36C050CF">
            <w:pPr>
              <w:keepNext w:val="0"/>
              <w:keepLines w:val="0"/>
              <w:pageBreakBefore w:val="0"/>
              <w:widowControl w:val="0"/>
              <w:wordWrap/>
              <w:topLinePunct w:val="0"/>
              <w:autoSpaceDE w:val="0"/>
              <w:autoSpaceDN w:val="0"/>
              <w:bidi w:val="0"/>
              <w:adjustRightInd w:val="0"/>
              <w:snapToGrid/>
              <w:spacing w:line="44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工作方案思路正确、理念先进、内容完整，可得可得</w:t>
            </w:r>
            <w:r>
              <w:rPr>
                <w:rFonts w:hint="eastAsia" w:ascii="宋体" w:hAnsi="宋体" w:cs="宋体"/>
                <w:color w:val="auto"/>
                <w:sz w:val="24"/>
                <w:szCs w:val="24"/>
                <w:highlight w:val="none"/>
                <w:lang w:val="en-US" w:eastAsia="zh-CN"/>
              </w:rPr>
              <w:t>13（不含）-18含）</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工作方案思路一般可得</w:t>
            </w:r>
            <w:r>
              <w:rPr>
                <w:rFonts w:hint="eastAsia" w:ascii="宋体" w:hAnsi="宋体" w:cs="宋体"/>
                <w:color w:val="auto"/>
                <w:sz w:val="24"/>
                <w:szCs w:val="24"/>
                <w:highlight w:val="none"/>
                <w:lang w:val="en-US" w:eastAsia="zh-CN"/>
              </w:rPr>
              <w:t>8（不含）-13</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（含）</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工作方案思路欠合理可得0</w:t>
            </w:r>
            <w:r>
              <w:rPr>
                <w:rFonts w:hint="eastAsia" w:ascii="宋体" w:hAnsi="宋体" w:cs="宋体"/>
                <w:color w:val="auto"/>
                <w:sz w:val="24"/>
                <w:szCs w:val="24"/>
                <w:highlight w:val="none"/>
                <w:lang w:val="en-US" w:eastAsia="zh-CN"/>
              </w:rPr>
              <w:t>（不含）</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8（含）</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无表述不得分。</w:t>
            </w:r>
          </w:p>
        </w:tc>
        <w:tc>
          <w:tcPr>
            <w:tcW w:w="851" w:type="dxa"/>
            <w:noWrap w:val="0"/>
            <w:vAlign w:val="center"/>
          </w:tcPr>
          <w:p w14:paraId="61581F7B">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r>
      <w:tr w14:paraId="22CC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0"/>
            <w:vAlign w:val="center"/>
          </w:tcPr>
          <w:p w14:paraId="47336D03">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713" w:type="dxa"/>
            <w:noWrap w:val="0"/>
            <w:vAlign w:val="center"/>
          </w:tcPr>
          <w:p w14:paraId="7CD2789F">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工期与进度计划</w:t>
            </w:r>
          </w:p>
        </w:tc>
        <w:tc>
          <w:tcPr>
            <w:tcW w:w="5812" w:type="dxa"/>
            <w:noWrap w:val="0"/>
            <w:vAlign w:val="center"/>
          </w:tcPr>
          <w:p w14:paraId="12CA9DC9">
            <w:pPr>
              <w:keepNext w:val="0"/>
              <w:keepLines w:val="0"/>
              <w:pageBreakBefore w:val="0"/>
              <w:widowControl w:val="0"/>
              <w:wordWrap/>
              <w:topLinePunct w:val="0"/>
              <w:autoSpaceDE w:val="0"/>
              <w:autoSpaceDN w:val="0"/>
              <w:bidi w:val="0"/>
              <w:adjustRightInd w:val="0"/>
              <w:snapToGrid/>
              <w:spacing w:line="44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工期与进度计划满足招标文件要求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进度保证措施、质量管理措施</w:t>
            </w:r>
            <w:r>
              <w:rPr>
                <w:rFonts w:hint="eastAsia" w:ascii="宋体" w:hAnsi="宋体" w:cs="宋体"/>
                <w:color w:val="auto"/>
                <w:sz w:val="24"/>
                <w:szCs w:val="24"/>
                <w:highlight w:val="none"/>
                <w:lang w:val="en-US" w:eastAsia="zh-CN"/>
              </w:rPr>
              <w:t>合理，</w:t>
            </w:r>
            <w:r>
              <w:rPr>
                <w:rFonts w:hint="eastAsia" w:ascii="宋体" w:hAnsi="宋体" w:eastAsia="宋体" w:cs="宋体"/>
                <w:color w:val="auto"/>
                <w:sz w:val="24"/>
                <w:szCs w:val="24"/>
                <w:highlight w:val="none"/>
              </w:rPr>
              <w:t>可行可得</w:t>
            </w:r>
            <w:r>
              <w:rPr>
                <w:rFonts w:hint="eastAsia" w:ascii="宋体" w:hAnsi="宋体" w:cs="宋体"/>
                <w:color w:val="auto"/>
                <w:sz w:val="24"/>
                <w:szCs w:val="24"/>
                <w:highlight w:val="none"/>
                <w:lang w:val="en-US" w:eastAsia="zh-CN"/>
              </w:rPr>
              <w:t>6（不含）-8（含）</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工期与进度计划</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质量管理措施一般可得</w:t>
            </w:r>
            <w:r>
              <w:rPr>
                <w:rFonts w:hint="eastAsia" w:ascii="宋体" w:hAnsi="宋体" w:cs="宋体"/>
                <w:color w:val="auto"/>
                <w:sz w:val="24"/>
                <w:szCs w:val="24"/>
                <w:highlight w:val="none"/>
                <w:lang w:val="en-US" w:eastAsia="zh-CN"/>
              </w:rPr>
              <w:t>4（不含）-6</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（含）</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工期与进度计划</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质量管理措施不可行可得0</w:t>
            </w:r>
            <w:r>
              <w:rPr>
                <w:rFonts w:hint="eastAsia" w:ascii="宋体" w:hAnsi="宋体" w:cs="宋体"/>
                <w:color w:val="auto"/>
                <w:sz w:val="24"/>
                <w:szCs w:val="24"/>
                <w:highlight w:val="none"/>
                <w:lang w:val="en-US" w:eastAsia="zh-CN"/>
              </w:rPr>
              <w:t>（不含）</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4（含）</w:t>
            </w:r>
            <w:r>
              <w:rPr>
                <w:rFonts w:hint="eastAsia" w:ascii="宋体" w:hAnsi="宋体" w:eastAsia="宋体" w:cs="宋体"/>
                <w:color w:val="auto"/>
                <w:sz w:val="24"/>
                <w:szCs w:val="24"/>
                <w:highlight w:val="none"/>
              </w:rPr>
              <w:t>分，无表述不得分。</w:t>
            </w:r>
          </w:p>
        </w:tc>
        <w:tc>
          <w:tcPr>
            <w:tcW w:w="851" w:type="dxa"/>
            <w:noWrap w:val="0"/>
            <w:vAlign w:val="center"/>
          </w:tcPr>
          <w:p w14:paraId="1862C77C">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r>
      <w:tr w14:paraId="1374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0"/>
            <w:vAlign w:val="center"/>
          </w:tcPr>
          <w:p w14:paraId="06961057">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713" w:type="dxa"/>
            <w:noWrap w:val="0"/>
            <w:vAlign w:val="center"/>
          </w:tcPr>
          <w:p w14:paraId="444CB2E3">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后续服务计划及保证措施</w:t>
            </w:r>
          </w:p>
        </w:tc>
        <w:tc>
          <w:tcPr>
            <w:tcW w:w="5812" w:type="dxa"/>
            <w:noWrap w:val="0"/>
            <w:vAlign w:val="center"/>
          </w:tcPr>
          <w:p w14:paraId="25C81748">
            <w:pPr>
              <w:keepNext w:val="0"/>
              <w:keepLines w:val="0"/>
              <w:pageBreakBefore w:val="0"/>
              <w:widowControl w:val="0"/>
              <w:wordWrap/>
              <w:topLinePunct w:val="0"/>
              <w:autoSpaceDE w:val="0"/>
              <w:autoSpaceDN w:val="0"/>
              <w:bidi w:val="0"/>
              <w:adjustRightInd w:val="0"/>
              <w:snapToGrid/>
              <w:spacing w:line="44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对本项目后续工作</w:t>
            </w:r>
            <w:r>
              <w:rPr>
                <w:rFonts w:hint="eastAsia" w:ascii="宋体" w:hAnsi="宋体" w:cs="宋体"/>
                <w:color w:val="auto"/>
                <w:sz w:val="24"/>
                <w:szCs w:val="24"/>
                <w:highlight w:val="none"/>
                <w:lang w:val="en-US" w:eastAsia="zh-CN"/>
              </w:rPr>
              <w:t>计划及保证措施进行阐述，最多得4分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无表述不得分。</w:t>
            </w:r>
          </w:p>
        </w:tc>
        <w:tc>
          <w:tcPr>
            <w:tcW w:w="851" w:type="dxa"/>
            <w:noWrap w:val="0"/>
            <w:vAlign w:val="center"/>
          </w:tcPr>
          <w:p w14:paraId="3693D812">
            <w:pPr>
              <w:keepNext w:val="0"/>
              <w:keepLines w:val="0"/>
              <w:pageBreakBefore w:val="0"/>
              <w:widowControl w:val="0"/>
              <w:tabs>
                <w:tab w:val="left" w:pos="6480"/>
              </w:tabs>
              <w:wordWrap/>
              <w:topLinePunct w:val="0"/>
              <w:autoSpaceDE w:val="0"/>
              <w:autoSpaceDN w:val="0"/>
              <w:bidi w:val="0"/>
              <w:adjustRightInd w:val="0"/>
              <w:snapToGrid/>
              <w:spacing w:line="440" w:lineRule="exact"/>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r>
    </w:tbl>
    <w:p w14:paraId="2D7245A1">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b/>
          <w:color w:val="auto"/>
          <w:sz w:val="24"/>
          <w:highlight w:val="none"/>
        </w:rPr>
      </w:pPr>
      <w:r>
        <w:rPr>
          <w:rFonts w:ascii="宋体" w:hAnsi="宋体" w:cs="宋体"/>
          <w:b/>
          <w:color w:val="auto"/>
          <w:sz w:val="24"/>
          <w:highlight w:val="none"/>
        </w:rPr>
        <w:t>（二）</w:t>
      </w:r>
      <w:r>
        <w:rPr>
          <w:rFonts w:hint="eastAsia" w:ascii="宋体" w:hAnsi="宋体" w:cs="宋体"/>
          <w:b/>
          <w:color w:val="auto"/>
          <w:sz w:val="24"/>
          <w:highlight w:val="none"/>
        </w:rPr>
        <w:t>价格</w:t>
      </w:r>
      <w:r>
        <w:rPr>
          <w:rFonts w:ascii="宋体" w:hAnsi="宋体" w:cs="宋体"/>
          <w:b/>
          <w:color w:val="auto"/>
          <w:sz w:val="24"/>
          <w:highlight w:val="none"/>
        </w:rPr>
        <w:t>标评分（</w:t>
      </w:r>
      <w:r>
        <w:rPr>
          <w:rFonts w:hint="eastAsia" w:ascii="宋体" w:hAnsi="宋体" w:cs="宋体"/>
          <w:b/>
          <w:color w:val="auto"/>
          <w:sz w:val="24"/>
          <w:highlight w:val="none"/>
        </w:rPr>
        <w:t>3</w:t>
      </w:r>
      <w:r>
        <w:rPr>
          <w:rFonts w:ascii="宋体" w:hAnsi="宋体" w:cs="宋体"/>
          <w:b/>
          <w:color w:val="auto"/>
          <w:sz w:val="24"/>
          <w:highlight w:val="none"/>
        </w:rPr>
        <w:t>0分）：</w:t>
      </w:r>
      <w:r>
        <w:rPr>
          <w:rFonts w:ascii="宋体" w:hAnsi="宋体"/>
          <w:b/>
          <w:color w:val="auto"/>
          <w:sz w:val="24"/>
          <w:highlight w:val="none"/>
        </w:rPr>
        <w:tab/>
      </w:r>
    </w:p>
    <w:p w14:paraId="102F0441">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1、本次项目最高限价为人民币</w:t>
      </w:r>
      <w:r>
        <w:rPr>
          <w:rFonts w:hint="eastAsia" w:ascii="宋体" w:hAnsi="宋体" w:cs="宋体"/>
          <w:b/>
          <w:color w:val="auto"/>
          <w:sz w:val="24"/>
          <w:highlight w:val="none"/>
          <w:lang w:val="en-US" w:eastAsia="zh-CN"/>
        </w:rPr>
        <w:t>42万元</w:t>
      </w:r>
      <w:r>
        <w:rPr>
          <w:rFonts w:ascii="宋体" w:hAnsi="宋体"/>
          <w:color w:val="auto"/>
          <w:sz w:val="24"/>
          <w:highlight w:val="none"/>
        </w:rPr>
        <w:t>。超过限价作无效投标处理。</w:t>
      </w:r>
    </w:p>
    <w:p w14:paraId="41DDFE2A">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ascii="宋体" w:hAnsi="宋体"/>
          <w:color w:val="auto"/>
          <w:sz w:val="24"/>
          <w:highlight w:val="none"/>
        </w:rPr>
        <w:t>2、满足招标文件要求且投标报价最低的报价为评标基准价，其</w:t>
      </w:r>
      <w:r>
        <w:rPr>
          <w:rFonts w:hint="eastAsia" w:ascii="宋体" w:hAnsi="宋体"/>
          <w:color w:val="auto"/>
          <w:sz w:val="24"/>
          <w:highlight w:val="none"/>
        </w:rPr>
        <w:t>价格</w:t>
      </w:r>
      <w:r>
        <w:rPr>
          <w:rFonts w:ascii="宋体" w:hAnsi="宋体"/>
          <w:color w:val="auto"/>
          <w:sz w:val="24"/>
          <w:highlight w:val="none"/>
        </w:rPr>
        <w:t>标得分为满分</w:t>
      </w:r>
      <w:r>
        <w:rPr>
          <w:rFonts w:hint="eastAsia" w:ascii="宋体" w:hAnsi="宋体"/>
          <w:color w:val="auto"/>
          <w:sz w:val="24"/>
          <w:highlight w:val="none"/>
        </w:rPr>
        <w:t>30</w:t>
      </w:r>
      <w:r>
        <w:rPr>
          <w:rFonts w:ascii="宋体" w:hAnsi="宋体"/>
          <w:color w:val="auto"/>
          <w:sz w:val="24"/>
          <w:highlight w:val="none"/>
        </w:rPr>
        <w:t>分。</w:t>
      </w:r>
    </w:p>
    <w:p w14:paraId="61BA938F">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ascii="宋体" w:hAnsi="宋体"/>
          <w:color w:val="auto"/>
          <w:sz w:val="24"/>
          <w:highlight w:val="none"/>
        </w:rPr>
        <w:t>3、其他投标人的</w:t>
      </w:r>
      <w:r>
        <w:rPr>
          <w:rFonts w:hint="eastAsia" w:ascii="宋体" w:hAnsi="宋体"/>
          <w:color w:val="auto"/>
          <w:sz w:val="24"/>
          <w:highlight w:val="none"/>
        </w:rPr>
        <w:t>价格</w:t>
      </w:r>
      <w:r>
        <w:rPr>
          <w:rFonts w:ascii="宋体" w:hAnsi="宋体"/>
          <w:color w:val="auto"/>
          <w:sz w:val="24"/>
          <w:highlight w:val="none"/>
        </w:rPr>
        <w:t>标得分分别按照下列公式计算：</w:t>
      </w:r>
    </w:p>
    <w:p w14:paraId="493EFEFA">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价格</w:t>
      </w:r>
      <w:r>
        <w:rPr>
          <w:rFonts w:ascii="宋体" w:hAnsi="宋体"/>
          <w:color w:val="auto"/>
          <w:sz w:val="24"/>
          <w:highlight w:val="none"/>
        </w:rPr>
        <w:t>标得分=（评标基准价/投标报价）×</w:t>
      </w:r>
      <w:r>
        <w:rPr>
          <w:rFonts w:hint="eastAsia" w:ascii="宋体" w:hAnsi="宋体"/>
          <w:color w:val="auto"/>
          <w:sz w:val="24"/>
          <w:highlight w:val="none"/>
        </w:rPr>
        <w:t>3</w:t>
      </w:r>
      <w:r>
        <w:rPr>
          <w:rFonts w:ascii="宋体" w:hAnsi="宋体"/>
          <w:color w:val="auto"/>
          <w:sz w:val="24"/>
          <w:highlight w:val="none"/>
        </w:rPr>
        <w:t>0%×100</w:t>
      </w:r>
    </w:p>
    <w:p w14:paraId="0342DD39">
      <w:pPr>
        <w:keepNext w:val="0"/>
        <w:keepLines w:val="0"/>
        <w:pageBreakBefore w:val="0"/>
        <w:bidi w:val="0"/>
        <w:snapToGrid w:val="0"/>
        <w:spacing w:beforeAutospacing="0" w:afterAutospacing="0" w:line="440" w:lineRule="exact"/>
        <w:ind w:left="0" w:leftChars="0" w:right="0" w:rightChars="0" w:firstLine="570"/>
        <w:rPr>
          <w:rFonts w:ascii="宋体" w:hAnsi="宋体" w:cs="仿宋_GB2312"/>
          <w:b/>
          <w:bCs/>
          <w:color w:val="auto"/>
          <w:sz w:val="24"/>
          <w:highlight w:val="none"/>
        </w:rPr>
      </w:pPr>
      <w:r>
        <w:rPr>
          <w:rFonts w:hint="eastAsia" w:ascii="宋体" w:hAnsi="宋体" w:cs="仿宋_GB2312"/>
          <w:b/>
          <w:bCs/>
          <w:color w:val="auto"/>
          <w:sz w:val="24"/>
          <w:highlight w:val="none"/>
        </w:rPr>
        <w:t>（</w:t>
      </w:r>
      <w:r>
        <w:rPr>
          <w:rFonts w:hint="eastAsia" w:ascii="宋体" w:hAnsi="宋体" w:cs="仿宋_GB2312"/>
          <w:b/>
          <w:bCs/>
          <w:color w:val="auto"/>
          <w:sz w:val="24"/>
          <w:highlight w:val="none"/>
          <w:lang w:val="en-US" w:eastAsia="zh-CN"/>
        </w:rPr>
        <w:t>三</w:t>
      </w:r>
      <w:r>
        <w:rPr>
          <w:rFonts w:hint="eastAsia" w:ascii="宋体" w:hAnsi="宋体" w:cs="仿宋_GB2312"/>
          <w:b/>
          <w:bCs/>
          <w:color w:val="auto"/>
          <w:sz w:val="24"/>
          <w:highlight w:val="none"/>
        </w:rPr>
        <w:t>）评标争议</w:t>
      </w:r>
    </w:p>
    <w:p w14:paraId="0E599548">
      <w:pPr>
        <w:keepNext w:val="0"/>
        <w:keepLines w:val="0"/>
        <w:pageBreakBefore w:val="0"/>
        <w:bidi w:val="0"/>
        <w:snapToGrid w:val="0"/>
        <w:spacing w:beforeAutospacing="0" w:afterAutospacing="0" w:line="440" w:lineRule="exact"/>
        <w:ind w:left="0" w:leftChars="0" w:right="0" w:rightChars="0" w:firstLine="573"/>
        <w:rPr>
          <w:rFonts w:ascii="宋体" w:hAnsi="宋体" w:cs="仿宋_GB2312"/>
          <w:color w:val="auto"/>
          <w:sz w:val="24"/>
          <w:highlight w:val="none"/>
        </w:rPr>
      </w:pPr>
      <w:r>
        <w:rPr>
          <w:rFonts w:hint="eastAsia" w:ascii="宋体" w:hAnsi="宋体" w:cs="仿宋_GB2312"/>
          <w:color w:val="auto"/>
          <w:sz w:val="24"/>
          <w:highlight w:val="none"/>
        </w:rPr>
        <w:t>评标时评委对评标的细则若有争议，由评标</w:t>
      </w:r>
      <w:r>
        <w:rPr>
          <w:rFonts w:hint="eastAsia" w:ascii="宋体" w:hAnsi="宋体"/>
          <w:color w:val="auto"/>
          <w:sz w:val="24"/>
          <w:highlight w:val="none"/>
        </w:rPr>
        <w:t>委员会</w:t>
      </w:r>
      <w:r>
        <w:rPr>
          <w:rFonts w:hint="eastAsia" w:ascii="宋体" w:hAnsi="宋体" w:cs="仿宋_GB2312"/>
          <w:color w:val="auto"/>
          <w:sz w:val="24"/>
          <w:highlight w:val="none"/>
        </w:rPr>
        <w:t>评委集体讨论确定，并对未尽情况有最终解释权。</w:t>
      </w:r>
    </w:p>
    <w:p w14:paraId="179683F5">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）落标原因</w:t>
      </w:r>
    </w:p>
    <w:p w14:paraId="4B4E1BBC">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评标委员会不对落标的投标人做落标原因的解释。</w:t>
      </w:r>
    </w:p>
    <w:p w14:paraId="2CCABF69">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s="宋体"/>
          <w:b/>
          <w:bCs/>
          <w:color w:val="auto"/>
          <w:sz w:val="24"/>
          <w:highlight w:val="none"/>
        </w:rPr>
      </w:pPr>
      <w:r>
        <w:rPr>
          <w:rFonts w:hint="eastAsia" w:ascii="宋体" w:hAnsi="宋体" w:cs="宋体"/>
          <w:b/>
          <w:bCs/>
          <w:color w:val="auto"/>
          <w:sz w:val="24"/>
          <w:highlight w:val="none"/>
        </w:rPr>
        <w:t>九、</w:t>
      </w:r>
      <w:r>
        <w:rPr>
          <w:rFonts w:ascii="宋体" w:hAnsi="宋体" w:cs="宋体"/>
          <w:b/>
          <w:bCs/>
          <w:color w:val="auto"/>
          <w:sz w:val="24"/>
          <w:highlight w:val="none"/>
        </w:rPr>
        <w:t>投标文件有下述情形之一的，属于重大偏差、视为未能对招标文件做出实质性响应，并按规定作废标处理：</w:t>
      </w:r>
    </w:p>
    <w:p w14:paraId="09111300">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投标文件中的投标函未加盖投标人的公章；</w:t>
      </w:r>
    </w:p>
    <w:p w14:paraId="1F5B9C7F">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投标文件中的投标函无企业法定代表人（或企业法定代表人委托代理人）印章（或签字）的；</w:t>
      </w:r>
    </w:p>
    <w:p w14:paraId="288CE627">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如投标函由企业法定代表人委托代理人加盖印章（或签字），企业法定代表人委托代理人没有合法、有效的委托书（原件）的； </w:t>
      </w:r>
    </w:p>
    <w:p w14:paraId="4F5511D3">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投标人资格条件不符合国家有关规定或招标文件要求的； </w:t>
      </w:r>
    </w:p>
    <w:p w14:paraId="7E0A81D6">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5</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组成联合体投标未提供联合体各方共同投标协议的； </w:t>
      </w:r>
    </w:p>
    <w:p w14:paraId="76FF88BC">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6</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在同一招标项目中，联合体成员以自己名义单独投标或者参加其他联合体投标的；</w:t>
      </w:r>
    </w:p>
    <w:p w14:paraId="40A5082B">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7</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投标人名称与资格预审时不一致，且未提供有效证明的； </w:t>
      </w:r>
    </w:p>
    <w:p w14:paraId="47C4D614">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8</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除在投标截止时间前经招标人书面同意外，拟派项目人员与资格审查时不一致的；</w:t>
      </w:r>
    </w:p>
    <w:p w14:paraId="54A39955">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9</w:t>
      </w:r>
      <w:r>
        <w:rPr>
          <w:rFonts w:hint="eastAsia" w:ascii="宋体" w:hAnsi="宋体" w:cs="宋体"/>
          <w:bCs/>
          <w:color w:val="auto"/>
          <w:sz w:val="24"/>
          <w:highlight w:val="none"/>
          <w:lang w:eastAsia="zh-CN"/>
        </w:rPr>
        <w:t>、</w:t>
      </w:r>
      <w:r>
        <w:rPr>
          <w:rFonts w:hint="eastAsia" w:ascii="宋体" w:hAnsi="宋体" w:cs="宋体"/>
          <w:color w:val="auto"/>
          <w:sz w:val="24"/>
          <w:highlight w:val="none"/>
        </w:rPr>
        <w:t>报价超过招标文件中规定的预算金额或者最高限价的</w:t>
      </w:r>
      <w:r>
        <w:rPr>
          <w:rFonts w:hint="eastAsia" w:ascii="宋体" w:hAnsi="宋体" w:cs="宋体"/>
          <w:bCs/>
          <w:color w:val="auto"/>
          <w:sz w:val="24"/>
          <w:highlight w:val="none"/>
        </w:rPr>
        <w:t>；</w:t>
      </w:r>
    </w:p>
    <w:p w14:paraId="132C8920">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10</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同一投标人提交两个及以上不同的投标文件或者投标报价，但招标文件要求提交备选投标的除外；</w:t>
      </w:r>
    </w:p>
    <w:p w14:paraId="4B556B10">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11</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未按招标文件要求提供投标保证金的； </w:t>
      </w:r>
    </w:p>
    <w:p w14:paraId="65FB11BF">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12</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明显不符合技术规范、技术标准的要求的； </w:t>
      </w:r>
    </w:p>
    <w:p w14:paraId="50A440D9">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13</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投标文件提出的检测范围、检测服务期、检测费用及支付办法不能满足招标文件要求或招标人不能接受； </w:t>
      </w:r>
    </w:p>
    <w:p w14:paraId="07DCA8EE">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14</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不同投标人的投标文件出现了评标委员会认为不应当雷同的情况的； </w:t>
      </w:r>
    </w:p>
    <w:p w14:paraId="2144E8F4">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15</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以他人的名义投标、串通投标、以行贿手段谋取中标或者以其他弄虚作假方式投标的；</w:t>
      </w:r>
    </w:p>
    <w:p w14:paraId="4BCEDA48">
      <w:pPr>
        <w:keepNext w:val="0"/>
        <w:keepLines w:val="0"/>
        <w:pageBreakBefore w:val="0"/>
        <w:numPr>
          <w:ilvl w:val="0"/>
          <w:numId w:val="0"/>
        </w:numPr>
        <w:bidi w:val="0"/>
        <w:snapToGrid w:val="0"/>
        <w:spacing w:line="440" w:lineRule="exact"/>
        <w:ind w:left="0" w:leftChars="0" w:firstLine="480" w:firstLineChars="200"/>
        <w:rPr>
          <w:color w:val="auto"/>
          <w:kern w:val="0"/>
          <w:sz w:val="24"/>
          <w:szCs w:val="20"/>
          <w:highlight w:val="none"/>
        </w:rPr>
      </w:pPr>
      <w:r>
        <w:rPr>
          <w:rFonts w:hint="eastAsia" w:ascii="宋体" w:hAnsi="宋体" w:cs="宋体"/>
          <w:bCs/>
          <w:color w:val="auto"/>
          <w:sz w:val="24"/>
          <w:highlight w:val="none"/>
        </w:rPr>
        <w:t>16</w:t>
      </w:r>
      <w:r>
        <w:rPr>
          <w:rFonts w:hint="eastAsia" w:ascii="宋体" w:hAnsi="宋体" w:cs="宋体"/>
          <w:bCs/>
          <w:color w:val="auto"/>
          <w:sz w:val="24"/>
          <w:highlight w:val="none"/>
          <w:lang w:eastAsia="zh-CN"/>
        </w:rPr>
        <w:t>、</w:t>
      </w:r>
      <w:r>
        <w:rPr>
          <w:color w:val="auto"/>
          <w:kern w:val="0"/>
          <w:sz w:val="24"/>
          <w:szCs w:val="20"/>
          <w:highlight w:val="none"/>
        </w:rPr>
        <w:t>投标人的商务技术部分得分相差悬殊，评标委员会认为得分畸低者没有实质性响应的；</w:t>
      </w:r>
    </w:p>
    <w:p w14:paraId="32ED609F">
      <w:pPr>
        <w:keepNext w:val="0"/>
        <w:keepLines w:val="0"/>
        <w:pageBreakBefore w:val="0"/>
        <w:numPr>
          <w:ilvl w:val="0"/>
          <w:numId w:val="0"/>
        </w:numPr>
        <w:bidi w:val="0"/>
        <w:snapToGrid w:val="0"/>
        <w:spacing w:line="440" w:lineRule="exact"/>
        <w:ind w:left="0" w:leftChars="0" w:firstLine="480" w:firstLineChars="200"/>
        <w:rPr>
          <w:rFonts w:hint="eastAsia" w:ascii="宋体" w:hAnsi="宋体" w:cs="宋体"/>
          <w:bCs/>
          <w:color w:val="auto"/>
          <w:sz w:val="24"/>
          <w:highlight w:val="none"/>
        </w:rPr>
      </w:pPr>
      <w:r>
        <w:rPr>
          <w:rFonts w:hint="eastAsia"/>
          <w:color w:val="auto"/>
          <w:kern w:val="0"/>
          <w:sz w:val="24"/>
          <w:szCs w:val="20"/>
          <w:highlight w:val="none"/>
          <w:lang w:val="en-US" w:eastAsia="zh-CN"/>
        </w:rPr>
        <w:t>17、</w:t>
      </w:r>
      <w:r>
        <w:rPr>
          <w:color w:val="auto"/>
          <w:kern w:val="0"/>
          <w:sz w:val="24"/>
          <w:szCs w:val="20"/>
          <w:highlight w:val="none"/>
        </w:rPr>
        <w:t>评标委员会认为投标人的报价明显低于其他通过符合性审查投标人的报价，有可能影响产品质量或者不能诚信履约的，要求其在合理的时间内提供说明，必要时提交相关证明材料；投标人不能证明其报价合理性的，评标委员会应当将其作为无效投标处理；</w:t>
      </w:r>
    </w:p>
    <w:p w14:paraId="71DE92A5">
      <w:pPr>
        <w:keepNext w:val="0"/>
        <w:keepLines w:val="0"/>
        <w:pageBreakBefore w:val="0"/>
        <w:bidi w:val="0"/>
        <w:snapToGrid w:val="0"/>
        <w:spacing w:beforeAutospacing="0" w:afterAutospacing="0" w:line="440" w:lineRule="exact"/>
        <w:ind w:left="0" w:leftChars="0" w:right="0" w:rightChars="0" w:firstLine="573"/>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投标文件组成不符合招标文件要求的。</w:t>
      </w:r>
    </w:p>
    <w:p w14:paraId="1BBA4E86">
      <w:pPr>
        <w:keepNext w:val="0"/>
        <w:keepLines w:val="0"/>
        <w:pageBreakBefore w:val="0"/>
        <w:bidi w:val="0"/>
        <w:snapToGrid w:val="0"/>
        <w:spacing w:beforeAutospacing="0" w:afterAutospacing="0" w:line="440" w:lineRule="exact"/>
        <w:ind w:left="0" w:leftChars="0" w:right="0" w:rightChars="0" w:firstLine="573"/>
        <w:rPr>
          <w:rFonts w:hint="eastAsia" w:ascii="宋体" w:hAnsi="宋体" w:eastAsia="宋体" w:cs="宋体"/>
          <w:color w:val="auto"/>
          <w:sz w:val="24"/>
          <w:highlight w:val="none"/>
          <w:lang w:val="en-US" w:eastAsia="zh-CN"/>
        </w:rPr>
      </w:pPr>
      <w:bookmarkStart w:id="16" w:name="_Hlk81473737"/>
      <w:r>
        <w:rPr>
          <w:rFonts w:hint="eastAsia" w:ascii="宋体" w:hAnsi="宋体" w:cs="宋体"/>
          <w:color w:val="auto"/>
          <w:sz w:val="24"/>
          <w:highlight w:val="none"/>
          <w:lang w:val="en-US" w:eastAsia="zh-CN"/>
        </w:rPr>
        <w:t>19、</w:t>
      </w:r>
      <w:r>
        <w:rPr>
          <w:rFonts w:hint="eastAsia" w:ascii="宋体" w:hAnsi="宋体" w:cs="宋体"/>
          <w:bCs/>
          <w:color w:val="auto"/>
          <w:sz w:val="24"/>
          <w:highlight w:val="none"/>
        </w:rPr>
        <w:t>投标单位被“信用中国”网站列入失信被执行人、重大税收违法</w:t>
      </w:r>
      <w:r>
        <w:rPr>
          <w:rFonts w:hint="eastAsia" w:ascii="宋体" w:hAnsi="宋体" w:cs="宋体"/>
          <w:bCs/>
          <w:color w:val="auto"/>
          <w:sz w:val="24"/>
          <w:highlight w:val="none"/>
          <w:lang w:val="en-US" w:eastAsia="zh-CN"/>
        </w:rPr>
        <w:t>失信主体</w:t>
      </w:r>
      <w:r>
        <w:rPr>
          <w:rFonts w:hint="eastAsia" w:ascii="宋体" w:hAnsi="宋体" w:cs="宋体"/>
          <w:bCs/>
          <w:color w:val="auto"/>
          <w:sz w:val="24"/>
          <w:highlight w:val="none"/>
        </w:rPr>
        <w:t>、政府采购严重违法失信行为记录名单、</w:t>
      </w:r>
      <w:r>
        <w:rPr>
          <w:rFonts w:hint="eastAsia" w:ascii="宋体" w:hAnsi="宋体" w:cs="宋体"/>
          <w:bCs/>
          <w:color w:val="auto"/>
          <w:sz w:val="24"/>
          <w:highlight w:val="none"/>
          <w:lang w:val="en-US" w:eastAsia="zh-CN"/>
        </w:rPr>
        <w:t>经营（活动）</w:t>
      </w:r>
      <w:r>
        <w:rPr>
          <w:rFonts w:hint="eastAsia" w:ascii="宋体" w:hAnsi="宋体" w:cs="宋体"/>
          <w:bCs/>
          <w:color w:val="auto"/>
          <w:sz w:val="24"/>
          <w:highlight w:val="none"/>
        </w:rPr>
        <w:t>异常名录、严重失信</w:t>
      </w:r>
      <w:r>
        <w:rPr>
          <w:rFonts w:hint="eastAsia" w:ascii="宋体" w:hAnsi="宋体" w:cs="宋体"/>
          <w:bCs/>
          <w:color w:val="auto"/>
          <w:sz w:val="24"/>
          <w:highlight w:val="none"/>
          <w:lang w:val="en-US" w:eastAsia="zh-CN"/>
        </w:rPr>
        <w:t>主体</w:t>
      </w:r>
      <w:r>
        <w:rPr>
          <w:rFonts w:hint="eastAsia" w:ascii="宋体" w:hAnsi="宋体" w:cs="宋体"/>
          <w:bCs/>
          <w:color w:val="auto"/>
          <w:sz w:val="24"/>
          <w:highlight w:val="none"/>
        </w:rPr>
        <w:t>名单</w:t>
      </w:r>
      <w:r>
        <w:rPr>
          <w:rFonts w:hint="eastAsia" w:ascii="宋体" w:hAnsi="宋体" w:cs="宋体"/>
          <w:bCs/>
          <w:color w:val="auto"/>
          <w:sz w:val="24"/>
          <w:highlight w:val="none"/>
          <w:lang w:eastAsia="zh-CN"/>
        </w:rPr>
        <w:t>的</w:t>
      </w:r>
      <w:r>
        <w:rPr>
          <w:rFonts w:hint="eastAsia" w:ascii="宋体" w:hAnsi="宋体" w:cs="宋体"/>
          <w:bCs/>
          <w:color w:val="auto"/>
          <w:sz w:val="24"/>
          <w:highlight w:val="none"/>
        </w:rPr>
        <w:t>；</w:t>
      </w:r>
    </w:p>
    <w:bookmarkEnd w:id="16"/>
    <w:p w14:paraId="3ACC87BB">
      <w:pPr>
        <w:keepNext w:val="0"/>
        <w:keepLines w:val="0"/>
        <w:pageBreakBefore w:val="0"/>
        <w:bidi w:val="0"/>
        <w:snapToGrid w:val="0"/>
        <w:spacing w:beforeAutospacing="0" w:afterAutospacing="0" w:line="440" w:lineRule="exact"/>
        <w:ind w:left="0" w:leftChars="0" w:right="0" w:rightChars="0" w:firstLine="573"/>
        <w:rPr>
          <w:rFonts w:ascii="宋体" w:hAnsi="宋体" w:cs="宋体"/>
          <w:color w:val="auto"/>
          <w:sz w:val="24"/>
          <w:highlight w:val="none"/>
        </w:rPr>
      </w:pP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、投标文件含有采购人不能接受的附加条件的；</w:t>
      </w:r>
    </w:p>
    <w:p w14:paraId="2C8F3507">
      <w:pPr>
        <w:keepNext w:val="0"/>
        <w:keepLines w:val="0"/>
        <w:pageBreakBefore w:val="0"/>
        <w:bidi w:val="0"/>
        <w:snapToGrid w:val="0"/>
        <w:spacing w:beforeAutospacing="0" w:afterAutospacing="0" w:line="440" w:lineRule="exact"/>
        <w:ind w:left="0" w:leftChars="0" w:right="0" w:rightChars="0" w:firstLine="573"/>
        <w:rPr>
          <w:rFonts w:ascii="宋体" w:hAnsi="宋体" w:cs="宋体"/>
          <w:color w:val="auto"/>
          <w:sz w:val="24"/>
          <w:highlight w:val="none"/>
        </w:rPr>
      </w:pP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、法律、法规和招标文件规定的其他无效情形。</w:t>
      </w:r>
    </w:p>
    <w:p w14:paraId="5AD32973">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color w:val="auto"/>
          <w:sz w:val="24"/>
          <w:highlight w:val="none"/>
        </w:rPr>
      </w:pPr>
      <w:r>
        <w:rPr>
          <w:rFonts w:hint="eastAsia" w:ascii="宋体" w:hAnsi="宋体"/>
          <w:b/>
          <w:color w:val="auto"/>
          <w:sz w:val="24"/>
          <w:highlight w:val="none"/>
        </w:rPr>
        <w:t>十、有下列情形之一的，视为投标人串通投标，其投标无效</w:t>
      </w:r>
    </w:p>
    <w:p w14:paraId="2919FF1A">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、不同投标人的投标文件由同一单位或者个人编制；</w:t>
      </w:r>
    </w:p>
    <w:p w14:paraId="0C004444">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、不同投标人委托同一单位或者个人办理投标事宜；</w:t>
      </w:r>
    </w:p>
    <w:p w14:paraId="1CFCE6A5">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、不同投标人的投标文件载明的项目管理成员或者联系人员为同一人；</w:t>
      </w:r>
    </w:p>
    <w:p w14:paraId="42471ADC">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、不同投标人的投标文件异常一致或者投标报价呈规律性差异；</w:t>
      </w:r>
    </w:p>
    <w:p w14:paraId="2CC02B2A">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、不同投标人的投标文件相互混装。</w:t>
      </w:r>
    </w:p>
    <w:p w14:paraId="5FA00850">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color w:val="auto"/>
          <w:sz w:val="24"/>
          <w:highlight w:val="none"/>
        </w:rPr>
      </w:pPr>
      <w:r>
        <w:rPr>
          <w:rFonts w:hint="eastAsia" w:ascii="宋体" w:hAnsi="宋体"/>
          <w:b/>
          <w:color w:val="auto"/>
          <w:sz w:val="24"/>
          <w:highlight w:val="none"/>
        </w:rPr>
        <w:t>十一、变更为其他方式采购的情形处理</w:t>
      </w:r>
    </w:p>
    <w:p w14:paraId="350D6DD9">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hint="eastAsia" w:ascii="宋体" w:hAnsi="宋体"/>
          <w:color w:val="auto"/>
          <w:sz w:val="24"/>
          <w:highlight w:val="none"/>
        </w:rPr>
        <w:t>依据《政府采购货物和服务招标投标管理办法》财政部</w:t>
      </w:r>
      <w:r>
        <w:rPr>
          <w:rFonts w:ascii="宋体" w:hAnsi="宋体"/>
          <w:color w:val="auto"/>
          <w:sz w:val="24"/>
          <w:highlight w:val="none"/>
        </w:rPr>
        <w:t>87</w:t>
      </w:r>
      <w:r>
        <w:rPr>
          <w:rFonts w:hint="eastAsia" w:ascii="宋体" w:hAnsi="宋体"/>
          <w:color w:val="auto"/>
          <w:sz w:val="24"/>
          <w:highlight w:val="none"/>
        </w:rPr>
        <w:t>号令第四十三条的规定：公开招标数额标准以上的采购项目，投标截止后投标人不足</w:t>
      </w:r>
      <w:r>
        <w:rPr>
          <w:rFonts w:ascii="宋体" w:hAnsi="宋体"/>
          <w:color w:val="auto"/>
          <w:sz w:val="24"/>
          <w:highlight w:val="none"/>
        </w:rPr>
        <w:t>3</w:t>
      </w:r>
      <w:r>
        <w:rPr>
          <w:rFonts w:hint="eastAsia" w:ascii="宋体" w:hAnsi="宋体"/>
          <w:color w:val="auto"/>
          <w:sz w:val="24"/>
          <w:highlight w:val="none"/>
        </w:rPr>
        <w:t>家或者通过资格审查或符合性审查的投标人不足</w:t>
      </w:r>
      <w:r>
        <w:rPr>
          <w:rFonts w:ascii="宋体" w:hAnsi="宋体"/>
          <w:color w:val="auto"/>
          <w:sz w:val="24"/>
          <w:highlight w:val="none"/>
        </w:rPr>
        <w:t>3</w:t>
      </w:r>
      <w:r>
        <w:rPr>
          <w:rFonts w:hint="eastAsia" w:ascii="宋体" w:hAnsi="宋体"/>
          <w:color w:val="auto"/>
          <w:sz w:val="24"/>
          <w:highlight w:val="none"/>
        </w:rPr>
        <w:t>家的，除采购任务取消情形外，按照以下方式处理：</w:t>
      </w:r>
    </w:p>
    <w:p w14:paraId="761B35E8">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、招标文件存在不合理条款或者招标程序不符合规定的，采购人、采购代理机构改正后依法重新招标；</w:t>
      </w:r>
    </w:p>
    <w:p w14:paraId="74D7E22C">
      <w:pPr>
        <w:keepNext w:val="0"/>
        <w:keepLines w:val="0"/>
        <w:pageBreakBefore w:val="0"/>
        <w:bidi w:val="0"/>
        <w:snapToGrid w:val="0"/>
        <w:spacing w:beforeAutospacing="0" w:afterAutospacing="0" w:line="440" w:lineRule="exact"/>
        <w:ind w:left="0" w:leftChars="0" w:right="0" w:rightChars="0" w:firstLine="484" w:firstLineChars="202"/>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、招标文件没有不合理条款、招标程序符合规定，需要采用其他采购方式采购的，采购人应当依法报财政部门批准。</w:t>
      </w:r>
    </w:p>
    <w:p w14:paraId="1611105C">
      <w:pPr>
        <w:keepNext w:val="0"/>
        <w:keepLines w:val="0"/>
        <w:pageBreakBefore w:val="0"/>
        <w:bidi w:val="0"/>
        <w:snapToGrid w:val="0"/>
        <w:spacing w:beforeAutospacing="0" w:afterAutospacing="0" w:line="440" w:lineRule="exact"/>
        <w:ind w:left="0" w:leftChars="0" w:right="0" w:rightChars="0" w:firstLine="564" w:firstLineChars="235"/>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、依据《政府采购非招标采购方式管理办法》财政部</w:t>
      </w:r>
      <w:r>
        <w:rPr>
          <w:rFonts w:ascii="宋体" w:hAnsi="宋体"/>
          <w:color w:val="auto"/>
          <w:sz w:val="24"/>
          <w:highlight w:val="none"/>
        </w:rPr>
        <w:t>74</w:t>
      </w:r>
      <w:r>
        <w:rPr>
          <w:rFonts w:hint="eastAsia" w:ascii="宋体" w:hAnsi="宋体"/>
          <w:color w:val="auto"/>
          <w:sz w:val="24"/>
          <w:highlight w:val="none"/>
        </w:rPr>
        <w:t>号令第三条第（三）款的规定：达到公开招标数额标准、经批准采用非公开招标的货物、服务，可以采用竞争性谈判、单一来源采购方式采购，采购货物的，还可以采用询价采购方式。</w:t>
      </w:r>
    </w:p>
    <w:p w14:paraId="57EDF160">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hint="eastAsia" w:ascii="宋体" w:hAnsi="宋体"/>
          <w:b/>
          <w:color w:val="auto"/>
          <w:sz w:val="24"/>
          <w:highlight w:val="none"/>
        </w:rPr>
        <w:t>十二、出现下列情形之一的，作废标处理：</w:t>
      </w:r>
      <w:r>
        <w:rPr>
          <w:rFonts w:ascii="宋体" w:hAnsi="宋体"/>
          <w:b/>
          <w:color w:val="auto"/>
          <w:sz w:val="24"/>
          <w:highlight w:val="none"/>
        </w:rPr>
        <w:t xml:space="preserve"> </w:t>
      </w:r>
    </w:p>
    <w:p w14:paraId="5EAB6779">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、出现影响采购公正的违法违规行为的；</w:t>
      </w:r>
    </w:p>
    <w:p w14:paraId="5ACEEFD3">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、所有投标人报价超出采购预算价的；</w:t>
      </w:r>
    </w:p>
    <w:p w14:paraId="6623C1A6">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、因重大变故，采购任务被取消的；</w:t>
      </w:r>
    </w:p>
    <w:p w14:paraId="106E014B">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bookmarkStart w:id="17" w:name="_Hlk81473907"/>
      <w:r>
        <w:rPr>
          <w:rFonts w:hint="eastAsia" w:ascii="宋体" w:hAnsi="宋体"/>
          <w:color w:val="auto"/>
          <w:sz w:val="24"/>
          <w:highlight w:val="none"/>
        </w:rPr>
        <w:t>4、经评标委员会</w:t>
      </w:r>
      <w:bookmarkStart w:id="18" w:name="_Hlk81472270"/>
      <w:r>
        <w:rPr>
          <w:rFonts w:hint="eastAsia" w:ascii="宋体" w:hAnsi="宋体"/>
          <w:color w:val="auto"/>
          <w:sz w:val="24"/>
          <w:highlight w:val="none"/>
        </w:rPr>
        <w:t>资格符合性评审</w:t>
      </w:r>
      <w:bookmarkEnd w:id="18"/>
      <w:r>
        <w:rPr>
          <w:rFonts w:hint="eastAsia" w:ascii="宋体" w:hAnsi="宋体"/>
          <w:color w:val="auto"/>
          <w:sz w:val="24"/>
          <w:highlight w:val="none"/>
        </w:rPr>
        <w:t>后，通过资格符合性评审的投标人不足三家的；</w:t>
      </w:r>
    </w:p>
    <w:bookmarkEnd w:id="17"/>
    <w:p w14:paraId="68785FAE">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、评标委员会依据法律法规可以认定为废标的其他情况。</w:t>
      </w:r>
    </w:p>
    <w:p w14:paraId="513EC36D">
      <w:pPr>
        <w:keepNext w:val="0"/>
        <w:keepLines w:val="0"/>
        <w:pageBreakBefore w:val="0"/>
        <w:bidi w:val="0"/>
        <w:snapToGrid w:val="0"/>
        <w:spacing w:beforeAutospacing="0" w:afterAutospacing="0" w:line="440" w:lineRule="exact"/>
        <w:ind w:left="0" w:leftChars="0" w:right="0" w:rightChars="0" w:firstLine="480" w:firstLineChars="200"/>
        <w:outlineLvl w:val="1"/>
        <w:rPr>
          <w:rFonts w:ascii="宋体" w:hAnsi="宋体"/>
          <w:b/>
          <w:color w:val="auto"/>
          <w:sz w:val="24"/>
          <w:highlight w:val="none"/>
        </w:rPr>
      </w:pPr>
      <w:r>
        <w:rPr>
          <w:rFonts w:hint="eastAsia" w:ascii="宋体" w:hAnsi="宋体"/>
          <w:b/>
          <w:color w:val="auto"/>
          <w:sz w:val="24"/>
          <w:highlight w:val="none"/>
        </w:rPr>
        <w:t>十三、中标通知</w:t>
      </w:r>
    </w:p>
    <w:p w14:paraId="0125D5F3">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、开标结束后，采购人自中标人确定之日起</w:t>
      </w:r>
      <w:r>
        <w:rPr>
          <w:rFonts w:ascii="宋体" w:hAnsi="宋体"/>
          <w:color w:val="auto"/>
          <w:sz w:val="24"/>
          <w:highlight w:val="none"/>
        </w:rPr>
        <w:t>2</w:t>
      </w:r>
      <w:r>
        <w:rPr>
          <w:rFonts w:hint="eastAsia" w:ascii="宋体" w:hAnsi="宋体"/>
          <w:color w:val="auto"/>
          <w:sz w:val="24"/>
          <w:highlight w:val="none"/>
        </w:rPr>
        <w:t>个工作日内在指定媒体上公告中标结果。</w:t>
      </w:r>
    </w:p>
    <w:p w14:paraId="3EF32473">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、中标公告期限为</w:t>
      </w:r>
      <w:r>
        <w:rPr>
          <w:rFonts w:ascii="宋体" w:hAnsi="宋体"/>
          <w:color w:val="auto"/>
          <w:sz w:val="24"/>
          <w:highlight w:val="none"/>
        </w:rPr>
        <w:t>1</w:t>
      </w:r>
      <w:r>
        <w:rPr>
          <w:rFonts w:hint="eastAsia" w:ascii="宋体" w:hAnsi="宋体"/>
          <w:color w:val="auto"/>
          <w:sz w:val="24"/>
          <w:highlight w:val="none"/>
        </w:rPr>
        <w:t>个工作日，期限结束后向中标人发出《中标通知书》。</w:t>
      </w:r>
    </w:p>
    <w:p w14:paraId="411281DE">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、《中标通知书》一经发出，即具有法律效力。采购人、中标人依法承担法律责任。</w:t>
      </w:r>
    </w:p>
    <w:p w14:paraId="1AC50644">
      <w:pPr>
        <w:pStyle w:val="63"/>
        <w:keepNext w:val="0"/>
        <w:keepLines w:val="0"/>
        <w:pageBreakBefore w:val="0"/>
        <w:bidi w:val="0"/>
        <w:spacing w:beforeAutospacing="0" w:after="0" w:afterLines="0" w:afterAutospacing="0" w:line="440" w:lineRule="exact"/>
        <w:ind w:left="0" w:leftChars="0" w:right="0" w:rightChars="0"/>
        <w:rPr>
          <w:rFonts w:ascii="宋体"/>
          <w:color w:val="auto"/>
          <w:highlight w:val="none"/>
        </w:rPr>
      </w:pPr>
      <w:r>
        <w:rPr>
          <w:rFonts w:ascii="宋体"/>
          <w:color w:val="auto"/>
          <w:highlight w:val="none"/>
        </w:rPr>
        <w:br w:type="page"/>
      </w:r>
      <w:bookmarkStart w:id="19" w:name="_Toc144974577"/>
      <w:bookmarkStart w:id="20" w:name="_Toc152042387"/>
      <w:bookmarkStart w:id="21" w:name="_Toc179632627"/>
      <w:bookmarkStart w:id="22" w:name="_Toc318874023"/>
      <w:bookmarkStart w:id="23" w:name="_Toc152045609"/>
      <w:r>
        <w:rPr>
          <w:rStyle w:val="124"/>
          <w:color w:val="auto"/>
          <w:sz w:val="28"/>
          <w:szCs w:val="28"/>
          <w:highlight w:val="none"/>
        </w:rPr>
        <w:t>第</w:t>
      </w:r>
      <w:r>
        <w:rPr>
          <w:rStyle w:val="124"/>
          <w:rFonts w:hint="default"/>
          <w:color w:val="auto"/>
          <w:sz w:val="28"/>
          <w:szCs w:val="28"/>
          <w:highlight w:val="none"/>
        </w:rPr>
        <w:t>五</w:t>
      </w:r>
      <w:r>
        <w:rPr>
          <w:rStyle w:val="124"/>
          <w:color w:val="auto"/>
          <w:sz w:val="28"/>
          <w:szCs w:val="28"/>
          <w:highlight w:val="none"/>
        </w:rPr>
        <w:t xml:space="preserve">章 </w:t>
      </w:r>
      <w:r>
        <w:rPr>
          <w:rStyle w:val="124"/>
          <w:rFonts w:hint="default"/>
          <w:color w:val="auto"/>
          <w:sz w:val="28"/>
          <w:szCs w:val="28"/>
          <w:highlight w:val="none"/>
        </w:rPr>
        <w:t xml:space="preserve"> </w:t>
      </w:r>
      <w:r>
        <w:rPr>
          <w:rStyle w:val="124"/>
          <w:color w:val="auto"/>
          <w:sz w:val="28"/>
          <w:szCs w:val="28"/>
          <w:highlight w:val="none"/>
        </w:rPr>
        <w:t>合同条款及格式</w:t>
      </w:r>
      <w:bookmarkEnd w:id="19"/>
      <w:bookmarkEnd w:id="20"/>
      <w:bookmarkEnd w:id="21"/>
      <w:bookmarkEnd w:id="22"/>
      <w:bookmarkEnd w:id="23"/>
      <w:r>
        <w:rPr>
          <w:rStyle w:val="124"/>
          <w:color w:val="auto"/>
          <w:sz w:val="28"/>
          <w:szCs w:val="28"/>
          <w:highlight w:val="none"/>
        </w:rPr>
        <w:t>（参考）</w:t>
      </w:r>
    </w:p>
    <w:p w14:paraId="2AD587D9">
      <w:pPr>
        <w:keepNext w:val="0"/>
        <w:keepLines w:val="0"/>
        <w:pageBreakBefore w:val="0"/>
        <w:bidi w:val="0"/>
        <w:spacing w:beforeAutospacing="0" w:afterAutospacing="0" w:line="440" w:lineRule="exact"/>
        <w:ind w:left="0" w:leftChars="0" w:right="0" w:rightChars="0"/>
        <w:rPr>
          <w:color w:val="auto"/>
          <w:highlight w:val="none"/>
        </w:rPr>
      </w:pPr>
    </w:p>
    <w:p w14:paraId="20324127">
      <w:pPr>
        <w:keepNext w:val="0"/>
        <w:keepLines w:val="0"/>
        <w:pageBreakBefore w:val="0"/>
        <w:bidi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委托方（以下简称甲方）</w:t>
      </w:r>
      <w:r>
        <w:rPr>
          <w:rFonts w:hint="eastAsia" w:ascii="宋体" w:hAnsi="宋体" w:cs="宋体"/>
          <w:color w:val="auto"/>
          <w:sz w:val="24"/>
          <w:highlight w:val="none"/>
          <w:u w:val="single"/>
        </w:rPr>
        <w:t xml:space="preserve">                           </w:t>
      </w:r>
    </w:p>
    <w:p w14:paraId="09E9C801">
      <w:pPr>
        <w:keepNext w:val="0"/>
        <w:keepLines w:val="0"/>
        <w:pageBreakBefore w:val="0"/>
        <w:bidi w:val="0"/>
        <w:spacing w:beforeAutospacing="0" w:afterAutospacing="0" w:line="440" w:lineRule="exact"/>
        <w:ind w:left="0" w:leftChars="0" w:right="0" w:rightChars="0" w:firstLine="480" w:firstLineChars="200"/>
        <w:rPr>
          <w:rFonts w:ascii="宋体" w:hAnsi="宋体" w:cs="宋体"/>
          <w:b/>
          <w:bCs/>
          <w:color w:val="auto"/>
          <w:sz w:val="24"/>
          <w:highlight w:val="none"/>
        </w:rPr>
      </w:pPr>
      <w:r>
        <w:rPr>
          <w:rFonts w:hint="eastAsia" w:ascii="宋体" w:hAnsi="宋体" w:cs="宋体"/>
          <w:color w:val="auto"/>
          <w:sz w:val="24"/>
          <w:highlight w:val="none"/>
        </w:rPr>
        <w:t>承揽方（以下简称乙方）</w:t>
      </w:r>
      <w:r>
        <w:rPr>
          <w:rFonts w:hint="eastAsia" w:ascii="宋体" w:hAnsi="宋体" w:cs="宋体"/>
          <w:color w:val="auto"/>
          <w:sz w:val="24"/>
          <w:highlight w:val="none"/>
          <w:u w:val="single"/>
        </w:rPr>
        <w:t xml:space="preserve">                           </w:t>
      </w:r>
    </w:p>
    <w:p w14:paraId="154DE7B1">
      <w:pPr>
        <w:keepNext w:val="0"/>
        <w:keepLines w:val="0"/>
        <w:pageBreakBefore w:val="0"/>
        <w:bidi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根据《中华人民共和国民法典》和有关法律法规，经甲乙双方协商一致签订本合同。</w:t>
      </w:r>
    </w:p>
    <w:p w14:paraId="44523ACD">
      <w:pPr>
        <w:keepNext w:val="0"/>
        <w:keepLines w:val="0"/>
        <w:pageBreakBefore w:val="0"/>
        <w:bidi w:val="0"/>
        <w:adjustRightInd w:val="0"/>
        <w:snapToGrid w:val="0"/>
        <w:spacing w:beforeAutospacing="0" w:afterAutospacing="0" w:line="440" w:lineRule="exact"/>
        <w:ind w:left="0" w:leftChars="0" w:right="0" w:rightChars="0" w:firstLine="480" w:firstLineChars="200"/>
        <w:rPr>
          <w:rFonts w:hint="eastAsia" w:ascii="宋体" w:hAnsi="宋体" w:cs="宋体"/>
          <w:b/>
          <w:color w:val="auto"/>
          <w:sz w:val="24"/>
          <w:highlight w:val="none"/>
        </w:rPr>
      </w:pPr>
      <w:r>
        <w:rPr>
          <w:rFonts w:hint="eastAsia" w:ascii="宋体" w:hAnsi="宋体" w:cs="宋体"/>
          <w:b/>
          <w:color w:val="auto"/>
          <w:sz w:val="24"/>
          <w:highlight w:val="none"/>
        </w:rPr>
        <w:t>第一条  检测的主要内容</w:t>
      </w:r>
    </w:p>
    <w:p w14:paraId="48C2C2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（一）外观检查</w:t>
      </w:r>
    </w:p>
    <w:p w14:paraId="5DDE4C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pacing w:val="-6"/>
          <w:kern w:val="2"/>
          <w:sz w:val="24"/>
          <w:szCs w:val="24"/>
          <w:highlight w:val="none"/>
          <w:lang w:val="en-US" w:eastAsia="zh-CN" w:bidi="ar-SA"/>
        </w:rPr>
        <w:t>目测</w:t>
      </w:r>
      <w:r>
        <w:rPr>
          <w:rFonts w:hint="eastAsia" w:ascii="宋体" w:hAnsi="宋体" w:eastAsia="宋体" w:cs="宋体"/>
          <w:color w:val="auto"/>
          <w:spacing w:val="-6"/>
          <w:sz w:val="24"/>
          <w:szCs w:val="24"/>
          <w:highlight w:val="none"/>
          <w:lang w:val="en-US" w:eastAsia="zh-CN"/>
        </w:rPr>
        <w:t>结合简易测量设备，主要检查</w:t>
      </w:r>
      <w:r>
        <w:rPr>
          <w:rFonts w:hint="eastAsia" w:ascii="宋体" w:hAnsi="宋体" w:cs="宋体"/>
          <w:color w:val="auto"/>
          <w:spacing w:val="-6"/>
          <w:sz w:val="24"/>
          <w:szCs w:val="24"/>
          <w:highlight w:val="none"/>
          <w:lang w:val="en-US" w:eastAsia="zh-CN"/>
        </w:rPr>
        <w:t>老节制闸交通桥</w:t>
      </w:r>
      <w:r>
        <w:rPr>
          <w:rFonts w:hint="eastAsia" w:ascii="宋体" w:hAnsi="宋体" w:eastAsia="宋体" w:cs="宋体"/>
          <w:color w:val="auto"/>
          <w:spacing w:val="-6"/>
          <w:sz w:val="24"/>
          <w:szCs w:val="24"/>
          <w:highlight w:val="none"/>
          <w:lang w:val="en-US" w:eastAsia="zh-CN"/>
        </w:rPr>
        <w:t>桥梁上部结构、下部结构以及桥面系和附属设施</w:t>
      </w:r>
      <w:r>
        <w:rPr>
          <w:rFonts w:hint="eastAsia" w:ascii="宋体" w:hAnsi="宋体" w:eastAsia="宋体" w:cs="宋体"/>
          <w:color w:val="auto"/>
          <w:spacing w:val="-6"/>
          <w:kern w:val="2"/>
          <w:sz w:val="24"/>
          <w:szCs w:val="24"/>
          <w:highlight w:val="none"/>
          <w:lang w:val="en-US" w:eastAsia="zh-CN" w:bidi="ar-SA"/>
        </w:rPr>
        <w:t>外观缺陷普查，</w:t>
      </w:r>
      <w:r>
        <w:rPr>
          <w:rFonts w:hint="eastAsia" w:ascii="宋体" w:hAnsi="宋体" w:eastAsia="宋体" w:cs="宋体"/>
          <w:color w:val="auto"/>
          <w:spacing w:val="-6"/>
          <w:sz w:val="24"/>
          <w:szCs w:val="24"/>
          <w:highlight w:val="none"/>
          <w:lang w:val="en-US" w:eastAsia="zh-CN"/>
        </w:rPr>
        <w:t xml:space="preserve">标注、记录缺陷； </w:t>
      </w:r>
    </w:p>
    <w:p w14:paraId="4FA4EDC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水闸水下结构完好情况摸探。范围为：老节制闸上游防冲槽~老节制闸下游连接段与通吕闸上游连接段的交界处，内容为：上下游护坦、消力池、翼墙、闸室等结构水下部分损坏、变形情况；各结构墙体伸缩缝、止水完好情况等。</w:t>
      </w:r>
    </w:p>
    <w:p w14:paraId="29B739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w:t>
      </w:r>
      <w:r>
        <w:rPr>
          <w:rFonts w:hint="eastAsia" w:ascii="宋体" w:hAnsi="宋体" w:cs="宋体"/>
          <w:color w:val="auto"/>
          <w:spacing w:val="-6"/>
          <w:sz w:val="24"/>
          <w:szCs w:val="24"/>
          <w:highlight w:val="none"/>
          <w:lang w:val="en-US" w:eastAsia="zh-CN"/>
        </w:rPr>
        <w:t>南通老节制闸交通桥</w:t>
      </w:r>
      <w:r>
        <w:rPr>
          <w:rFonts w:hint="eastAsia" w:ascii="宋体" w:hAnsi="宋体" w:eastAsia="宋体" w:cs="宋体"/>
          <w:b w:val="0"/>
          <w:bCs w:val="0"/>
          <w:color w:val="auto"/>
          <w:kern w:val="2"/>
          <w:sz w:val="24"/>
          <w:szCs w:val="24"/>
          <w:highlight w:val="none"/>
          <w:lang w:val="en-US" w:eastAsia="zh-CN" w:bidi="ar-SA"/>
        </w:rPr>
        <w:t>桥梁结构构件检测</w:t>
      </w:r>
    </w:p>
    <w:p w14:paraId="640184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（1）检测</w:t>
      </w:r>
      <w:r>
        <w:rPr>
          <w:rFonts w:hint="eastAsia" w:ascii="宋体" w:hAnsi="宋体" w:cs="宋体"/>
          <w:color w:val="auto"/>
          <w:spacing w:val="-6"/>
          <w:sz w:val="24"/>
          <w:szCs w:val="24"/>
          <w:highlight w:val="none"/>
          <w:lang w:val="en-US" w:eastAsia="zh-CN"/>
        </w:rPr>
        <w:t>老</w:t>
      </w:r>
      <w:r>
        <w:rPr>
          <w:rFonts w:hint="eastAsia" w:ascii="宋体" w:hAnsi="宋体" w:cs="宋体"/>
          <w:color w:val="auto"/>
          <w:kern w:val="2"/>
          <w:sz w:val="24"/>
          <w:szCs w:val="24"/>
          <w:highlight w:val="none"/>
          <w:lang w:val="en-US" w:eastAsia="zh-CN" w:bidi="ar-SA"/>
        </w:rPr>
        <w:t>节制闸</w:t>
      </w:r>
      <w:r>
        <w:rPr>
          <w:rFonts w:hint="eastAsia" w:ascii="宋体" w:hAnsi="宋体" w:eastAsia="宋体" w:cs="宋体"/>
          <w:color w:val="auto"/>
          <w:kern w:val="2"/>
          <w:sz w:val="24"/>
          <w:szCs w:val="24"/>
          <w:highlight w:val="none"/>
          <w:lang w:val="en-US" w:eastAsia="zh-CN" w:bidi="ar-SA"/>
        </w:rPr>
        <w:t>交通桥预制板、盖梁、墩柱、水闸闸墩、</w:t>
      </w:r>
      <w:r>
        <w:rPr>
          <w:rFonts w:hint="eastAsia" w:ascii="宋体" w:hAnsi="宋体" w:cs="宋体"/>
          <w:color w:val="auto"/>
          <w:kern w:val="2"/>
          <w:sz w:val="24"/>
          <w:szCs w:val="24"/>
          <w:highlight w:val="none"/>
          <w:lang w:val="en-US" w:eastAsia="zh-CN" w:bidi="ar-SA"/>
        </w:rPr>
        <w:t>排架</w:t>
      </w:r>
      <w:r>
        <w:rPr>
          <w:rFonts w:hint="eastAsia" w:ascii="宋体" w:hAnsi="宋体" w:eastAsia="宋体" w:cs="宋体"/>
          <w:color w:val="auto"/>
          <w:kern w:val="2"/>
          <w:sz w:val="24"/>
          <w:szCs w:val="24"/>
          <w:highlight w:val="none"/>
          <w:lang w:val="en-US" w:eastAsia="zh-CN" w:bidi="ar-SA"/>
        </w:rPr>
        <w:t>等混凝土构件的碳化深度、现有强度、保护层厚度、裂缝等(钻芯法、回弹法)；</w:t>
      </w:r>
    </w:p>
    <w:p w14:paraId="786800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（2）桥面线形检测，用电子水准仪对桥面控制点的相对高程进行测量，观测整个桥面纵向线形变化情况。</w:t>
      </w:r>
    </w:p>
    <w:p w14:paraId="494A12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w:t>
      </w:r>
      <w:r>
        <w:rPr>
          <w:rFonts w:hint="eastAsia" w:ascii="宋体" w:hAnsi="宋体" w:cs="宋体"/>
          <w:color w:val="auto"/>
          <w:spacing w:val="-6"/>
          <w:sz w:val="24"/>
          <w:szCs w:val="24"/>
          <w:highlight w:val="none"/>
          <w:lang w:val="en-US" w:eastAsia="zh-CN"/>
        </w:rPr>
        <w:t>南通老节制闸交通桥</w:t>
      </w:r>
      <w:r>
        <w:rPr>
          <w:rFonts w:hint="eastAsia" w:ascii="宋体" w:hAnsi="宋体" w:eastAsia="宋体" w:cs="宋体"/>
          <w:b w:val="0"/>
          <w:bCs w:val="0"/>
          <w:color w:val="auto"/>
          <w:kern w:val="2"/>
          <w:sz w:val="24"/>
          <w:szCs w:val="24"/>
          <w:highlight w:val="none"/>
          <w:lang w:val="en-US" w:eastAsia="zh-CN" w:bidi="ar-SA"/>
        </w:rPr>
        <w:t>桥梁荷载试验</w:t>
      </w:r>
    </w:p>
    <w:p w14:paraId="303FCE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（1）静力荷载，鉴定结构承载能力；</w:t>
      </w:r>
    </w:p>
    <w:p w14:paraId="01A809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（2）动力荷载，测定结构力学性能参数和振动参数。</w:t>
      </w:r>
    </w:p>
    <w:p w14:paraId="016EBF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w:t>
      </w:r>
      <w:r>
        <w:rPr>
          <w:rFonts w:hint="eastAsia" w:ascii="宋体" w:hAnsi="宋体" w:cs="宋体"/>
          <w:color w:val="auto"/>
          <w:spacing w:val="-6"/>
          <w:sz w:val="24"/>
          <w:szCs w:val="24"/>
          <w:highlight w:val="none"/>
          <w:lang w:val="en-US" w:eastAsia="zh-CN"/>
        </w:rPr>
        <w:t>南通老节制闸</w:t>
      </w:r>
      <w:r>
        <w:rPr>
          <w:rFonts w:hint="eastAsia" w:ascii="宋体" w:hAnsi="宋体" w:eastAsia="宋体" w:cs="宋体"/>
          <w:b w:val="0"/>
          <w:bCs w:val="0"/>
          <w:color w:val="auto"/>
          <w:kern w:val="2"/>
          <w:sz w:val="24"/>
          <w:szCs w:val="24"/>
          <w:highlight w:val="none"/>
          <w:lang w:val="en-US" w:eastAsia="zh-CN" w:bidi="ar-SA"/>
        </w:rPr>
        <w:t>结构验算</w:t>
      </w:r>
    </w:p>
    <w:p w14:paraId="339226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水闸</w:t>
      </w:r>
      <w:r>
        <w:rPr>
          <w:rFonts w:hint="eastAsia" w:ascii="宋体" w:hAnsi="宋体" w:eastAsia="宋体" w:cs="宋体"/>
          <w:color w:val="auto"/>
          <w:sz w:val="24"/>
          <w:szCs w:val="24"/>
          <w:highlight w:val="none"/>
        </w:rPr>
        <w:t>工程结构进行全面计算复核</w:t>
      </w:r>
      <w:r>
        <w:rPr>
          <w:rFonts w:hint="eastAsia" w:ascii="宋体" w:hAnsi="宋体" w:eastAsia="宋体" w:cs="宋体"/>
          <w:color w:val="auto"/>
          <w:sz w:val="24"/>
          <w:szCs w:val="24"/>
          <w:highlight w:val="none"/>
          <w:lang w:eastAsia="zh-CN"/>
        </w:rPr>
        <w:t>：</w:t>
      </w:r>
    </w:p>
    <w:p w14:paraId="70E1FA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水闸稳定验算，过流能力验算；</w:t>
      </w:r>
    </w:p>
    <w:p w14:paraId="75C53C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老节制闸交通桥</w:t>
      </w:r>
      <w:r>
        <w:rPr>
          <w:rFonts w:hint="eastAsia" w:ascii="宋体" w:hAnsi="宋体" w:eastAsia="宋体" w:cs="宋体"/>
          <w:color w:val="auto"/>
          <w:kern w:val="2"/>
          <w:sz w:val="24"/>
          <w:szCs w:val="24"/>
          <w:highlight w:val="none"/>
          <w:lang w:val="en-US" w:eastAsia="zh-CN" w:bidi="ar-SA"/>
        </w:rPr>
        <w:t>桥面板、盖梁、墩柱、底板等结构验算，包括承载力验算（原结构承载能力极限状态验算）、稳定性验算和刚度验算。</w:t>
      </w:r>
    </w:p>
    <w:p w14:paraId="3CA25E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w:t>
      </w:r>
      <w:r>
        <w:rPr>
          <w:rFonts w:hint="eastAsia" w:ascii="宋体" w:hAnsi="宋体" w:cs="宋体"/>
          <w:b w:val="0"/>
          <w:bCs w:val="0"/>
          <w:color w:val="auto"/>
          <w:kern w:val="2"/>
          <w:sz w:val="24"/>
          <w:szCs w:val="24"/>
          <w:highlight w:val="none"/>
          <w:lang w:val="en-US" w:eastAsia="zh-CN" w:bidi="ar-SA"/>
        </w:rPr>
        <w:t>综合评估</w:t>
      </w:r>
    </w:p>
    <w:p w14:paraId="2E8D8A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依据《水闸安全评价导则》</w:t>
      </w:r>
      <w:r>
        <w:rPr>
          <w:rFonts w:hint="eastAsia" w:ascii="宋体" w:hAnsi="宋体" w:eastAsia="宋体" w:cs="宋体"/>
          <w:color w:val="auto"/>
          <w:sz w:val="24"/>
          <w:szCs w:val="24"/>
          <w:highlight w:val="none"/>
          <w:lang w:val="en-US" w:eastAsia="zh-CN"/>
        </w:rPr>
        <w:t>(SL 214-2015)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《城市桥梁检测与评定技术规范》（CJJT/233</w:t>
      </w:r>
      <w:r>
        <w:rPr>
          <w:rFonts w:hint="eastAsia" w:ascii="宋体" w:hAnsi="宋体" w:eastAsia="宋体" w:cs="宋体"/>
          <w:color w:val="auto"/>
          <w:sz w:val="24"/>
          <w:szCs w:val="24"/>
          <w:highlight w:val="none"/>
          <w:lang w:val="en-US" w:eastAsia="zh-CN"/>
        </w:rPr>
        <w:t>-2015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等规范和相关规定，</w:t>
      </w:r>
      <w:r>
        <w:rPr>
          <w:rFonts w:hint="eastAsia" w:ascii="宋体" w:hAnsi="宋体" w:eastAsia="宋体" w:cs="宋体"/>
          <w:color w:val="auto"/>
          <w:sz w:val="24"/>
          <w:szCs w:val="24"/>
          <w:highlight w:val="none"/>
          <w:lang w:eastAsia="zh-CN"/>
        </w:rPr>
        <w:t>通过外观检查、构件检测、荷载试验</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结构检算等</w:t>
      </w:r>
      <w:r>
        <w:rPr>
          <w:rFonts w:hint="eastAsia" w:ascii="宋体" w:hAnsi="宋体" w:cs="宋体"/>
          <w:color w:val="auto"/>
          <w:sz w:val="24"/>
          <w:szCs w:val="24"/>
          <w:highlight w:val="none"/>
          <w:lang w:eastAsia="zh-CN"/>
        </w:rPr>
        <w:t>综合评估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确定</w:t>
      </w:r>
      <w:r>
        <w:rPr>
          <w:rFonts w:hint="eastAsia" w:ascii="宋体" w:hAnsi="宋体" w:cs="宋体"/>
          <w:color w:val="auto"/>
          <w:sz w:val="24"/>
          <w:szCs w:val="24"/>
          <w:highlight w:val="none"/>
          <w:lang w:val="en-US" w:eastAsia="zh-CN"/>
        </w:rPr>
        <w:t>南通老</w:t>
      </w:r>
      <w:r>
        <w:rPr>
          <w:rFonts w:hint="eastAsia" w:ascii="宋体" w:hAnsi="宋体" w:eastAsia="宋体" w:cs="宋体"/>
          <w:color w:val="auto"/>
          <w:sz w:val="24"/>
          <w:szCs w:val="24"/>
          <w:highlight w:val="none"/>
        </w:rPr>
        <w:t>节制闸</w:t>
      </w:r>
      <w:r>
        <w:rPr>
          <w:rFonts w:hint="eastAsia" w:ascii="宋体" w:hAnsi="宋体" w:eastAsia="宋体" w:cs="宋体"/>
          <w:color w:val="auto"/>
          <w:sz w:val="24"/>
          <w:szCs w:val="24"/>
          <w:highlight w:val="none"/>
          <w:lang w:eastAsia="zh-CN"/>
        </w:rPr>
        <w:t>具有潜在退化可能或已处于退化状态的桥梁构件，提出相应的建议意见</w:t>
      </w:r>
      <w:r>
        <w:rPr>
          <w:rFonts w:hint="eastAsia" w:ascii="宋体" w:hAnsi="宋体" w:eastAsia="宋体" w:cs="宋体"/>
          <w:color w:val="auto"/>
          <w:sz w:val="24"/>
          <w:szCs w:val="24"/>
          <w:highlight w:val="none"/>
        </w:rPr>
        <w:t>。</w:t>
      </w:r>
    </w:p>
    <w:p w14:paraId="1426ECFE">
      <w:pPr>
        <w:keepNext w:val="0"/>
        <w:keepLines w:val="0"/>
        <w:pageBreakBefore w:val="0"/>
        <w:widowControl w:val="0"/>
        <w:kinsoku/>
        <w:wordWrap/>
        <w:overflowPunct/>
        <w:topLinePunct w:val="0"/>
        <w:autoSpaceDE/>
        <w:autoSpaceDN/>
        <w:bidi w:val="0"/>
        <w:adjustRightInd/>
        <w:snapToGrid/>
        <w:spacing w:line="440" w:lineRule="exact"/>
        <w:ind w:left="0" w:leftChars="0" w:firstLineChars="200"/>
        <w:textAlignment w:val="auto"/>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lang w:val="en-US" w:eastAsia="zh-CN"/>
        </w:rPr>
        <w:t>检测清单</w:t>
      </w:r>
    </w:p>
    <w:p w14:paraId="4395862A">
      <w:pPr>
        <w:keepNext w:val="0"/>
        <w:keepLines w:val="0"/>
        <w:pageBreakBefore w:val="0"/>
        <w:widowControl w:val="0"/>
        <w:kinsoku/>
        <w:wordWrap/>
        <w:overflowPunct/>
        <w:topLinePunct w:val="0"/>
        <w:autoSpaceDE/>
        <w:autoSpaceDN/>
        <w:bidi w:val="0"/>
        <w:adjustRightInd/>
        <w:snapToGrid/>
        <w:spacing w:line="440" w:lineRule="exact"/>
        <w:ind w:left="0" w:leftChars="0" w:firstLineChars="200"/>
        <w:jc w:val="center"/>
        <w:textAlignment w:val="auto"/>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南通</w:t>
      </w:r>
      <w:r>
        <w:rPr>
          <w:rFonts w:hint="eastAsia" w:ascii="宋体" w:hAnsi="宋体" w:cs="宋体"/>
          <w:b/>
          <w:bCs/>
          <w:color w:val="auto"/>
          <w:sz w:val="24"/>
          <w:szCs w:val="24"/>
          <w:highlight w:val="none"/>
          <w:lang w:val="en-US" w:eastAsia="zh-CN"/>
        </w:rPr>
        <w:t>老</w:t>
      </w:r>
      <w:r>
        <w:rPr>
          <w:rFonts w:hint="eastAsia" w:ascii="宋体" w:hAnsi="宋体" w:eastAsia="宋体" w:cs="宋体"/>
          <w:b/>
          <w:bCs/>
          <w:color w:val="auto"/>
          <w:sz w:val="24"/>
          <w:szCs w:val="24"/>
          <w:highlight w:val="none"/>
        </w:rPr>
        <w:t>节制闸</w:t>
      </w:r>
      <w:r>
        <w:rPr>
          <w:rFonts w:hint="eastAsia" w:ascii="宋体" w:hAnsi="宋体" w:cs="宋体"/>
          <w:b/>
          <w:bCs/>
          <w:color w:val="auto"/>
          <w:sz w:val="24"/>
          <w:szCs w:val="24"/>
          <w:highlight w:val="none"/>
          <w:lang w:val="en-US" w:eastAsia="zh-CN"/>
        </w:rPr>
        <w:t>构件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荷载、结构验算清单</w:t>
      </w:r>
    </w:p>
    <w:tbl>
      <w:tblPr>
        <w:tblStyle w:val="65"/>
        <w:tblW w:w="5162" w:type="pct"/>
        <w:tblInd w:w="0" w:type="dxa"/>
        <w:tblLayout w:type="fixed"/>
        <w:tblCellMar>
          <w:top w:w="0" w:type="dxa"/>
          <w:left w:w="0" w:type="dxa"/>
          <w:bottom w:w="0" w:type="dxa"/>
          <w:right w:w="0" w:type="dxa"/>
        </w:tblCellMar>
      </w:tblPr>
      <w:tblGrid>
        <w:gridCol w:w="651"/>
        <w:gridCol w:w="709"/>
        <w:gridCol w:w="723"/>
        <w:gridCol w:w="3400"/>
        <w:gridCol w:w="880"/>
        <w:gridCol w:w="727"/>
        <w:gridCol w:w="2524"/>
      </w:tblGrid>
      <w:tr w14:paraId="2AD5A0D4">
        <w:tblPrEx>
          <w:tblCellMar>
            <w:top w:w="0" w:type="dxa"/>
            <w:left w:w="0" w:type="dxa"/>
            <w:bottom w:w="0" w:type="dxa"/>
            <w:right w:w="0" w:type="dxa"/>
          </w:tblCellMar>
        </w:tblPrEx>
        <w:trPr>
          <w:trHeight w:val="545" w:hRule="atLeast"/>
          <w:tblHeader/>
        </w:trPr>
        <w:tc>
          <w:tcPr>
            <w:tcW w:w="338" w:type="pct"/>
            <w:tcBorders>
              <w:top w:val="single" w:color="000000" w:sz="4" w:space="0"/>
              <w:left w:val="single" w:color="000000" w:sz="4" w:space="0"/>
              <w:bottom w:val="single" w:color="000000" w:sz="4" w:space="0"/>
              <w:right w:val="single" w:color="000000" w:sz="4" w:space="0"/>
            </w:tcBorders>
            <w:noWrap/>
            <w:vAlign w:val="center"/>
          </w:tcPr>
          <w:p w14:paraId="34B1C85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744" w:type="pct"/>
            <w:gridSpan w:val="2"/>
            <w:tcBorders>
              <w:top w:val="single" w:color="000000" w:sz="4" w:space="0"/>
              <w:left w:val="single" w:color="000000" w:sz="4" w:space="0"/>
              <w:bottom w:val="single" w:color="000000" w:sz="4" w:space="0"/>
              <w:right w:val="single" w:color="000000" w:sz="4" w:space="0"/>
            </w:tcBorders>
            <w:noWrap/>
            <w:vAlign w:val="center"/>
          </w:tcPr>
          <w:p w14:paraId="7F50D21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项目</w:t>
            </w:r>
          </w:p>
        </w:tc>
        <w:tc>
          <w:tcPr>
            <w:tcW w:w="1768" w:type="pct"/>
            <w:tcBorders>
              <w:top w:val="single" w:color="000000" w:sz="4" w:space="0"/>
              <w:left w:val="single" w:color="000000" w:sz="4" w:space="0"/>
              <w:bottom w:val="single" w:color="000000" w:sz="4" w:space="0"/>
              <w:right w:val="single" w:color="000000" w:sz="4" w:space="0"/>
            </w:tcBorders>
            <w:noWrap/>
            <w:vAlign w:val="center"/>
          </w:tcPr>
          <w:p w14:paraId="1FC8883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工作内容</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BC6906F">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数量</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2E20337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单位</w:t>
            </w:r>
          </w:p>
        </w:tc>
        <w:tc>
          <w:tcPr>
            <w:tcW w:w="1312" w:type="pct"/>
            <w:tcBorders>
              <w:top w:val="single" w:color="000000" w:sz="4" w:space="0"/>
              <w:left w:val="single" w:color="000000" w:sz="4" w:space="0"/>
              <w:bottom w:val="single" w:color="000000" w:sz="4" w:space="0"/>
              <w:right w:val="single" w:color="000000" w:sz="4" w:space="0"/>
            </w:tcBorders>
            <w:noWrap/>
            <w:vAlign w:val="center"/>
          </w:tcPr>
          <w:p w14:paraId="0380D56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41919CD0">
        <w:tblPrEx>
          <w:tblCellMar>
            <w:top w:w="0" w:type="dxa"/>
            <w:left w:w="0" w:type="dxa"/>
            <w:bottom w:w="0" w:type="dxa"/>
            <w:right w:w="0" w:type="dxa"/>
          </w:tblCellMar>
        </w:tblPrEx>
        <w:trPr>
          <w:trHeight w:val="656" w:hRule="atLeast"/>
        </w:trPr>
        <w:tc>
          <w:tcPr>
            <w:tcW w:w="338" w:type="pct"/>
            <w:vMerge w:val="restart"/>
            <w:tcBorders>
              <w:top w:val="single" w:color="000000" w:sz="4" w:space="0"/>
              <w:left w:val="single" w:color="000000" w:sz="4" w:space="0"/>
              <w:right w:val="single" w:color="000000" w:sz="4" w:space="0"/>
            </w:tcBorders>
            <w:noWrap/>
            <w:vAlign w:val="center"/>
          </w:tcPr>
          <w:p w14:paraId="0CD9DB8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eastAsia="zh-CN" w:bidi="ar"/>
              </w:rPr>
              <w:t>一</w:t>
            </w:r>
          </w:p>
        </w:tc>
        <w:tc>
          <w:tcPr>
            <w:tcW w:w="368" w:type="pct"/>
            <w:vMerge w:val="restart"/>
            <w:tcBorders>
              <w:top w:val="single" w:color="000000" w:sz="4" w:space="0"/>
              <w:left w:val="single" w:color="000000" w:sz="4" w:space="0"/>
              <w:right w:val="single" w:color="auto" w:sz="4" w:space="0"/>
            </w:tcBorders>
            <w:noWrap/>
            <w:vAlign w:val="center"/>
          </w:tcPr>
          <w:p w14:paraId="6A0405A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eastAsia="zh-CN" w:bidi="ar"/>
              </w:rPr>
              <w:t>外观</w:t>
            </w:r>
            <w:r>
              <w:rPr>
                <w:rFonts w:hint="eastAsia" w:ascii="宋体" w:hAnsi="宋体" w:cs="宋体"/>
                <w:b/>
                <w:bCs/>
                <w:color w:val="auto"/>
                <w:kern w:val="0"/>
                <w:sz w:val="24"/>
                <w:szCs w:val="24"/>
                <w:highlight w:val="none"/>
                <w:lang w:val="en-US" w:eastAsia="zh-CN" w:bidi="ar"/>
              </w:rPr>
              <w:t>检查</w:t>
            </w:r>
          </w:p>
        </w:tc>
        <w:tc>
          <w:tcPr>
            <w:tcW w:w="375" w:type="pct"/>
            <w:tcBorders>
              <w:top w:val="single" w:color="000000" w:sz="4" w:space="0"/>
              <w:left w:val="single" w:color="auto" w:sz="4" w:space="0"/>
              <w:bottom w:val="single" w:color="auto" w:sz="4" w:space="0"/>
              <w:right w:val="single" w:color="000000" w:sz="4" w:space="0"/>
            </w:tcBorders>
            <w:noWrap/>
            <w:vAlign w:val="center"/>
          </w:tcPr>
          <w:p w14:paraId="0BAC132F">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1768" w:type="pct"/>
            <w:tcBorders>
              <w:top w:val="single" w:color="000000" w:sz="4" w:space="0"/>
              <w:left w:val="single" w:color="000000" w:sz="4" w:space="0"/>
              <w:bottom w:val="single" w:color="000000" w:sz="4" w:space="0"/>
              <w:right w:val="single" w:color="000000" w:sz="4" w:space="0"/>
            </w:tcBorders>
            <w:noWrap/>
            <w:vAlign w:val="center"/>
          </w:tcPr>
          <w:p w14:paraId="113F1EFE">
            <w:pPr>
              <w:keepNext w:val="0"/>
              <w:keepLines w:val="0"/>
              <w:pageBreakBefore w:val="0"/>
              <w:widowControl/>
              <w:kinsoku/>
              <w:wordWrap/>
              <w:overflowPunct/>
              <w:topLinePunct w:val="0"/>
              <w:autoSpaceDE/>
              <w:autoSpaceDN/>
              <w:bidi w:val="0"/>
              <w:adjustRightInd/>
              <w:snapToGrid/>
              <w:spacing w:line="440" w:lineRule="exact"/>
              <w:ind w:left="0" w:leftChars="0"/>
              <w:jc w:val="left"/>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eastAsia="zh-CN" w:bidi="ar"/>
              </w:rPr>
              <w:t>水闸</w:t>
            </w:r>
            <w:r>
              <w:rPr>
                <w:rFonts w:hint="eastAsia" w:ascii="宋体" w:hAnsi="宋体" w:eastAsia="宋体" w:cs="宋体"/>
                <w:color w:val="auto"/>
                <w:kern w:val="0"/>
                <w:sz w:val="24"/>
                <w:szCs w:val="24"/>
                <w:highlight w:val="none"/>
                <w:lang w:bidi="ar"/>
              </w:rPr>
              <w:t>工程主体结构（水上部分）外观缺陷普查，包括砌石岸墙、砌石护坡、闸墩、桥墩、盖梁、预制梁板、支座、桥面系（桥面铺装、伸缩缝、栏杆、排水系统）及附属设施等</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C8B089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74A23E9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项</w:t>
            </w:r>
          </w:p>
        </w:tc>
        <w:tc>
          <w:tcPr>
            <w:tcW w:w="1312" w:type="pct"/>
            <w:tcBorders>
              <w:top w:val="single" w:color="000000" w:sz="4" w:space="0"/>
              <w:left w:val="single" w:color="000000" w:sz="4" w:space="0"/>
              <w:bottom w:val="single" w:color="000000" w:sz="4" w:space="0"/>
              <w:right w:val="single" w:color="000000" w:sz="4" w:space="0"/>
            </w:tcBorders>
            <w:noWrap/>
            <w:vAlign w:val="center"/>
          </w:tcPr>
          <w:p w14:paraId="29F1E61A">
            <w:pPr>
              <w:keepNext w:val="0"/>
              <w:keepLines w:val="0"/>
              <w:pageBreakBefore w:val="0"/>
              <w:widowControl/>
              <w:kinsoku/>
              <w:wordWrap/>
              <w:overflowPunct/>
              <w:topLinePunct w:val="0"/>
              <w:autoSpaceDE/>
              <w:autoSpaceDN/>
              <w:bidi w:val="0"/>
              <w:adjustRightInd/>
              <w:snapToGrid/>
              <w:spacing w:line="440" w:lineRule="exact"/>
              <w:ind w:left="0" w:leftChars="0"/>
              <w:rPr>
                <w:rFonts w:hint="eastAsia" w:ascii="宋体" w:hAnsi="宋体" w:eastAsia="宋体" w:cs="宋体"/>
                <w:b/>
                <w:bCs/>
                <w:color w:val="auto"/>
                <w:kern w:val="0"/>
                <w:sz w:val="24"/>
                <w:szCs w:val="24"/>
                <w:highlight w:val="none"/>
                <w:lang w:bidi="ar"/>
              </w:rPr>
            </w:pPr>
          </w:p>
        </w:tc>
      </w:tr>
      <w:tr w14:paraId="328159D8">
        <w:tblPrEx>
          <w:tblCellMar>
            <w:top w:w="0" w:type="dxa"/>
            <w:left w:w="0" w:type="dxa"/>
            <w:bottom w:w="0" w:type="dxa"/>
            <w:right w:w="0" w:type="dxa"/>
          </w:tblCellMar>
        </w:tblPrEx>
        <w:trPr>
          <w:trHeight w:val="454" w:hRule="atLeast"/>
        </w:trPr>
        <w:tc>
          <w:tcPr>
            <w:tcW w:w="338" w:type="pct"/>
            <w:vMerge w:val="continue"/>
            <w:tcBorders>
              <w:left w:val="single" w:color="000000" w:sz="4" w:space="0"/>
              <w:bottom w:val="single" w:color="000000" w:sz="4" w:space="0"/>
              <w:right w:val="single" w:color="000000" w:sz="4" w:space="0"/>
            </w:tcBorders>
            <w:noWrap/>
            <w:vAlign w:val="center"/>
          </w:tcPr>
          <w:p w14:paraId="5FFD252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eastAsia="zh-CN" w:bidi="ar"/>
              </w:rPr>
            </w:pPr>
          </w:p>
        </w:tc>
        <w:tc>
          <w:tcPr>
            <w:tcW w:w="368" w:type="pct"/>
            <w:vMerge w:val="continue"/>
            <w:tcBorders>
              <w:left w:val="single" w:color="000000" w:sz="4" w:space="0"/>
              <w:bottom w:val="single" w:color="000000" w:sz="4" w:space="0"/>
              <w:right w:val="single" w:color="auto" w:sz="4" w:space="0"/>
            </w:tcBorders>
            <w:noWrap/>
            <w:vAlign w:val="center"/>
          </w:tcPr>
          <w:p w14:paraId="1C206C5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p>
        </w:tc>
        <w:tc>
          <w:tcPr>
            <w:tcW w:w="375" w:type="pct"/>
            <w:tcBorders>
              <w:top w:val="single" w:color="auto" w:sz="4" w:space="0"/>
              <w:left w:val="single" w:color="auto" w:sz="4" w:space="0"/>
              <w:bottom w:val="single" w:color="000000" w:sz="4" w:space="0"/>
              <w:right w:val="single" w:color="000000" w:sz="4" w:space="0"/>
            </w:tcBorders>
            <w:noWrap/>
            <w:vAlign w:val="center"/>
          </w:tcPr>
          <w:p w14:paraId="7B1A1B4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w:t>
            </w:r>
          </w:p>
        </w:tc>
        <w:tc>
          <w:tcPr>
            <w:tcW w:w="1768" w:type="pct"/>
            <w:tcBorders>
              <w:top w:val="single" w:color="000000" w:sz="4" w:space="0"/>
              <w:left w:val="single" w:color="000000" w:sz="4" w:space="0"/>
              <w:bottom w:val="single" w:color="000000" w:sz="4" w:space="0"/>
              <w:right w:val="single" w:color="000000" w:sz="4" w:space="0"/>
            </w:tcBorders>
            <w:noWrap/>
            <w:vAlign w:val="center"/>
          </w:tcPr>
          <w:p w14:paraId="178F220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水下摸探</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A509F7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23</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37CB0469">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孔</w:t>
            </w:r>
          </w:p>
        </w:tc>
        <w:tc>
          <w:tcPr>
            <w:tcW w:w="1312" w:type="pct"/>
            <w:tcBorders>
              <w:top w:val="single" w:color="000000" w:sz="4" w:space="0"/>
              <w:left w:val="single" w:color="000000" w:sz="4" w:space="0"/>
              <w:bottom w:val="single" w:color="auto" w:sz="4" w:space="0"/>
              <w:right w:val="single" w:color="000000" w:sz="4" w:space="0"/>
            </w:tcBorders>
            <w:noWrap/>
            <w:vAlign w:val="center"/>
          </w:tcPr>
          <w:p w14:paraId="61C0ED9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2"/>
                <w:sz w:val="24"/>
                <w:szCs w:val="24"/>
                <w:highlight w:val="none"/>
                <w:lang w:val="en-US" w:eastAsia="zh-CN" w:bidi="ar-SA"/>
              </w:rPr>
              <w:t>范围为：老节制闸上游防冲槽~老节制闸下游连接段与通吕闸上游连接段的交界处，内容为：上下游护坦、消力池、翼墙、闸室等结构水下部分损坏、变形情况；各结构墙体伸缩缝、止水完好情况等。</w:t>
            </w:r>
          </w:p>
        </w:tc>
      </w:tr>
      <w:tr w14:paraId="6E5599E0">
        <w:tblPrEx>
          <w:tblCellMar>
            <w:top w:w="0" w:type="dxa"/>
            <w:left w:w="0" w:type="dxa"/>
            <w:bottom w:w="0" w:type="dxa"/>
            <w:right w:w="0" w:type="dxa"/>
          </w:tblCellMar>
        </w:tblPrEx>
        <w:trPr>
          <w:trHeight w:val="454" w:hRule="atLeast"/>
        </w:trPr>
        <w:tc>
          <w:tcPr>
            <w:tcW w:w="338" w:type="pct"/>
            <w:vMerge w:val="restart"/>
            <w:tcBorders>
              <w:top w:val="single" w:color="000000" w:sz="4" w:space="0"/>
              <w:left w:val="single" w:color="000000" w:sz="4" w:space="0"/>
              <w:right w:val="single" w:color="000000" w:sz="4" w:space="0"/>
            </w:tcBorders>
            <w:noWrap/>
            <w:vAlign w:val="center"/>
          </w:tcPr>
          <w:p w14:paraId="3C7DD97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w:t>
            </w:r>
          </w:p>
        </w:tc>
        <w:tc>
          <w:tcPr>
            <w:tcW w:w="368" w:type="pct"/>
            <w:vMerge w:val="restart"/>
            <w:tcBorders>
              <w:top w:val="single" w:color="000000" w:sz="4" w:space="0"/>
              <w:left w:val="single" w:color="000000" w:sz="4" w:space="0"/>
              <w:right w:val="single" w:color="000000" w:sz="4" w:space="0"/>
            </w:tcBorders>
            <w:noWrap/>
            <w:vAlign w:val="center"/>
          </w:tcPr>
          <w:p w14:paraId="489FF03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eastAsia="zh-CN" w:bidi="ar"/>
              </w:rPr>
              <w:t>构件检测</w:t>
            </w: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6308B9D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768" w:type="pct"/>
            <w:tcBorders>
              <w:top w:val="single" w:color="000000" w:sz="4" w:space="0"/>
              <w:left w:val="single" w:color="000000" w:sz="4" w:space="0"/>
              <w:bottom w:val="single" w:color="000000" w:sz="4" w:space="0"/>
              <w:right w:val="single" w:color="000000" w:sz="4" w:space="0"/>
            </w:tcBorders>
            <w:vAlign w:val="center"/>
          </w:tcPr>
          <w:p w14:paraId="73445CB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钻芯法检测砼强度</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6EE981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auto" w:sz="4" w:space="0"/>
            </w:tcBorders>
            <w:noWrap/>
            <w:vAlign w:val="center"/>
          </w:tcPr>
          <w:p w14:paraId="7B01F9B7">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项</w:t>
            </w:r>
          </w:p>
        </w:tc>
        <w:tc>
          <w:tcPr>
            <w:tcW w:w="1312" w:type="pct"/>
            <w:tcBorders>
              <w:top w:val="single" w:color="auto" w:sz="4" w:space="0"/>
              <w:left w:val="single" w:color="auto" w:sz="4" w:space="0"/>
              <w:bottom w:val="single" w:color="auto" w:sz="4" w:space="0"/>
              <w:right w:val="single" w:color="auto" w:sz="4" w:space="0"/>
            </w:tcBorders>
            <w:noWrap/>
            <w:vAlign w:val="center"/>
          </w:tcPr>
          <w:p w14:paraId="2FCD74E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5孔。其中：梁板强度采用回弹法（或超声回弹法）；桥柱、闸墩和排架采用钻芯法检测。</w:t>
            </w:r>
          </w:p>
        </w:tc>
      </w:tr>
      <w:tr w14:paraId="62E2B50B">
        <w:tblPrEx>
          <w:tblCellMar>
            <w:top w:w="0" w:type="dxa"/>
            <w:left w:w="0" w:type="dxa"/>
            <w:bottom w:w="0" w:type="dxa"/>
            <w:right w:w="0" w:type="dxa"/>
          </w:tblCellMar>
        </w:tblPrEx>
        <w:trPr>
          <w:trHeight w:val="454" w:hRule="atLeast"/>
        </w:trPr>
        <w:tc>
          <w:tcPr>
            <w:tcW w:w="338" w:type="pct"/>
            <w:vMerge w:val="continue"/>
            <w:tcBorders>
              <w:left w:val="single" w:color="000000" w:sz="4" w:space="0"/>
              <w:right w:val="single" w:color="000000" w:sz="4" w:space="0"/>
            </w:tcBorders>
            <w:noWrap/>
            <w:vAlign w:val="center"/>
          </w:tcPr>
          <w:p w14:paraId="1A8D96B9">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68" w:type="pct"/>
            <w:vMerge w:val="continue"/>
            <w:tcBorders>
              <w:left w:val="single" w:color="000000" w:sz="4" w:space="0"/>
              <w:right w:val="single" w:color="000000" w:sz="4" w:space="0"/>
            </w:tcBorders>
            <w:noWrap/>
            <w:vAlign w:val="center"/>
          </w:tcPr>
          <w:p w14:paraId="0A558329">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094155A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768" w:type="pct"/>
            <w:tcBorders>
              <w:top w:val="single" w:color="000000" w:sz="4" w:space="0"/>
              <w:left w:val="single" w:color="000000" w:sz="4" w:space="0"/>
              <w:bottom w:val="single" w:color="000000" w:sz="4" w:space="0"/>
              <w:right w:val="single" w:color="000000" w:sz="4" w:space="0"/>
            </w:tcBorders>
            <w:vAlign w:val="center"/>
          </w:tcPr>
          <w:p w14:paraId="2657F5C7">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回弹法（超声回弹法）</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4F75088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auto" w:sz="4" w:space="0"/>
            </w:tcBorders>
            <w:noWrap/>
            <w:vAlign w:val="center"/>
          </w:tcPr>
          <w:p w14:paraId="0B219B1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项</w:t>
            </w:r>
          </w:p>
        </w:tc>
        <w:tc>
          <w:tcPr>
            <w:tcW w:w="1312" w:type="pct"/>
            <w:tcBorders>
              <w:top w:val="single" w:color="auto" w:sz="4" w:space="0"/>
              <w:left w:val="single" w:color="auto" w:sz="4" w:space="0"/>
              <w:bottom w:val="single" w:color="auto" w:sz="4" w:space="0"/>
              <w:right w:val="single" w:color="auto" w:sz="4" w:space="0"/>
            </w:tcBorders>
            <w:noWrap/>
            <w:vAlign w:val="center"/>
          </w:tcPr>
          <w:p w14:paraId="0F9B4FF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w:t>
            </w:r>
          </w:p>
        </w:tc>
      </w:tr>
      <w:tr w14:paraId="59C0C4DC">
        <w:tblPrEx>
          <w:tblCellMar>
            <w:top w:w="0" w:type="dxa"/>
            <w:left w:w="0" w:type="dxa"/>
            <w:bottom w:w="0" w:type="dxa"/>
            <w:right w:w="0" w:type="dxa"/>
          </w:tblCellMar>
        </w:tblPrEx>
        <w:trPr>
          <w:trHeight w:val="454" w:hRule="atLeast"/>
        </w:trPr>
        <w:tc>
          <w:tcPr>
            <w:tcW w:w="338" w:type="pct"/>
            <w:vMerge w:val="continue"/>
            <w:tcBorders>
              <w:left w:val="single" w:color="000000" w:sz="4" w:space="0"/>
              <w:right w:val="single" w:color="000000" w:sz="4" w:space="0"/>
            </w:tcBorders>
            <w:noWrap/>
            <w:vAlign w:val="center"/>
          </w:tcPr>
          <w:p w14:paraId="5A4A5FA5">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lang w:eastAsia="zh-CN"/>
              </w:rPr>
            </w:pPr>
          </w:p>
        </w:tc>
        <w:tc>
          <w:tcPr>
            <w:tcW w:w="368" w:type="pct"/>
            <w:vMerge w:val="continue"/>
            <w:tcBorders>
              <w:left w:val="single" w:color="000000" w:sz="4" w:space="0"/>
              <w:right w:val="single" w:color="000000" w:sz="4" w:space="0"/>
            </w:tcBorders>
            <w:noWrap/>
            <w:vAlign w:val="center"/>
          </w:tcPr>
          <w:p w14:paraId="6E06276A">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6C51AF1F">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1768" w:type="pct"/>
            <w:tcBorders>
              <w:top w:val="single" w:color="000000" w:sz="4" w:space="0"/>
              <w:left w:val="single" w:color="000000" w:sz="4" w:space="0"/>
              <w:bottom w:val="single" w:color="000000" w:sz="4" w:space="0"/>
              <w:right w:val="single" w:color="000000" w:sz="4" w:space="0"/>
            </w:tcBorders>
            <w:noWrap/>
            <w:vAlign w:val="center"/>
          </w:tcPr>
          <w:p w14:paraId="75C2E2B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砼外观及碳化深度检测</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12D02C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auto" w:sz="4" w:space="0"/>
            </w:tcBorders>
            <w:noWrap/>
            <w:vAlign w:val="center"/>
          </w:tcPr>
          <w:p w14:paraId="32193F4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项</w:t>
            </w:r>
          </w:p>
        </w:tc>
        <w:tc>
          <w:tcPr>
            <w:tcW w:w="1312" w:type="pct"/>
            <w:tcBorders>
              <w:top w:val="single" w:color="auto" w:sz="4" w:space="0"/>
              <w:left w:val="single" w:color="auto" w:sz="4" w:space="0"/>
              <w:bottom w:val="single" w:color="auto" w:sz="4" w:space="0"/>
              <w:right w:val="single" w:color="auto" w:sz="4" w:space="0"/>
            </w:tcBorders>
            <w:noWrap/>
            <w:vAlign w:val="center"/>
          </w:tcPr>
          <w:p w14:paraId="2C27450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w:t>
            </w:r>
          </w:p>
        </w:tc>
      </w:tr>
      <w:tr w14:paraId="447D6025">
        <w:tblPrEx>
          <w:tblCellMar>
            <w:top w:w="0" w:type="dxa"/>
            <w:left w:w="0" w:type="dxa"/>
            <w:bottom w:w="0" w:type="dxa"/>
            <w:right w:w="0" w:type="dxa"/>
          </w:tblCellMar>
        </w:tblPrEx>
        <w:trPr>
          <w:trHeight w:val="454" w:hRule="atLeast"/>
        </w:trPr>
        <w:tc>
          <w:tcPr>
            <w:tcW w:w="338" w:type="pct"/>
            <w:vMerge w:val="continue"/>
            <w:tcBorders>
              <w:left w:val="single" w:color="000000" w:sz="4" w:space="0"/>
              <w:right w:val="single" w:color="000000" w:sz="4" w:space="0"/>
            </w:tcBorders>
            <w:noWrap/>
            <w:vAlign w:val="center"/>
          </w:tcPr>
          <w:p w14:paraId="3803B265">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lang w:eastAsia="zh-CN"/>
              </w:rPr>
            </w:pPr>
          </w:p>
        </w:tc>
        <w:tc>
          <w:tcPr>
            <w:tcW w:w="368" w:type="pct"/>
            <w:vMerge w:val="continue"/>
            <w:tcBorders>
              <w:left w:val="single" w:color="000000" w:sz="4" w:space="0"/>
              <w:right w:val="single" w:color="000000" w:sz="4" w:space="0"/>
            </w:tcBorders>
            <w:noWrap/>
            <w:vAlign w:val="center"/>
          </w:tcPr>
          <w:p w14:paraId="28D12717">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7AF36CD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1768" w:type="pct"/>
            <w:tcBorders>
              <w:top w:val="single" w:color="000000" w:sz="4" w:space="0"/>
              <w:left w:val="single" w:color="000000" w:sz="4" w:space="0"/>
              <w:bottom w:val="single" w:color="000000" w:sz="4" w:space="0"/>
              <w:right w:val="single" w:color="000000" w:sz="4" w:space="0"/>
            </w:tcBorders>
            <w:noWrap/>
            <w:vAlign w:val="center"/>
          </w:tcPr>
          <w:p w14:paraId="72FC932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砼保护层厚度检测</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465F3A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auto" w:sz="4" w:space="0"/>
            </w:tcBorders>
            <w:noWrap/>
            <w:vAlign w:val="center"/>
          </w:tcPr>
          <w:p w14:paraId="6D56627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项</w:t>
            </w:r>
          </w:p>
        </w:tc>
        <w:tc>
          <w:tcPr>
            <w:tcW w:w="1312" w:type="pct"/>
            <w:tcBorders>
              <w:top w:val="single" w:color="auto" w:sz="4" w:space="0"/>
              <w:left w:val="single" w:color="auto" w:sz="4" w:space="0"/>
              <w:bottom w:val="single" w:color="auto" w:sz="4" w:space="0"/>
              <w:right w:val="single" w:color="auto" w:sz="4" w:space="0"/>
            </w:tcBorders>
            <w:noWrap/>
            <w:vAlign w:val="center"/>
          </w:tcPr>
          <w:p w14:paraId="0782997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w:t>
            </w:r>
          </w:p>
        </w:tc>
      </w:tr>
      <w:tr w14:paraId="0A245951">
        <w:tblPrEx>
          <w:tblCellMar>
            <w:top w:w="0" w:type="dxa"/>
            <w:left w:w="0" w:type="dxa"/>
            <w:bottom w:w="0" w:type="dxa"/>
            <w:right w:w="0" w:type="dxa"/>
          </w:tblCellMar>
        </w:tblPrEx>
        <w:trPr>
          <w:trHeight w:val="454" w:hRule="atLeast"/>
        </w:trPr>
        <w:tc>
          <w:tcPr>
            <w:tcW w:w="338" w:type="pct"/>
            <w:vMerge w:val="continue"/>
            <w:tcBorders>
              <w:left w:val="single" w:color="000000" w:sz="4" w:space="0"/>
              <w:right w:val="single" w:color="000000" w:sz="4" w:space="0"/>
            </w:tcBorders>
            <w:noWrap/>
            <w:vAlign w:val="center"/>
          </w:tcPr>
          <w:p w14:paraId="1EA3D3EB">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68" w:type="pct"/>
            <w:vMerge w:val="continue"/>
            <w:tcBorders>
              <w:left w:val="single" w:color="000000" w:sz="4" w:space="0"/>
              <w:right w:val="single" w:color="000000" w:sz="4" w:space="0"/>
            </w:tcBorders>
            <w:noWrap/>
            <w:vAlign w:val="center"/>
          </w:tcPr>
          <w:p w14:paraId="4ABD79F4">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072708F9">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1768" w:type="pct"/>
            <w:tcBorders>
              <w:top w:val="single" w:color="000000" w:sz="4" w:space="0"/>
              <w:left w:val="single" w:color="000000" w:sz="4" w:space="0"/>
              <w:bottom w:val="single" w:color="000000" w:sz="4" w:space="0"/>
              <w:right w:val="single" w:color="000000" w:sz="4" w:space="0"/>
            </w:tcBorders>
            <w:noWrap/>
            <w:vAlign w:val="center"/>
          </w:tcPr>
          <w:p w14:paraId="300DE57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砼裂缝检测</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63C860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auto" w:sz="4" w:space="0"/>
            </w:tcBorders>
            <w:noWrap/>
            <w:vAlign w:val="center"/>
          </w:tcPr>
          <w:p w14:paraId="02FCC8F9">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项</w:t>
            </w:r>
          </w:p>
        </w:tc>
        <w:tc>
          <w:tcPr>
            <w:tcW w:w="1312" w:type="pct"/>
            <w:tcBorders>
              <w:top w:val="single" w:color="auto" w:sz="4" w:space="0"/>
              <w:left w:val="single" w:color="auto" w:sz="4" w:space="0"/>
              <w:bottom w:val="single" w:color="auto" w:sz="4" w:space="0"/>
              <w:right w:val="single" w:color="auto" w:sz="4" w:space="0"/>
            </w:tcBorders>
            <w:noWrap/>
            <w:vAlign w:val="center"/>
          </w:tcPr>
          <w:p w14:paraId="1F4BB197">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主跨梁板，检测</w:t>
            </w:r>
            <w:r>
              <w:rPr>
                <w:rFonts w:hint="eastAsia" w:ascii="宋体" w:hAnsi="宋体" w:eastAsia="宋体" w:cs="宋体"/>
                <w:color w:val="auto"/>
                <w:kern w:val="0"/>
                <w:sz w:val="24"/>
                <w:szCs w:val="24"/>
                <w:highlight w:val="none"/>
                <w:lang w:val="en-US" w:eastAsia="zh-CN" w:bidi="ar"/>
              </w:rPr>
              <w:t>6孔</w:t>
            </w:r>
          </w:p>
        </w:tc>
      </w:tr>
      <w:tr w14:paraId="7B5AB06C">
        <w:tblPrEx>
          <w:tblCellMar>
            <w:top w:w="0" w:type="dxa"/>
            <w:left w:w="0" w:type="dxa"/>
            <w:bottom w:w="0" w:type="dxa"/>
            <w:right w:w="0" w:type="dxa"/>
          </w:tblCellMar>
        </w:tblPrEx>
        <w:trPr>
          <w:trHeight w:val="774" w:hRule="atLeast"/>
        </w:trPr>
        <w:tc>
          <w:tcPr>
            <w:tcW w:w="338" w:type="pct"/>
            <w:vMerge w:val="continue"/>
            <w:tcBorders>
              <w:left w:val="single" w:color="000000" w:sz="4" w:space="0"/>
              <w:right w:val="single" w:color="000000" w:sz="4" w:space="0"/>
            </w:tcBorders>
            <w:noWrap/>
            <w:vAlign w:val="center"/>
          </w:tcPr>
          <w:p w14:paraId="516A0627">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68" w:type="pct"/>
            <w:vMerge w:val="continue"/>
            <w:tcBorders>
              <w:left w:val="single" w:color="000000" w:sz="4" w:space="0"/>
              <w:right w:val="single" w:color="000000" w:sz="4" w:space="0"/>
            </w:tcBorders>
            <w:noWrap/>
            <w:vAlign w:val="center"/>
          </w:tcPr>
          <w:p w14:paraId="17F9216F">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75" w:type="pct"/>
            <w:tcBorders>
              <w:top w:val="single" w:color="000000" w:sz="4" w:space="0"/>
              <w:left w:val="single" w:color="000000" w:sz="4" w:space="0"/>
              <w:bottom w:val="single" w:color="auto" w:sz="4" w:space="0"/>
              <w:right w:val="single" w:color="000000" w:sz="4" w:space="0"/>
            </w:tcBorders>
            <w:noWrap/>
            <w:vAlign w:val="center"/>
          </w:tcPr>
          <w:p w14:paraId="3979618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1768" w:type="pct"/>
            <w:tcBorders>
              <w:top w:val="single" w:color="000000" w:sz="4" w:space="0"/>
              <w:left w:val="single" w:color="000000" w:sz="4" w:space="0"/>
              <w:bottom w:val="single" w:color="000000" w:sz="4" w:space="0"/>
              <w:right w:val="single" w:color="000000" w:sz="4" w:space="0"/>
            </w:tcBorders>
            <w:noWrap/>
            <w:vAlign w:val="center"/>
          </w:tcPr>
          <w:p w14:paraId="15FE50B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挠度检测</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5B4A3C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auto" w:sz="4" w:space="0"/>
            </w:tcBorders>
            <w:noWrap/>
            <w:vAlign w:val="center"/>
          </w:tcPr>
          <w:p w14:paraId="2CAB07F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项</w:t>
            </w:r>
          </w:p>
        </w:tc>
        <w:tc>
          <w:tcPr>
            <w:tcW w:w="1312" w:type="pct"/>
            <w:tcBorders>
              <w:top w:val="single" w:color="auto" w:sz="4" w:space="0"/>
              <w:left w:val="single" w:color="auto" w:sz="4" w:space="0"/>
              <w:bottom w:val="single" w:color="auto" w:sz="4" w:space="0"/>
              <w:right w:val="single" w:color="auto" w:sz="4" w:space="0"/>
            </w:tcBorders>
            <w:noWrap/>
            <w:vAlign w:val="center"/>
          </w:tcPr>
          <w:p w14:paraId="1FE54AA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5孔。其中：梁板强度采用回弹法（或超声回弹法）；桥柱、闸墩和排架采用钻芯法检测。</w:t>
            </w:r>
          </w:p>
        </w:tc>
      </w:tr>
      <w:tr w14:paraId="20370E3F">
        <w:tblPrEx>
          <w:tblCellMar>
            <w:top w:w="0" w:type="dxa"/>
            <w:left w:w="0" w:type="dxa"/>
            <w:bottom w:w="0" w:type="dxa"/>
            <w:right w:w="0" w:type="dxa"/>
          </w:tblCellMar>
        </w:tblPrEx>
        <w:trPr>
          <w:trHeight w:val="454" w:hRule="atLeast"/>
        </w:trPr>
        <w:tc>
          <w:tcPr>
            <w:tcW w:w="338" w:type="pct"/>
            <w:vMerge w:val="continue"/>
            <w:tcBorders>
              <w:left w:val="single" w:color="000000" w:sz="4" w:space="0"/>
              <w:bottom w:val="single" w:color="auto" w:sz="4" w:space="0"/>
              <w:right w:val="single" w:color="000000" w:sz="4" w:space="0"/>
            </w:tcBorders>
            <w:noWrap/>
            <w:vAlign w:val="center"/>
          </w:tcPr>
          <w:p w14:paraId="75ED8FED">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68" w:type="pct"/>
            <w:vMerge w:val="continue"/>
            <w:tcBorders>
              <w:left w:val="single" w:color="000000" w:sz="4" w:space="0"/>
              <w:bottom w:val="single" w:color="auto" w:sz="4" w:space="0"/>
              <w:right w:val="single" w:color="000000" w:sz="4" w:space="0"/>
            </w:tcBorders>
            <w:noWrap/>
            <w:vAlign w:val="center"/>
          </w:tcPr>
          <w:p w14:paraId="6D7285F2">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75" w:type="pct"/>
            <w:tcBorders>
              <w:top w:val="single" w:color="000000" w:sz="4" w:space="0"/>
              <w:left w:val="single" w:color="000000" w:sz="4" w:space="0"/>
              <w:bottom w:val="single" w:color="auto" w:sz="4" w:space="0"/>
              <w:right w:val="single" w:color="000000" w:sz="4" w:space="0"/>
            </w:tcBorders>
            <w:noWrap/>
            <w:vAlign w:val="center"/>
          </w:tcPr>
          <w:p w14:paraId="3A46425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w:t>
            </w: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43DF">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船只租赁</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068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98D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项</w:t>
            </w:r>
          </w:p>
        </w:tc>
        <w:tc>
          <w:tcPr>
            <w:tcW w:w="1312" w:type="pct"/>
            <w:tcBorders>
              <w:top w:val="single" w:color="auto" w:sz="4" w:space="0"/>
              <w:left w:val="single" w:color="000000" w:sz="4" w:space="0"/>
              <w:bottom w:val="single" w:color="000000" w:sz="4" w:space="0"/>
              <w:right w:val="single" w:color="000000" w:sz="4" w:space="0"/>
            </w:tcBorders>
            <w:noWrap/>
            <w:vAlign w:val="center"/>
          </w:tcPr>
          <w:p w14:paraId="71D3375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p>
        </w:tc>
      </w:tr>
      <w:tr w14:paraId="117EF6EB">
        <w:tblPrEx>
          <w:tblCellMar>
            <w:top w:w="0" w:type="dxa"/>
            <w:left w:w="0" w:type="dxa"/>
            <w:bottom w:w="0" w:type="dxa"/>
            <w:right w:w="0" w:type="dxa"/>
          </w:tblCellMar>
        </w:tblPrEx>
        <w:trPr>
          <w:trHeight w:val="454" w:hRule="atLeast"/>
        </w:trPr>
        <w:tc>
          <w:tcPr>
            <w:tcW w:w="338" w:type="pct"/>
            <w:vMerge w:val="restart"/>
            <w:tcBorders>
              <w:top w:val="single" w:color="auto" w:sz="4" w:space="0"/>
              <w:left w:val="single" w:color="000000" w:sz="4" w:space="0"/>
              <w:right w:val="single" w:color="000000" w:sz="4" w:space="0"/>
            </w:tcBorders>
            <w:noWrap/>
            <w:vAlign w:val="center"/>
          </w:tcPr>
          <w:p w14:paraId="5C6DE9A8">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三</w:t>
            </w:r>
          </w:p>
        </w:tc>
        <w:tc>
          <w:tcPr>
            <w:tcW w:w="368" w:type="pct"/>
            <w:vMerge w:val="restart"/>
            <w:tcBorders>
              <w:top w:val="single" w:color="auto" w:sz="4" w:space="0"/>
              <w:left w:val="single" w:color="000000" w:sz="4" w:space="0"/>
              <w:right w:val="single" w:color="000000" w:sz="4" w:space="0"/>
            </w:tcBorders>
            <w:noWrap/>
            <w:vAlign w:val="center"/>
          </w:tcPr>
          <w:p w14:paraId="14A0699E">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lang w:eastAsia="zh-CN" w:bidi="ar"/>
              </w:rPr>
              <w:t>荷载试验</w:t>
            </w:r>
          </w:p>
        </w:tc>
        <w:tc>
          <w:tcPr>
            <w:tcW w:w="375" w:type="pct"/>
            <w:tcBorders>
              <w:top w:val="single" w:color="auto" w:sz="4" w:space="0"/>
              <w:left w:val="single" w:color="000000" w:sz="4" w:space="0"/>
              <w:bottom w:val="single" w:color="000000" w:sz="4" w:space="0"/>
              <w:right w:val="single" w:color="000000" w:sz="4" w:space="0"/>
            </w:tcBorders>
            <w:noWrap/>
            <w:vAlign w:val="center"/>
          </w:tcPr>
          <w:p w14:paraId="7FBC670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1</w:t>
            </w:r>
          </w:p>
        </w:tc>
        <w:tc>
          <w:tcPr>
            <w:tcW w:w="1768" w:type="pct"/>
            <w:tcBorders>
              <w:top w:val="single" w:color="000000" w:sz="4" w:space="0"/>
              <w:left w:val="single" w:color="000000" w:sz="4" w:space="0"/>
              <w:bottom w:val="single" w:color="000000" w:sz="4" w:space="0"/>
              <w:right w:val="single" w:color="000000" w:sz="4" w:space="0"/>
            </w:tcBorders>
            <w:noWrap/>
            <w:vAlign w:val="center"/>
          </w:tcPr>
          <w:p w14:paraId="4C5FCFF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桥梁动载检测</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FFB328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6B593F5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项</w:t>
            </w:r>
          </w:p>
        </w:tc>
        <w:tc>
          <w:tcPr>
            <w:tcW w:w="1312" w:type="pct"/>
            <w:tcBorders>
              <w:top w:val="single" w:color="000000" w:sz="4" w:space="0"/>
              <w:left w:val="single" w:color="000000" w:sz="4" w:space="0"/>
              <w:bottom w:val="single" w:color="000000" w:sz="4" w:space="0"/>
              <w:right w:val="single" w:color="000000" w:sz="4" w:space="0"/>
            </w:tcBorders>
            <w:noWrap/>
            <w:vAlign w:val="center"/>
          </w:tcPr>
          <w:p w14:paraId="73A0D2F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cs="宋体"/>
                <w:color w:val="auto"/>
                <w:sz w:val="24"/>
                <w:szCs w:val="24"/>
                <w:highlight w:val="none"/>
                <w:lang w:val="en-US" w:eastAsia="zh-CN"/>
              </w:rPr>
              <w:t>《城市桥梁养护技术标准》（CJJ99-2017）、《城市桥梁检测与评定技术规范》（CJJT/233-2015)</w:t>
            </w:r>
          </w:p>
        </w:tc>
      </w:tr>
      <w:tr w14:paraId="79CDDC11">
        <w:tblPrEx>
          <w:tblCellMar>
            <w:top w:w="0" w:type="dxa"/>
            <w:left w:w="0" w:type="dxa"/>
            <w:bottom w:w="0" w:type="dxa"/>
            <w:right w:w="0" w:type="dxa"/>
          </w:tblCellMar>
        </w:tblPrEx>
        <w:trPr>
          <w:trHeight w:val="454" w:hRule="exact"/>
        </w:trPr>
        <w:tc>
          <w:tcPr>
            <w:tcW w:w="338" w:type="pct"/>
            <w:vMerge w:val="continue"/>
            <w:tcBorders>
              <w:top w:val="single" w:color="000000" w:sz="4" w:space="0"/>
              <w:left w:val="single" w:color="000000" w:sz="4" w:space="0"/>
              <w:bottom w:val="single" w:color="000000" w:sz="4" w:space="0"/>
              <w:right w:val="single" w:color="000000" w:sz="4" w:space="0"/>
            </w:tcBorders>
            <w:noWrap/>
            <w:vAlign w:val="center"/>
          </w:tcPr>
          <w:p w14:paraId="21B66921">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68" w:type="pct"/>
            <w:vMerge w:val="continue"/>
            <w:tcBorders>
              <w:top w:val="single" w:color="000000" w:sz="4" w:space="0"/>
              <w:left w:val="single" w:color="000000" w:sz="4" w:space="0"/>
              <w:bottom w:val="single" w:color="000000" w:sz="4" w:space="0"/>
              <w:right w:val="single" w:color="000000" w:sz="4" w:space="0"/>
            </w:tcBorders>
            <w:noWrap/>
            <w:vAlign w:val="center"/>
          </w:tcPr>
          <w:p w14:paraId="6F636D52">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7C6DA32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CC07">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桥梁检测车使用</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A1A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DD5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项</w:t>
            </w:r>
          </w:p>
        </w:tc>
        <w:tc>
          <w:tcPr>
            <w:tcW w:w="1312" w:type="pct"/>
            <w:tcBorders>
              <w:top w:val="single" w:color="000000" w:sz="4" w:space="0"/>
              <w:left w:val="single" w:color="000000" w:sz="4" w:space="0"/>
              <w:bottom w:val="single" w:color="000000" w:sz="4" w:space="0"/>
              <w:right w:val="single" w:color="000000" w:sz="4" w:space="0"/>
            </w:tcBorders>
            <w:noWrap/>
            <w:vAlign w:val="center"/>
          </w:tcPr>
          <w:p w14:paraId="4C86B49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p>
        </w:tc>
      </w:tr>
      <w:tr w14:paraId="551B376F">
        <w:tblPrEx>
          <w:tblCellMar>
            <w:top w:w="0" w:type="dxa"/>
            <w:left w:w="0" w:type="dxa"/>
            <w:bottom w:w="0" w:type="dxa"/>
            <w:right w:w="0" w:type="dxa"/>
          </w:tblCellMar>
        </w:tblPrEx>
        <w:trPr>
          <w:trHeight w:val="454" w:hRule="exact"/>
        </w:trPr>
        <w:tc>
          <w:tcPr>
            <w:tcW w:w="338" w:type="pct"/>
            <w:vMerge w:val="continue"/>
            <w:tcBorders>
              <w:top w:val="single" w:color="000000" w:sz="4" w:space="0"/>
              <w:left w:val="single" w:color="000000" w:sz="4" w:space="0"/>
              <w:bottom w:val="single" w:color="000000" w:sz="4" w:space="0"/>
              <w:right w:val="single" w:color="000000" w:sz="4" w:space="0"/>
            </w:tcBorders>
            <w:noWrap/>
            <w:vAlign w:val="center"/>
          </w:tcPr>
          <w:p w14:paraId="31AF7413">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b/>
                <w:bCs/>
                <w:color w:val="auto"/>
                <w:sz w:val="24"/>
                <w:szCs w:val="24"/>
                <w:highlight w:val="none"/>
                <w:lang w:eastAsia="zh-CN"/>
              </w:rPr>
            </w:pPr>
          </w:p>
        </w:tc>
        <w:tc>
          <w:tcPr>
            <w:tcW w:w="368" w:type="pct"/>
            <w:vMerge w:val="continue"/>
            <w:tcBorders>
              <w:top w:val="single" w:color="000000" w:sz="4" w:space="0"/>
              <w:left w:val="single" w:color="000000" w:sz="4" w:space="0"/>
              <w:bottom w:val="single" w:color="000000" w:sz="4" w:space="0"/>
              <w:right w:val="single" w:color="000000" w:sz="4" w:space="0"/>
            </w:tcBorders>
            <w:noWrap/>
            <w:vAlign w:val="center"/>
          </w:tcPr>
          <w:p w14:paraId="2D7426DC">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b/>
                <w:bCs/>
                <w:color w:val="auto"/>
                <w:sz w:val="24"/>
                <w:szCs w:val="24"/>
                <w:highlight w:val="none"/>
              </w:rPr>
            </w:pPr>
          </w:p>
        </w:tc>
        <w:tc>
          <w:tcPr>
            <w:tcW w:w="375" w:type="pct"/>
            <w:tcBorders>
              <w:top w:val="single" w:color="000000" w:sz="4" w:space="0"/>
              <w:left w:val="single" w:color="000000" w:sz="4" w:space="0"/>
              <w:bottom w:val="single" w:color="000000" w:sz="4" w:space="0"/>
              <w:right w:val="single" w:color="000000" w:sz="4" w:space="0"/>
            </w:tcBorders>
            <w:noWrap/>
            <w:vAlign w:val="center"/>
          </w:tcPr>
          <w:p w14:paraId="5F88AD3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945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公路临时管制</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5E0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98B9">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项</w:t>
            </w:r>
          </w:p>
        </w:tc>
        <w:tc>
          <w:tcPr>
            <w:tcW w:w="1312" w:type="pct"/>
            <w:tcBorders>
              <w:top w:val="single" w:color="000000" w:sz="4" w:space="0"/>
              <w:left w:val="single" w:color="000000" w:sz="4" w:space="0"/>
              <w:bottom w:val="single" w:color="000000" w:sz="4" w:space="0"/>
              <w:right w:val="single" w:color="000000" w:sz="4" w:space="0"/>
            </w:tcBorders>
            <w:noWrap/>
            <w:vAlign w:val="center"/>
          </w:tcPr>
          <w:p w14:paraId="38878AD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p>
        </w:tc>
      </w:tr>
      <w:tr w14:paraId="643A45C4">
        <w:tblPrEx>
          <w:tblCellMar>
            <w:top w:w="0" w:type="dxa"/>
            <w:left w:w="0" w:type="dxa"/>
            <w:bottom w:w="0" w:type="dxa"/>
            <w:right w:w="0" w:type="dxa"/>
          </w:tblCellMar>
        </w:tblPrEx>
        <w:trPr>
          <w:trHeight w:val="1135" w:hRule="atLeast"/>
        </w:trPr>
        <w:tc>
          <w:tcPr>
            <w:tcW w:w="338" w:type="pct"/>
            <w:vMerge w:val="restart"/>
            <w:tcBorders>
              <w:top w:val="single" w:color="000000" w:sz="4" w:space="0"/>
              <w:left w:val="single" w:color="000000" w:sz="4" w:space="0"/>
              <w:bottom w:val="single" w:color="000000" w:sz="4" w:space="0"/>
              <w:right w:val="single" w:color="000000" w:sz="4" w:space="0"/>
            </w:tcBorders>
            <w:noWrap/>
            <w:vAlign w:val="center"/>
          </w:tcPr>
          <w:p w14:paraId="6FD6B71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w:t>
            </w:r>
          </w:p>
        </w:tc>
        <w:tc>
          <w:tcPr>
            <w:tcW w:w="368" w:type="pct"/>
            <w:vMerge w:val="restart"/>
            <w:tcBorders>
              <w:top w:val="single" w:color="000000" w:sz="4" w:space="0"/>
              <w:left w:val="single" w:color="000000" w:sz="4" w:space="0"/>
              <w:bottom w:val="single" w:color="000000" w:sz="4" w:space="0"/>
              <w:right w:val="single" w:color="auto" w:sz="4" w:space="0"/>
            </w:tcBorders>
            <w:noWrap/>
            <w:vAlign w:val="center"/>
          </w:tcPr>
          <w:p w14:paraId="574CFC6F">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结构验算</w:t>
            </w:r>
          </w:p>
        </w:tc>
        <w:tc>
          <w:tcPr>
            <w:tcW w:w="375" w:type="pct"/>
            <w:tcBorders>
              <w:top w:val="single" w:color="auto" w:sz="4" w:space="0"/>
              <w:left w:val="single" w:color="auto" w:sz="4" w:space="0"/>
              <w:bottom w:val="single" w:color="auto" w:sz="4" w:space="0"/>
              <w:right w:val="single" w:color="auto" w:sz="4" w:space="0"/>
            </w:tcBorders>
            <w:noWrap/>
            <w:vAlign w:val="center"/>
          </w:tcPr>
          <w:p w14:paraId="10C2F03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1768" w:type="pct"/>
            <w:tcBorders>
              <w:top w:val="single" w:color="auto" w:sz="4" w:space="0"/>
              <w:left w:val="single" w:color="auto" w:sz="4" w:space="0"/>
              <w:bottom w:val="single" w:color="auto" w:sz="4" w:space="0"/>
              <w:right w:val="single" w:color="auto" w:sz="4" w:space="0"/>
            </w:tcBorders>
            <w:noWrap/>
            <w:vAlign w:val="center"/>
          </w:tcPr>
          <w:p w14:paraId="7983D12B">
            <w:pPr>
              <w:keepNext w:val="0"/>
              <w:keepLines w:val="0"/>
              <w:pageBreakBefore w:val="0"/>
              <w:widowControl/>
              <w:kinsoku/>
              <w:wordWrap/>
              <w:overflowPunct/>
              <w:topLinePunct w:val="0"/>
              <w:autoSpaceDE/>
              <w:autoSpaceDN/>
              <w:bidi w:val="0"/>
              <w:adjustRightInd/>
              <w:snapToGrid/>
              <w:spacing w:line="440" w:lineRule="exact"/>
              <w:ind w:left="0" w:leftChars="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水闸</w:t>
            </w:r>
            <w:r>
              <w:rPr>
                <w:rFonts w:hint="eastAsia" w:ascii="宋体" w:hAnsi="宋体" w:eastAsia="宋体" w:cs="宋体"/>
                <w:color w:val="auto"/>
                <w:kern w:val="0"/>
                <w:sz w:val="24"/>
                <w:szCs w:val="24"/>
                <w:highlight w:val="none"/>
                <w:lang w:val="en-US" w:eastAsia="zh-CN" w:bidi="ar"/>
              </w:rPr>
              <w:t>整体</w:t>
            </w:r>
            <w:r>
              <w:rPr>
                <w:rFonts w:hint="eastAsia" w:ascii="宋体" w:hAnsi="宋体" w:eastAsia="宋体" w:cs="宋体"/>
                <w:color w:val="auto"/>
                <w:kern w:val="0"/>
                <w:sz w:val="24"/>
                <w:szCs w:val="24"/>
                <w:highlight w:val="none"/>
                <w:lang w:bidi="ar"/>
              </w:rPr>
              <w:t>稳定</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抗震、渗流</w:t>
            </w:r>
            <w:r>
              <w:rPr>
                <w:rFonts w:hint="eastAsia" w:ascii="宋体" w:hAnsi="宋体" w:eastAsia="宋体" w:cs="宋体"/>
                <w:color w:val="auto"/>
                <w:kern w:val="0"/>
                <w:sz w:val="24"/>
                <w:szCs w:val="24"/>
                <w:highlight w:val="none"/>
                <w:lang w:bidi="ar"/>
              </w:rPr>
              <w:t>验算；</w:t>
            </w:r>
            <w:r>
              <w:rPr>
                <w:rFonts w:hint="eastAsia" w:ascii="宋体" w:hAnsi="宋体" w:eastAsia="宋体" w:cs="宋体"/>
                <w:color w:val="auto"/>
                <w:kern w:val="0"/>
                <w:sz w:val="24"/>
                <w:szCs w:val="24"/>
                <w:highlight w:val="none"/>
                <w:lang w:val="en-US" w:eastAsia="zh-CN" w:bidi="ar"/>
              </w:rPr>
              <w:t>闸底板、闸墩</w:t>
            </w:r>
            <w:r>
              <w:rPr>
                <w:rFonts w:hint="eastAsia" w:ascii="宋体" w:hAnsi="宋体" w:cs="宋体"/>
                <w:color w:val="auto"/>
                <w:kern w:val="0"/>
                <w:sz w:val="24"/>
                <w:szCs w:val="24"/>
                <w:highlight w:val="none"/>
                <w:lang w:val="en-US" w:eastAsia="zh-CN" w:bidi="ar"/>
              </w:rPr>
              <w:t>、排架</w:t>
            </w:r>
            <w:r>
              <w:rPr>
                <w:rFonts w:hint="eastAsia" w:ascii="宋体" w:hAnsi="宋体" w:eastAsia="宋体" w:cs="宋体"/>
                <w:color w:val="auto"/>
                <w:kern w:val="0"/>
                <w:sz w:val="24"/>
                <w:szCs w:val="24"/>
                <w:highlight w:val="none"/>
                <w:lang w:val="en-US" w:eastAsia="zh-CN" w:bidi="ar"/>
              </w:rPr>
              <w:t>等构件强度验算等</w:t>
            </w:r>
          </w:p>
        </w:tc>
        <w:tc>
          <w:tcPr>
            <w:tcW w:w="457" w:type="pct"/>
            <w:tcBorders>
              <w:top w:val="single" w:color="000000" w:sz="4" w:space="0"/>
              <w:left w:val="single" w:color="auto" w:sz="4" w:space="0"/>
              <w:bottom w:val="single" w:color="000000" w:sz="4" w:space="0"/>
              <w:right w:val="single" w:color="000000" w:sz="4" w:space="0"/>
            </w:tcBorders>
            <w:noWrap/>
            <w:vAlign w:val="center"/>
          </w:tcPr>
          <w:p w14:paraId="729AD58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7A908ED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w:t>
            </w:r>
          </w:p>
        </w:tc>
        <w:tc>
          <w:tcPr>
            <w:tcW w:w="1312" w:type="pct"/>
            <w:vMerge w:val="restart"/>
            <w:tcBorders>
              <w:top w:val="single" w:color="000000" w:sz="4" w:space="0"/>
              <w:left w:val="single" w:color="000000" w:sz="4" w:space="0"/>
              <w:right w:val="single" w:color="000000" w:sz="4" w:space="0"/>
            </w:tcBorders>
            <w:noWrap/>
            <w:vAlign w:val="center"/>
          </w:tcPr>
          <w:p w14:paraId="43FD142E">
            <w:pPr>
              <w:keepNext w:val="0"/>
              <w:keepLines w:val="0"/>
              <w:pageBreakBefore w:val="0"/>
              <w:widowControl/>
              <w:kinsoku/>
              <w:wordWrap/>
              <w:overflowPunct/>
              <w:topLinePunct w:val="0"/>
              <w:autoSpaceDE/>
              <w:autoSpaceDN/>
              <w:bidi w:val="0"/>
              <w:adjustRightInd/>
              <w:snapToGrid/>
              <w:spacing w:line="440" w:lineRule="exact"/>
              <w:ind w:left="0" w:leftChars="0"/>
              <w:jc w:val="both"/>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老</w:t>
            </w:r>
            <w:r>
              <w:rPr>
                <w:rFonts w:hint="eastAsia" w:ascii="宋体" w:hAnsi="宋体" w:eastAsia="宋体" w:cs="宋体"/>
                <w:color w:val="auto"/>
                <w:kern w:val="0"/>
                <w:sz w:val="24"/>
                <w:szCs w:val="24"/>
                <w:highlight w:val="none"/>
                <w:lang w:val="en-US" w:eastAsia="zh-CN" w:bidi="ar"/>
              </w:rPr>
              <w:t>节制闸桥位整体结构，桥梁上部荷载通过墩柱传递至闸墩，并最终通过底板传递给地基，故水闸也需要进行全面验算</w:t>
            </w:r>
            <w:r>
              <w:rPr>
                <w:rFonts w:hint="eastAsia" w:ascii="宋体" w:hAnsi="宋体" w:cs="宋体"/>
                <w:color w:val="auto"/>
                <w:kern w:val="0"/>
                <w:sz w:val="24"/>
                <w:szCs w:val="24"/>
                <w:highlight w:val="none"/>
                <w:lang w:val="en-US" w:eastAsia="zh-CN" w:bidi="ar"/>
              </w:rPr>
              <w:t>。按相关桥梁和水利工程规范。</w:t>
            </w:r>
          </w:p>
        </w:tc>
      </w:tr>
      <w:tr w14:paraId="7E0CA61F">
        <w:tblPrEx>
          <w:tblCellMar>
            <w:top w:w="0" w:type="dxa"/>
            <w:left w:w="0" w:type="dxa"/>
            <w:bottom w:w="0" w:type="dxa"/>
            <w:right w:w="0" w:type="dxa"/>
          </w:tblCellMar>
        </w:tblPrEx>
        <w:trPr>
          <w:trHeight w:val="360" w:hRule="atLeast"/>
        </w:trPr>
        <w:tc>
          <w:tcPr>
            <w:tcW w:w="338" w:type="pct"/>
            <w:vMerge w:val="continue"/>
            <w:tcBorders>
              <w:top w:val="single" w:color="000000" w:sz="4" w:space="0"/>
              <w:left w:val="single" w:color="000000" w:sz="4" w:space="0"/>
              <w:bottom w:val="single" w:color="000000" w:sz="4" w:space="0"/>
              <w:right w:val="single" w:color="000000" w:sz="4" w:space="0"/>
            </w:tcBorders>
            <w:noWrap/>
            <w:vAlign w:val="center"/>
          </w:tcPr>
          <w:p w14:paraId="4B43D03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p>
        </w:tc>
        <w:tc>
          <w:tcPr>
            <w:tcW w:w="368" w:type="pct"/>
            <w:vMerge w:val="continue"/>
            <w:tcBorders>
              <w:top w:val="single" w:color="000000" w:sz="4" w:space="0"/>
              <w:left w:val="single" w:color="000000" w:sz="4" w:space="0"/>
              <w:bottom w:val="single" w:color="000000" w:sz="4" w:space="0"/>
              <w:right w:val="single" w:color="auto" w:sz="4" w:space="0"/>
            </w:tcBorders>
            <w:noWrap/>
            <w:vAlign w:val="center"/>
          </w:tcPr>
          <w:p w14:paraId="62CB89D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p>
        </w:tc>
        <w:tc>
          <w:tcPr>
            <w:tcW w:w="375" w:type="pct"/>
            <w:tcBorders>
              <w:top w:val="single" w:color="auto" w:sz="4" w:space="0"/>
              <w:left w:val="single" w:color="auto" w:sz="4" w:space="0"/>
              <w:bottom w:val="single" w:color="auto" w:sz="4" w:space="0"/>
              <w:right w:val="single" w:color="auto" w:sz="4" w:space="0"/>
            </w:tcBorders>
            <w:noWrap/>
            <w:vAlign w:val="center"/>
          </w:tcPr>
          <w:p w14:paraId="68A74DB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768" w:type="pct"/>
            <w:tcBorders>
              <w:top w:val="single" w:color="auto" w:sz="4" w:space="0"/>
              <w:left w:val="single" w:color="auto" w:sz="4" w:space="0"/>
              <w:bottom w:val="single" w:color="auto" w:sz="4" w:space="0"/>
              <w:right w:val="single" w:color="auto" w:sz="4" w:space="0"/>
            </w:tcBorders>
            <w:noWrap/>
            <w:vAlign w:val="center"/>
          </w:tcPr>
          <w:p w14:paraId="6FA82178">
            <w:pPr>
              <w:keepNext w:val="0"/>
              <w:keepLines w:val="0"/>
              <w:pageBreakBefore w:val="0"/>
              <w:widowControl/>
              <w:kinsoku/>
              <w:wordWrap/>
              <w:overflowPunct/>
              <w:topLinePunct w:val="0"/>
              <w:autoSpaceDE/>
              <w:autoSpaceDN/>
              <w:bidi w:val="0"/>
              <w:adjustRightInd/>
              <w:snapToGrid/>
              <w:spacing w:line="440" w:lineRule="exact"/>
              <w:ind w:left="0" w:left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桥</w:t>
            </w:r>
            <w:r>
              <w:rPr>
                <w:rFonts w:hint="eastAsia" w:ascii="宋体" w:hAnsi="宋体" w:eastAsia="宋体" w:cs="宋体"/>
                <w:color w:val="auto"/>
                <w:kern w:val="0"/>
                <w:sz w:val="24"/>
                <w:szCs w:val="24"/>
                <w:highlight w:val="none"/>
                <w:lang w:val="en-US" w:eastAsia="zh-CN" w:bidi="ar"/>
              </w:rPr>
              <w:t>梁整体稳定性、承载能力检算；预制板</w:t>
            </w:r>
            <w:r>
              <w:rPr>
                <w:rFonts w:hint="eastAsia" w:ascii="宋体" w:hAnsi="宋体" w:eastAsia="宋体" w:cs="宋体"/>
                <w:color w:val="auto"/>
                <w:kern w:val="0"/>
                <w:sz w:val="24"/>
                <w:szCs w:val="24"/>
                <w:highlight w:val="none"/>
                <w:lang w:bidi="ar"/>
              </w:rPr>
              <w:t>、盖梁、墩柱</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强度验算</w:t>
            </w:r>
            <w:r>
              <w:rPr>
                <w:rFonts w:hint="eastAsia" w:ascii="宋体" w:hAnsi="宋体" w:eastAsia="宋体" w:cs="宋体"/>
                <w:color w:val="auto"/>
                <w:kern w:val="0"/>
                <w:sz w:val="24"/>
                <w:szCs w:val="24"/>
                <w:highlight w:val="none"/>
                <w:lang w:val="en-US" w:eastAsia="zh-CN" w:bidi="ar"/>
              </w:rPr>
              <w:t>等</w:t>
            </w:r>
          </w:p>
        </w:tc>
        <w:tc>
          <w:tcPr>
            <w:tcW w:w="457" w:type="pct"/>
            <w:tcBorders>
              <w:top w:val="single" w:color="000000" w:sz="4" w:space="0"/>
              <w:left w:val="single" w:color="auto" w:sz="4" w:space="0"/>
              <w:bottom w:val="single" w:color="000000" w:sz="4" w:space="0"/>
              <w:right w:val="single" w:color="000000" w:sz="4" w:space="0"/>
            </w:tcBorders>
            <w:noWrap/>
            <w:vAlign w:val="center"/>
          </w:tcPr>
          <w:p w14:paraId="0846F8A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62D3D26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1312" w:type="pct"/>
            <w:vMerge w:val="continue"/>
            <w:tcBorders>
              <w:left w:val="single" w:color="000000" w:sz="4" w:space="0"/>
              <w:bottom w:val="single" w:color="000000" w:sz="4" w:space="0"/>
              <w:right w:val="single" w:color="000000" w:sz="4" w:space="0"/>
            </w:tcBorders>
            <w:noWrap/>
            <w:vAlign w:val="center"/>
          </w:tcPr>
          <w:p w14:paraId="2DAFD30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p>
        </w:tc>
      </w:tr>
      <w:tr w14:paraId="6DBAB5C5">
        <w:tblPrEx>
          <w:tblCellMar>
            <w:top w:w="0" w:type="dxa"/>
            <w:left w:w="0" w:type="dxa"/>
            <w:bottom w:w="0" w:type="dxa"/>
            <w:right w:w="0" w:type="dxa"/>
          </w:tblCellMar>
        </w:tblPrEx>
        <w:trPr>
          <w:trHeight w:val="1586" w:hRule="exact"/>
        </w:trPr>
        <w:tc>
          <w:tcPr>
            <w:tcW w:w="338" w:type="pct"/>
            <w:tcBorders>
              <w:top w:val="single" w:color="000000" w:sz="4" w:space="0"/>
              <w:left w:val="single" w:color="000000" w:sz="4" w:space="0"/>
              <w:bottom w:val="single" w:color="000000" w:sz="4" w:space="0"/>
              <w:right w:val="single" w:color="000000" w:sz="4" w:space="0"/>
            </w:tcBorders>
            <w:noWrap/>
            <w:vAlign w:val="center"/>
          </w:tcPr>
          <w:p w14:paraId="63CF894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eastAsia="zh-CN" w:bidi="ar"/>
              </w:rPr>
              <w:t>五</w:t>
            </w:r>
          </w:p>
        </w:tc>
        <w:tc>
          <w:tcPr>
            <w:tcW w:w="744" w:type="pct"/>
            <w:gridSpan w:val="2"/>
            <w:tcBorders>
              <w:top w:val="single" w:color="000000" w:sz="4" w:space="0"/>
              <w:left w:val="single" w:color="000000" w:sz="4" w:space="0"/>
              <w:bottom w:val="single" w:color="000000" w:sz="4" w:space="0"/>
              <w:right w:val="single" w:color="000000" w:sz="4" w:space="0"/>
            </w:tcBorders>
            <w:noWrap/>
            <w:vAlign w:val="center"/>
          </w:tcPr>
          <w:p w14:paraId="6B142B6F">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综合</w:t>
            </w:r>
          </w:p>
          <w:p w14:paraId="38AC03A0">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评估</w:t>
            </w:r>
          </w:p>
        </w:tc>
        <w:tc>
          <w:tcPr>
            <w:tcW w:w="1768" w:type="pct"/>
            <w:tcBorders>
              <w:top w:val="single" w:color="000000" w:sz="4" w:space="0"/>
              <w:left w:val="single" w:color="000000" w:sz="4" w:space="0"/>
              <w:bottom w:val="single" w:color="000000" w:sz="4" w:space="0"/>
              <w:right w:val="single" w:color="000000" w:sz="4" w:space="0"/>
            </w:tcBorders>
            <w:noWrap/>
            <w:vAlign w:val="center"/>
          </w:tcPr>
          <w:p w14:paraId="16F601F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根据检测和</w:t>
            </w:r>
            <w:r>
              <w:rPr>
                <w:rFonts w:hint="eastAsia" w:ascii="宋体" w:hAnsi="宋体" w:cs="宋体"/>
                <w:color w:val="auto"/>
                <w:kern w:val="0"/>
                <w:sz w:val="24"/>
                <w:szCs w:val="24"/>
                <w:highlight w:val="none"/>
                <w:lang w:val="en-US" w:eastAsia="zh-CN" w:bidi="ar"/>
              </w:rPr>
              <w:t>验算</w:t>
            </w:r>
            <w:r>
              <w:rPr>
                <w:rFonts w:hint="eastAsia" w:ascii="宋体" w:hAnsi="宋体" w:eastAsia="宋体" w:cs="宋体"/>
                <w:color w:val="auto"/>
                <w:kern w:val="0"/>
                <w:sz w:val="24"/>
                <w:szCs w:val="24"/>
                <w:highlight w:val="none"/>
                <w:lang w:bidi="ar"/>
              </w:rPr>
              <w:t>结果，综合</w:t>
            </w:r>
            <w:r>
              <w:rPr>
                <w:rFonts w:hint="eastAsia" w:ascii="宋体" w:hAnsi="宋体" w:cs="宋体"/>
                <w:color w:val="auto"/>
                <w:kern w:val="0"/>
                <w:sz w:val="24"/>
                <w:szCs w:val="24"/>
                <w:highlight w:val="none"/>
                <w:lang w:val="en-US" w:eastAsia="zh-CN" w:bidi="ar"/>
              </w:rPr>
              <w:t>评估</w:t>
            </w:r>
            <w:r>
              <w:rPr>
                <w:rFonts w:hint="eastAsia" w:ascii="宋体" w:hAnsi="宋体" w:eastAsia="宋体" w:cs="宋体"/>
                <w:color w:val="auto"/>
                <w:kern w:val="0"/>
                <w:sz w:val="24"/>
                <w:szCs w:val="24"/>
                <w:highlight w:val="none"/>
                <w:lang w:bidi="ar"/>
              </w:rPr>
              <w:t>桥梁和水闸所处的安全状态</w:t>
            </w:r>
            <w:r>
              <w:rPr>
                <w:rFonts w:hint="eastAsia" w:ascii="宋体" w:hAnsi="宋体" w:cs="宋体"/>
                <w:color w:val="auto"/>
                <w:kern w:val="0"/>
                <w:sz w:val="24"/>
                <w:szCs w:val="24"/>
                <w:highlight w:val="none"/>
                <w:lang w:val="en-US" w:eastAsia="zh-CN" w:bidi="ar"/>
              </w:rPr>
              <w:t>并提出相应的维修和加固方案。</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3756B0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7F4F0C3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1312" w:type="pct"/>
            <w:tcBorders>
              <w:top w:val="single" w:color="000000" w:sz="4" w:space="0"/>
              <w:left w:val="single" w:color="000000" w:sz="4" w:space="0"/>
              <w:bottom w:val="single" w:color="000000" w:sz="4" w:space="0"/>
              <w:right w:val="single" w:color="000000" w:sz="4" w:space="0"/>
            </w:tcBorders>
            <w:noWrap/>
            <w:vAlign w:val="center"/>
          </w:tcPr>
          <w:p w14:paraId="25ADA01C">
            <w:pPr>
              <w:keepNext w:val="0"/>
              <w:keepLines w:val="0"/>
              <w:pageBreakBefore w:val="0"/>
              <w:widowControl/>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r>
      <w:tr w14:paraId="0313EBDF">
        <w:tblPrEx>
          <w:tblCellMar>
            <w:top w:w="0" w:type="dxa"/>
            <w:left w:w="0" w:type="dxa"/>
            <w:bottom w:w="0" w:type="dxa"/>
            <w:right w:w="0" w:type="dxa"/>
          </w:tblCellMar>
        </w:tblPrEx>
        <w:trPr>
          <w:trHeight w:val="1586" w:hRule="exac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4067DE2D">
            <w:pPr>
              <w:keepNext w:val="0"/>
              <w:keepLines w:val="0"/>
              <w:pageBreakBefore w:val="0"/>
              <w:widowControl/>
              <w:kinsoku/>
              <w:wordWrap/>
              <w:overflowPunct/>
              <w:topLinePunct w:val="0"/>
              <w:autoSpaceDE/>
              <w:autoSpaceDN/>
              <w:bidi w:val="0"/>
              <w:adjustRightInd/>
              <w:snapToGrid/>
              <w:spacing w:line="440" w:lineRule="exact"/>
              <w:ind w:left="0" w:left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以上所有检测内容按照《城市桥梁养护技术标准》（CJJ99-2017）、《城市桥梁检测与评定技术规范》（CJJT/233-2015)、《江苏省水闸安全鉴定管理办法》（苏水规〔2020〕3号）、《水闸安全评价导则》（SL214-2015）等其他相关桥梁和水利工程规范要求。</w:t>
            </w:r>
          </w:p>
        </w:tc>
      </w:tr>
    </w:tbl>
    <w:p w14:paraId="2FB8F6DD">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440" w:lineRule="exact"/>
        <w:ind w:left="0" w:leftChars="0" w:right="0" w:rightChars="0" w:firstLine="480" w:firstLineChars="200"/>
        <w:textAlignment w:val="auto"/>
        <w:rPr>
          <w:rFonts w:hint="eastAsia" w:ascii="宋体" w:hAnsi="宋体" w:cs="宋体"/>
          <w:b w:val="0"/>
          <w:bCs/>
          <w:color w:val="auto"/>
          <w:sz w:val="24"/>
          <w:highlight w:val="none"/>
        </w:rPr>
      </w:pPr>
      <w:r>
        <w:rPr>
          <w:rFonts w:hint="eastAsia" w:ascii="宋体" w:hAnsi="宋体" w:eastAsia="宋体" w:cs="宋体"/>
          <w:b/>
          <w:color w:val="auto"/>
          <w:sz w:val="24"/>
          <w:highlight w:val="none"/>
          <w:lang w:val="en-US" w:eastAsia="zh-CN"/>
        </w:rPr>
        <w:t xml:space="preserve">第三条 </w:t>
      </w:r>
      <w:r>
        <w:rPr>
          <w:rFonts w:hint="eastAsia" w:ascii="宋体" w:hAnsi="宋体" w:cs="宋体"/>
          <w:b w:val="0"/>
          <w:bCs/>
          <w:color w:val="auto"/>
          <w:sz w:val="24"/>
          <w:highlight w:val="none"/>
        </w:rPr>
        <w:t>依据</w:t>
      </w:r>
      <w:r>
        <w:rPr>
          <w:rFonts w:hint="eastAsia" w:ascii="宋体" w:hAnsi="宋体" w:eastAsia="宋体" w:cs="宋体"/>
          <w:color w:val="auto"/>
          <w:sz w:val="24"/>
          <w:szCs w:val="24"/>
          <w:highlight w:val="none"/>
        </w:rPr>
        <w:t>《水闸安全评价导则》</w:t>
      </w:r>
      <w:r>
        <w:rPr>
          <w:rFonts w:hint="eastAsia" w:ascii="宋体" w:hAnsi="宋体" w:eastAsia="宋体" w:cs="宋体"/>
          <w:color w:val="auto"/>
          <w:sz w:val="24"/>
          <w:szCs w:val="24"/>
          <w:highlight w:val="none"/>
          <w:lang w:val="en-US" w:eastAsia="zh-CN"/>
        </w:rPr>
        <w:t>(SL 214-2015)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《城市桥梁检测与评定技术规范》（CJJT/233</w:t>
      </w:r>
      <w:r>
        <w:rPr>
          <w:rFonts w:hint="eastAsia" w:ascii="宋体" w:hAnsi="宋体" w:eastAsia="宋体" w:cs="宋体"/>
          <w:color w:val="auto"/>
          <w:sz w:val="24"/>
          <w:szCs w:val="24"/>
          <w:highlight w:val="none"/>
          <w:lang w:val="en-US" w:eastAsia="zh-CN"/>
        </w:rPr>
        <w:t>-2015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等规范和相关规定，</w:t>
      </w:r>
      <w:r>
        <w:rPr>
          <w:rFonts w:hint="eastAsia" w:ascii="宋体" w:hAnsi="宋体" w:eastAsia="宋体" w:cs="宋体"/>
          <w:color w:val="auto"/>
          <w:sz w:val="24"/>
          <w:szCs w:val="24"/>
          <w:highlight w:val="none"/>
          <w:lang w:eastAsia="zh-CN"/>
        </w:rPr>
        <w:t>通过外观检查、构件检测、荷载试验</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结构检算等</w:t>
      </w:r>
      <w:r>
        <w:rPr>
          <w:rFonts w:hint="eastAsia" w:ascii="宋体" w:hAnsi="宋体" w:cs="宋体"/>
          <w:color w:val="auto"/>
          <w:sz w:val="24"/>
          <w:szCs w:val="24"/>
          <w:highlight w:val="none"/>
          <w:lang w:eastAsia="zh-CN"/>
        </w:rPr>
        <w:t>综合评估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确定</w:t>
      </w:r>
      <w:r>
        <w:rPr>
          <w:rFonts w:hint="eastAsia" w:ascii="宋体" w:hAnsi="宋体" w:eastAsia="宋体" w:cs="宋体"/>
          <w:color w:val="auto"/>
          <w:sz w:val="24"/>
          <w:szCs w:val="24"/>
          <w:highlight w:val="none"/>
        </w:rPr>
        <w:t>节制闸</w:t>
      </w:r>
      <w:r>
        <w:rPr>
          <w:rFonts w:hint="eastAsia" w:ascii="宋体" w:hAnsi="宋体" w:eastAsia="宋体" w:cs="宋体"/>
          <w:color w:val="auto"/>
          <w:sz w:val="24"/>
          <w:szCs w:val="24"/>
          <w:highlight w:val="none"/>
          <w:lang w:eastAsia="zh-CN"/>
        </w:rPr>
        <w:t>具有潜在退化可能或已处于退化状态的桥梁构件，提出相应的建议意见</w:t>
      </w:r>
      <w:r>
        <w:rPr>
          <w:rFonts w:hint="eastAsia" w:ascii="宋体" w:hAnsi="宋体" w:eastAsia="宋体" w:cs="宋体"/>
          <w:color w:val="auto"/>
          <w:sz w:val="24"/>
          <w:szCs w:val="24"/>
          <w:highlight w:val="none"/>
        </w:rPr>
        <w:t>。</w:t>
      </w:r>
    </w:p>
    <w:p w14:paraId="76D8F9CE">
      <w:pPr>
        <w:keepNext w:val="0"/>
        <w:keepLines w:val="0"/>
        <w:pageBreakBefore w:val="0"/>
        <w:numPr>
          <w:ilvl w:val="0"/>
          <w:numId w:val="0"/>
        </w:numPr>
        <w:bidi w:val="0"/>
        <w:adjustRightInd w:val="0"/>
        <w:spacing w:beforeAutospacing="0" w:afterAutospacing="0" w:line="440" w:lineRule="exact"/>
        <w:ind w:left="0" w:leftChars="0" w:right="0" w:rightChars="0"/>
        <w:rPr>
          <w:rFonts w:ascii="宋体" w:hAnsi="宋体" w:cs="宋体"/>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 xml:space="preserve">条  </w:t>
      </w:r>
      <w:r>
        <w:rPr>
          <w:rFonts w:hint="eastAsia" w:ascii="宋体" w:hAnsi="宋体" w:cs="宋体"/>
          <w:color w:val="auto"/>
          <w:sz w:val="24"/>
          <w:highlight w:val="none"/>
        </w:rPr>
        <w:t>合同价格</w:t>
      </w:r>
      <w:r>
        <w:rPr>
          <w:rFonts w:hint="eastAsia" w:ascii="宋体" w:hAnsi="宋体" w:cs="宋体"/>
          <w:color w:val="auto"/>
          <w:sz w:val="24"/>
          <w:highlight w:val="none"/>
          <w:u w:val="single"/>
        </w:rPr>
        <w:t xml:space="preserve">：（大写）：          (人民币)（小写）：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1FBF679">
      <w:pPr>
        <w:keepNext w:val="0"/>
        <w:keepLines w:val="0"/>
        <w:pageBreakBefore w:val="0"/>
        <w:wordWrap/>
        <w:bidi w:val="0"/>
        <w:snapToGrid w:val="0"/>
        <w:spacing w:beforeAutospacing="0" w:afterAutospacing="0" w:line="440" w:lineRule="exact"/>
        <w:ind w:left="0" w:leftChars="0" w:right="0" w:rightChars="0" w:firstLine="480" w:firstLineChars="200"/>
        <w:outlineLvl w:val="1"/>
        <w:rPr>
          <w:b/>
          <w:color w:val="auto"/>
          <w:sz w:val="24"/>
          <w:highlight w:val="none"/>
        </w:rPr>
      </w:pPr>
      <w:r>
        <w:rPr>
          <w:rFonts w:hint="eastAsia" w:ascii="宋体" w:hAnsi="宋体" w:cs="宋体"/>
          <w:b/>
          <w:color w:val="auto"/>
          <w:sz w:val="24"/>
          <w:highlight w:val="none"/>
          <w:lang w:val="en-US" w:eastAsia="zh-CN"/>
        </w:rPr>
        <w:t xml:space="preserve">第五条  </w:t>
      </w:r>
      <w:r>
        <w:rPr>
          <w:b/>
          <w:color w:val="auto"/>
          <w:sz w:val="24"/>
          <w:highlight w:val="none"/>
        </w:rPr>
        <w:t>成果提交</w:t>
      </w:r>
    </w:p>
    <w:tbl>
      <w:tblPr>
        <w:tblStyle w:val="66"/>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4423"/>
        <w:gridCol w:w="2923"/>
      </w:tblGrid>
      <w:tr w14:paraId="1AA1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tcPr>
          <w:p w14:paraId="3F19C88E">
            <w:pPr>
              <w:pStyle w:val="64"/>
              <w:keepNext w:val="0"/>
              <w:keepLines w:val="0"/>
              <w:pageBreakBefore w:val="0"/>
              <w:bidi w:val="0"/>
              <w:spacing w:after="0" w:line="440" w:lineRule="exact"/>
              <w:ind w:left="0" w:leftChars="0" w:firstLine="0" w:firstLineChars="0"/>
              <w:jc w:val="center"/>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序号</w:t>
            </w:r>
          </w:p>
        </w:tc>
        <w:tc>
          <w:tcPr>
            <w:tcW w:w="4423" w:type="dxa"/>
          </w:tcPr>
          <w:p w14:paraId="4C13AE89">
            <w:pPr>
              <w:pStyle w:val="64"/>
              <w:keepNext w:val="0"/>
              <w:keepLines w:val="0"/>
              <w:pageBreakBefore w:val="0"/>
              <w:bidi w:val="0"/>
              <w:spacing w:after="0" w:line="440" w:lineRule="exact"/>
              <w:ind w:left="0" w:leftChars="0" w:firstLine="0" w:firstLineChars="0"/>
              <w:jc w:val="center"/>
              <w:rPr>
                <w:rFonts w:hint="default"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项目</w:t>
            </w:r>
          </w:p>
        </w:tc>
        <w:tc>
          <w:tcPr>
            <w:tcW w:w="2923" w:type="dxa"/>
          </w:tcPr>
          <w:p w14:paraId="2747DA75">
            <w:pPr>
              <w:pStyle w:val="64"/>
              <w:keepNext w:val="0"/>
              <w:keepLines w:val="0"/>
              <w:pageBreakBefore w:val="0"/>
              <w:bidi w:val="0"/>
              <w:spacing w:after="0" w:line="440" w:lineRule="exact"/>
              <w:ind w:left="0" w:leftChars="0" w:firstLine="0" w:firstLineChars="0"/>
              <w:jc w:val="center"/>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项</w:t>
            </w:r>
          </w:p>
        </w:tc>
      </w:tr>
      <w:tr w14:paraId="32E4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tcPr>
          <w:p w14:paraId="4642AA1A">
            <w:pPr>
              <w:pStyle w:val="64"/>
              <w:keepNext w:val="0"/>
              <w:keepLines w:val="0"/>
              <w:pageBreakBefore w:val="0"/>
              <w:bidi w:val="0"/>
              <w:spacing w:after="0" w:line="440" w:lineRule="exact"/>
              <w:ind w:left="0" w:leftChars="0" w:firstLine="0" w:firstLineChars="0"/>
              <w:jc w:val="center"/>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1</w:t>
            </w:r>
          </w:p>
        </w:tc>
        <w:tc>
          <w:tcPr>
            <w:tcW w:w="4423" w:type="dxa"/>
          </w:tcPr>
          <w:p w14:paraId="03AC0B98">
            <w:pPr>
              <w:keepNext w:val="0"/>
              <w:keepLines w:val="0"/>
              <w:pageBreakBefore w:val="0"/>
              <w:widowControl/>
              <w:suppressLineNumbers w:val="0"/>
              <w:bidi w:val="0"/>
              <w:spacing w:line="440" w:lineRule="exact"/>
              <w:ind w:left="0" w:leftChars="0"/>
              <w:jc w:val="center"/>
              <w:rPr>
                <w:rFonts w:ascii="Times New Roman" w:hAnsi="Times New Roman" w:eastAsia="宋体" w:cs="Times New Roman"/>
                <w:bCs/>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
              </w:rPr>
              <w:t>工程检测试验报告</w:t>
            </w:r>
          </w:p>
        </w:tc>
        <w:tc>
          <w:tcPr>
            <w:tcW w:w="2923" w:type="dxa"/>
          </w:tcPr>
          <w:p w14:paraId="326ED0CF">
            <w:pPr>
              <w:pStyle w:val="64"/>
              <w:keepNext w:val="0"/>
              <w:keepLines w:val="0"/>
              <w:pageBreakBefore w:val="0"/>
              <w:bidi w:val="0"/>
              <w:spacing w:after="0" w:line="440" w:lineRule="exact"/>
              <w:ind w:left="0" w:leftChars="0" w:firstLine="0" w:firstLineChars="0"/>
              <w:jc w:val="center"/>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1</w:t>
            </w:r>
          </w:p>
        </w:tc>
      </w:tr>
      <w:tr w14:paraId="7F3E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tcPr>
          <w:p w14:paraId="1E9BDAA2">
            <w:pPr>
              <w:pStyle w:val="64"/>
              <w:keepNext w:val="0"/>
              <w:keepLines w:val="0"/>
              <w:pageBreakBefore w:val="0"/>
              <w:bidi w:val="0"/>
              <w:spacing w:after="0" w:line="440" w:lineRule="exact"/>
              <w:ind w:left="0" w:leftChars="0" w:firstLine="0" w:firstLineChars="0"/>
              <w:jc w:val="center"/>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2</w:t>
            </w:r>
          </w:p>
        </w:tc>
        <w:tc>
          <w:tcPr>
            <w:tcW w:w="4423" w:type="dxa"/>
          </w:tcPr>
          <w:p w14:paraId="1C4B88CA">
            <w:pPr>
              <w:keepNext w:val="0"/>
              <w:keepLines w:val="0"/>
              <w:pageBreakBefore w:val="0"/>
              <w:widowControl/>
              <w:suppressLineNumbers w:val="0"/>
              <w:bidi w:val="0"/>
              <w:spacing w:line="440" w:lineRule="exact"/>
              <w:ind w:left="0" w:leftChars="0"/>
              <w:jc w:val="center"/>
              <w:rPr>
                <w:rFonts w:ascii="Times New Roman" w:hAnsi="Times New Roman" w:eastAsia="宋体" w:cs="Times New Roman"/>
                <w:bCs/>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
              </w:rPr>
              <w:t>水下检查报告</w:t>
            </w:r>
          </w:p>
        </w:tc>
        <w:tc>
          <w:tcPr>
            <w:tcW w:w="2923" w:type="dxa"/>
          </w:tcPr>
          <w:p w14:paraId="6445B7C9">
            <w:pPr>
              <w:keepNext w:val="0"/>
              <w:keepLines w:val="0"/>
              <w:pageBreakBefore w:val="0"/>
              <w:bidi w:val="0"/>
              <w:spacing w:line="440" w:lineRule="exact"/>
              <w:ind w:left="0" w:leftChars="0"/>
              <w:jc w:val="center"/>
              <w:rPr>
                <w:rFonts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1</w:t>
            </w:r>
          </w:p>
        </w:tc>
      </w:tr>
      <w:tr w14:paraId="495F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tcPr>
          <w:p w14:paraId="7E01E81C">
            <w:pPr>
              <w:pStyle w:val="64"/>
              <w:keepNext w:val="0"/>
              <w:keepLines w:val="0"/>
              <w:pageBreakBefore w:val="0"/>
              <w:bidi w:val="0"/>
              <w:spacing w:after="0" w:line="440" w:lineRule="exact"/>
              <w:ind w:left="0" w:leftChars="0" w:firstLine="0" w:firstLineChars="0"/>
              <w:jc w:val="center"/>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3</w:t>
            </w:r>
          </w:p>
        </w:tc>
        <w:tc>
          <w:tcPr>
            <w:tcW w:w="4423" w:type="dxa"/>
          </w:tcPr>
          <w:p w14:paraId="0DD1E678">
            <w:pPr>
              <w:keepNext w:val="0"/>
              <w:keepLines w:val="0"/>
              <w:pageBreakBefore w:val="0"/>
              <w:widowControl/>
              <w:suppressLineNumbers w:val="0"/>
              <w:bidi w:val="0"/>
              <w:spacing w:line="440" w:lineRule="exact"/>
              <w:ind w:left="0" w:leftChars="0"/>
              <w:jc w:val="center"/>
              <w:rPr>
                <w:rFonts w:ascii="Times New Roman" w:hAnsi="Times New Roman" w:eastAsia="宋体" w:cs="Times New Roman"/>
                <w:bCs/>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
              </w:rPr>
              <w:t>结构验算报告</w:t>
            </w:r>
          </w:p>
        </w:tc>
        <w:tc>
          <w:tcPr>
            <w:tcW w:w="2923" w:type="dxa"/>
          </w:tcPr>
          <w:p w14:paraId="3CB0C5E5">
            <w:pPr>
              <w:keepNext w:val="0"/>
              <w:keepLines w:val="0"/>
              <w:pageBreakBefore w:val="0"/>
              <w:bidi w:val="0"/>
              <w:spacing w:line="440" w:lineRule="exact"/>
              <w:ind w:left="0" w:leftChars="0"/>
              <w:jc w:val="center"/>
              <w:rPr>
                <w:rFonts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1</w:t>
            </w:r>
          </w:p>
        </w:tc>
      </w:tr>
      <w:tr w14:paraId="0B6A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tcPr>
          <w:p w14:paraId="2F9A808C">
            <w:pPr>
              <w:pStyle w:val="64"/>
              <w:keepNext w:val="0"/>
              <w:keepLines w:val="0"/>
              <w:pageBreakBefore w:val="0"/>
              <w:bidi w:val="0"/>
              <w:spacing w:after="0" w:line="440" w:lineRule="exact"/>
              <w:ind w:left="0" w:leftChars="0" w:firstLine="0" w:firstLineChars="0"/>
              <w:jc w:val="center"/>
              <w:rPr>
                <w:rFonts w:hint="eastAsia"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4</w:t>
            </w:r>
          </w:p>
        </w:tc>
        <w:tc>
          <w:tcPr>
            <w:tcW w:w="4423" w:type="dxa"/>
          </w:tcPr>
          <w:p w14:paraId="73D96AFF">
            <w:pPr>
              <w:keepNext w:val="0"/>
              <w:keepLines w:val="0"/>
              <w:pageBreakBefore w:val="0"/>
              <w:widowControl/>
              <w:suppressLineNumbers w:val="0"/>
              <w:bidi w:val="0"/>
              <w:spacing w:line="440" w:lineRule="exact"/>
              <w:ind w:left="0" w:leftChars="0"/>
              <w:jc w:val="center"/>
              <w:rPr>
                <w:rFonts w:ascii="Times New Roman" w:hAnsi="Times New Roman" w:eastAsia="宋体" w:cs="Times New Roman"/>
                <w:bCs/>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
              </w:rPr>
              <w:t>综合</w:t>
            </w:r>
            <w:r>
              <w:rPr>
                <w:rFonts w:hint="eastAsia" w:ascii="宋体" w:hAnsi="宋体" w:cs="宋体"/>
                <w:b w:val="0"/>
                <w:bCs w:val="0"/>
                <w:color w:val="auto"/>
                <w:kern w:val="0"/>
                <w:sz w:val="24"/>
                <w:szCs w:val="24"/>
                <w:highlight w:val="none"/>
                <w:lang w:val="en-US" w:eastAsia="zh-CN" w:bidi="ar"/>
              </w:rPr>
              <w:t>评估</w:t>
            </w:r>
            <w:r>
              <w:rPr>
                <w:rFonts w:hint="eastAsia" w:ascii="宋体" w:hAnsi="宋体" w:eastAsia="宋体" w:cs="宋体"/>
                <w:b w:val="0"/>
                <w:bCs w:val="0"/>
                <w:color w:val="auto"/>
                <w:kern w:val="0"/>
                <w:sz w:val="24"/>
                <w:szCs w:val="24"/>
                <w:highlight w:val="none"/>
                <w:lang w:val="en-US" w:eastAsia="zh-CN" w:bidi="ar"/>
              </w:rPr>
              <w:t>报告</w:t>
            </w:r>
          </w:p>
        </w:tc>
        <w:tc>
          <w:tcPr>
            <w:tcW w:w="2923" w:type="dxa"/>
          </w:tcPr>
          <w:p w14:paraId="1EF2B4C3">
            <w:pPr>
              <w:keepNext w:val="0"/>
              <w:keepLines w:val="0"/>
              <w:pageBreakBefore w:val="0"/>
              <w:bidi w:val="0"/>
              <w:spacing w:line="440" w:lineRule="exact"/>
              <w:ind w:left="0" w:leftChars="0"/>
              <w:jc w:val="center"/>
              <w:rPr>
                <w:rFonts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Cs/>
                <w:color w:val="auto"/>
                <w:kern w:val="0"/>
                <w:sz w:val="24"/>
                <w:szCs w:val="24"/>
                <w:highlight w:val="none"/>
                <w:lang w:val="en-US" w:eastAsia="zh-CN" w:bidi="ar-SA"/>
              </w:rPr>
              <w:t>1</w:t>
            </w:r>
          </w:p>
        </w:tc>
      </w:tr>
    </w:tbl>
    <w:p w14:paraId="6E0A4A45">
      <w:pPr>
        <w:pStyle w:val="64"/>
        <w:keepNext w:val="0"/>
        <w:keepLines w:val="0"/>
        <w:pageBreakBefore w:val="0"/>
        <w:bidi w:val="0"/>
        <w:spacing w:after="0" w:line="440" w:lineRule="exact"/>
        <w:ind w:left="0" w:leftChars="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注：以上纸质文件各</w:t>
      </w:r>
      <w:r>
        <w:rPr>
          <w:rFonts w:hint="eastAsia" w:ascii="Times New Roman" w:eastAsia="宋体" w:cs="Times New Roman"/>
          <w:color w:val="auto"/>
          <w:kern w:val="2"/>
          <w:sz w:val="24"/>
          <w:szCs w:val="24"/>
          <w:highlight w:val="none"/>
          <w:lang w:val="en-US" w:eastAsia="zh-CN" w:bidi="ar-SA"/>
        </w:rPr>
        <w:t>4</w:t>
      </w:r>
      <w:r>
        <w:rPr>
          <w:rFonts w:hint="eastAsia" w:ascii="Times New Roman" w:hAnsi="Times New Roman" w:eastAsia="宋体" w:cs="Times New Roman"/>
          <w:color w:val="auto"/>
          <w:kern w:val="2"/>
          <w:sz w:val="24"/>
          <w:szCs w:val="24"/>
          <w:highlight w:val="none"/>
          <w:lang w:val="en-US" w:eastAsia="zh-CN" w:bidi="ar-SA"/>
        </w:rPr>
        <w:t>套和电子文件各1套。</w:t>
      </w:r>
    </w:p>
    <w:p w14:paraId="1E4021FA">
      <w:pPr>
        <w:keepNext w:val="0"/>
        <w:keepLines w:val="0"/>
        <w:pageBreakBefore w:val="0"/>
        <w:bidi w:val="0"/>
        <w:adjustRightInd w:val="0"/>
        <w:spacing w:beforeAutospacing="0" w:afterAutospacing="0" w:line="440" w:lineRule="exact"/>
        <w:ind w:left="0" w:leftChars="0" w:right="0" w:rightChars="0" w:firstLine="480" w:firstLineChars="200"/>
        <w:rPr>
          <w:rFonts w:ascii="宋体" w:hAnsi="宋体" w:cs="宋体"/>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 xml:space="preserve">条  </w:t>
      </w:r>
      <w:r>
        <w:rPr>
          <w:rFonts w:hint="eastAsia" w:ascii="宋体" w:hAnsi="宋体" w:cs="宋体"/>
          <w:color w:val="auto"/>
          <w:sz w:val="24"/>
          <w:highlight w:val="none"/>
          <w:lang w:val="en-US" w:eastAsia="zh-CN"/>
        </w:rPr>
        <w:t>甲乙双方</w:t>
      </w:r>
      <w:r>
        <w:rPr>
          <w:rFonts w:hint="eastAsia" w:ascii="宋体" w:hAnsi="宋体" w:cs="宋体"/>
          <w:color w:val="auto"/>
          <w:sz w:val="24"/>
          <w:highlight w:val="none"/>
        </w:rPr>
        <w:t>的义务</w:t>
      </w:r>
    </w:p>
    <w:p w14:paraId="611E2AE4">
      <w:pPr>
        <w:keepNext w:val="0"/>
        <w:keepLines w:val="0"/>
        <w:pageBreakBefore w:val="0"/>
        <w:widowControl w:val="0"/>
        <w:kinsoku/>
        <w:wordWrap/>
        <w:overflowPunct/>
        <w:topLinePunct w:val="0"/>
        <w:autoSpaceDE/>
        <w:autoSpaceDN/>
        <w:bidi w:val="0"/>
        <w:snapToGrid w:val="0"/>
        <w:spacing w:beforeAutospacing="0" w:afterAutospacing="0" w:line="440" w:lineRule="exact"/>
        <w:ind w:left="0" w:leftChars="0" w:right="0" w:rightChars="0" w:firstLine="564" w:firstLineChars="235"/>
        <w:textAlignment w:val="auto"/>
        <w:rPr>
          <w:rFonts w:hint="eastAsia" w:ascii="宋体" w:hAnsi="宋体"/>
          <w:color w:val="auto"/>
          <w:sz w:val="24"/>
          <w:highlight w:val="none"/>
        </w:rPr>
      </w:pPr>
      <w:r>
        <w:rPr>
          <w:rFonts w:hint="eastAsia" w:ascii="宋体" w:hAnsi="宋体"/>
          <w:color w:val="auto"/>
          <w:sz w:val="24"/>
          <w:highlight w:val="none"/>
        </w:rPr>
        <w:t>1、甲方主要义务</w:t>
      </w:r>
    </w:p>
    <w:p w14:paraId="10F9F9EC">
      <w:pPr>
        <w:keepNext w:val="0"/>
        <w:keepLines w:val="0"/>
        <w:pageBreakBefore w:val="0"/>
        <w:widowControl w:val="0"/>
        <w:kinsoku/>
        <w:wordWrap/>
        <w:overflowPunct/>
        <w:topLinePunct w:val="0"/>
        <w:autoSpaceDE/>
        <w:autoSpaceDN/>
        <w:bidi w:val="0"/>
        <w:snapToGrid w:val="0"/>
        <w:spacing w:beforeAutospacing="0" w:afterAutospacing="0" w:line="440" w:lineRule="exact"/>
        <w:ind w:left="0" w:leftChars="0" w:right="0" w:rightChars="0" w:firstLine="564" w:firstLineChars="235"/>
        <w:textAlignment w:val="auto"/>
        <w:rPr>
          <w:rFonts w:hint="eastAsia" w:ascii="宋体" w:hAnsi="宋体"/>
          <w:color w:val="auto"/>
          <w:sz w:val="24"/>
          <w:highlight w:val="none"/>
        </w:rPr>
      </w:pPr>
      <w:r>
        <w:rPr>
          <w:rFonts w:hint="eastAsia" w:ascii="宋体" w:hAnsi="宋体"/>
          <w:color w:val="auto"/>
          <w:sz w:val="24"/>
          <w:highlight w:val="none"/>
        </w:rPr>
        <w:t>①在规定的时间内向乙方提交相关基础资料及文件，并对其完整性、正确性及时限负责。</w:t>
      </w:r>
    </w:p>
    <w:p w14:paraId="2338E3F8">
      <w:pPr>
        <w:keepNext w:val="0"/>
        <w:keepLines w:val="0"/>
        <w:pageBreakBefore w:val="0"/>
        <w:widowControl w:val="0"/>
        <w:kinsoku/>
        <w:wordWrap/>
        <w:overflowPunct/>
        <w:topLinePunct w:val="0"/>
        <w:autoSpaceDE/>
        <w:autoSpaceDN/>
        <w:bidi w:val="0"/>
        <w:snapToGrid w:val="0"/>
        <w:spacing w:beforeAutospacing="0" w:afterAutospacing="0" w:line="440" w:lineRule="exact"/>
        <w:ind w:left="0" w:leftChars="0" w:right="0" w:rightChars="0" w:firstLine="564" w:firstLineChars="235"/>
        <w:textAlignment w:val="auto"/>
        <w:rPr>
          <w:rFonts w:hint="eastAsia" w:ascii="宋体" w:hAnsi="宋体"/>
          <w:color w:val="auto"/>
          <w:sz w:val="24"/>
          <w:highlight w:val="none"/>
        </w:rPr>
      </w:pPr>
      <w:r>
        <w:rPr>
          <w:rFonts w:hint="eastAsia" w:ascii="宋体" w:hAnsi="宋体"/>
          <w:color w:val="auto"/>
          <w:sz w:val="24"/>
          <w:highlight w:val="none"/>
        </w:rPr>
        <w:t>②按合同规定的金额和时间向乙方支付费用。</w:t>
      </w:r>
    </w:p>
    <w:p w14:paraId="238B1231">
      <w:pPr>
        <w:keepNext w:val="0"/>
        <w:keepLines w:val="0"/>
        <w:pageBreakBefore w:val="0"/>
        <w:widowControl w:val="0"/>
        <w:kinsoku/>
        <w:wordWrap/>
        <w:overflowPunct/>
        <w:topLinePunct w:val="0"/>
        <w:autoSpaceDE/>
        <w:autoSpaceDN/>
        <w:bidi w:val="0"/>
        <w:snapToGrid w:val="0"/>
        <w:spacing w:beforeAutospacing="0" w:afterAutospacing="0" w:line="440" w:lineRule="exact"/>
        <w:ind w:left="0" w:leftChars="0" w:right="0" w:rightChars="0" w:firstLine="564" w:firstLineChars="235"/>
        <w:textAlignment w:val="auto"/>
        <w:rPr>
          <w:rFonts w:hint="eastAsia" w:ascii="宋体" w:hAnsi="宋体"/>
          <w:color w:val="auto"/>
          <w:sz w:val="24"/>
          <w:highlight w:val="none"/>
        </w:rPr>
      </w:pPr>
      <w:r>
        <w:rPr>
          <w:rFonts w:hint="eastAsia" w:ascii="宋体" w:hAnsi="宋体"/>
          <w:color w:val="auto"/>
          <w:sz w:val="24"/>
          <w:highlight w:val="none"/>
        </w:rPr>
        <w:t>2、乙方主要义务</w:t>
      </w:r>
    </w:p>
    <w:p w14:paraId="66E21E9A">
      <w:pPr>
        <w:keepNext w:val="0"/>
        <w:keepLines w:val="0"/>
        <w:pageBreakBefore w:val="0"/>
        <w:widowControl w:val="0"/>
        <w:kinsoku/>
        <w:wordWrap/>
        <w:overflowPunct/>
        <w:topLinePunct w:val="0"/>
        <w:autoSpaceDE/>
        <w:autoSpaceDN/>
        <w:bidi w:val="0"/>
        <w:snapToGrid w:val="0"/>
        <w:spacing w:beforeAutospacing="0" w:afterAutospacing="0" w:line="440" w:lineRule="exact"/>
        <w:ind w:left="0" w:leftChars="0" w:right="0" w:rightChars="0" w:firstLine="564" w:firstLineChars="235"/>
        <w:textAlignment w:val="auto"/>
        <w:rPr>
          <w:rFonts w:hint="eastAsia" w:ascii="宋体" w:hAnsi="宋体"/>
          <w:color w:val="auto"/>
          <w:sz w:val="24"/>
          <w:highlight w:val="none"/>
        </w:rPr>
      </w:pPr>
      <w:r>
        <w:rPr>
          <w:rFonts w:hint="eastAsia" w:ascii="宋体" w:hAnsi="宋体"/>
          <w:color w:val="auto"/>
          <w:sz w:val="24"/>
          <w:highlight w:val="none"/>
        </w:rPr>
        <w:fldChar w:fldCharType="begin"/>
      </w:r>
      <w:r>
        <w:rPr>
          <w:rFonts w:hint="eastAsia" w:ascii="宋体" w:hAnsi="宋体"/>
          <w:color w:val="auto"/>
          <w:sz w:val="24"/>
          <w:highlight w:val="none"/>
        </w:rPr>
        <w:instrText xml:space="preserve"> = 1 \* GB3 </w:instrText>
      </w:r>
      <w:r>
        <w:rPr>
          <w:rFonts w:hint="eastAsia" w:ascii="宋体" w:hAnsi="宋体"/>
          <w:color w:val="auto"/>
          <w:sz w:val="24"/>
          <w:highlight w:val="none"/>
        </w:rPr>
        <w:fldChar w:fldCharType="separate"/>
      </w:r>
      <w:r>
        <w:rPr>
          <w:rFonts w:hint="eastAsia" w:ascii="宋体" w:hAnsi="宋体"/>
          <w:color w:val="auto"/>
          <w:sz w:val="24"/>
          <w:highlight w:val="none"/>
        </w:rPr>
        <w:t>①</w:t>
      </w:r>
      <w:r>
        <w:rPr>
          <w:rFonts w:hint="eastAsia" w:ascii="宋体" w:hAnsi="宋体"/>
          <w:color w:val="auto"/>
          <w:sz w:val="24"/>
          <w:highlight w:val="none"/>
        </w:rPr>
        <w:fldChar w:fldCharType="end"/>
      </w:r>
      <w:r>
        <w:rPr>
          <w:rFonts w:hint="eastAsia" w:ascii="宋体" w:hAnsi="宋体"/>
          <w:color w:val="auto"/>
          <w:sz w:val="24"/>
          <w:highlight w:val="none"/>
        </w:rPr>
        <w:t>按合同规定的要求进行</w:t>
      </w:r>
      <w:r>
        <w:rPr>
          <w:rFonts w:hint="eastAsia" w:ascii="宋体" w:hAnsi="宋体"/>
          <w:color w:val="auto"/>
          <w:sz w:val="24"/>
          <w:highlight w:val="none"/>
          <w:lang w:val="en-US" w:eastAsia="zh-CN"/>
        </w:rPr>
        <w:t>节制闸检测</w:t>
      </w:r>
      <w:r>
        <w:rPr>
          <w:rFonts w:hint="eastAsia" w:ascii="宋体" w:hAnsi="宋体"/>
          <w:color w:val="auto"/>
          <w:sz w:val="24"/>
          <w:highlight w:val="none"/>
        </w:rPr>
        <w:t>，并按要求提交相关的成果报告。</w:t>
      </w:r>
    </w:p>
    <w:p w14:paraId="65CAB9C0">
      <w:pPr>
        <w:keepNext w:val="0"/>
        <w:keepLines w:val="0"/>
        <w:pageBreakBefore w:val="0"/>
        <w:widowControl w:val="0"/>
        <w:kinsoku/>
        <w:wordWrap/>
        <w:overflowPunct/>
        <w:topLinePunct w:val="0"/>
        <w:autoSpaceDE/>
        <w:autoSpaceDN/>
        <w:bidi w:val="0"/>
        <w:snapToGrid w:val="0"/>
        <w:spacing w:beforeAutospacing="0" w:afterAutospacing="0" w:line="440" w:lineRule="exact"/>
        <w:ind w:left="0" w:leftChars="0" w:right="0" w:rightChars="0" w:firstLine="564" w:firstLineChars="235"/>
        <w:textAlignment w:val="auto"/>
        <w:rPr>
          <w:rFonts w:hint="eastAsia" w:ascii="宋体" w:hAnsi="宋体"/>
          <w:color w:val="auto"/>
          <w:sz w:val="24"/>
          <w:highlight w:val="none"/>
        </w:rPr>
      </w:pPr>
      <w:r>
        <w:rPr>
          <w:rFonts w:hint="eastAsia" w:ascii="宋体" w:hAnsi="宋体"/>
          <w:color w:val="auto"/>
          <w:sz w:val="24"/>
          <w:highlight w:val="none"/>
        </w:rPr>
        <w:fldChar w:fldCharType="begin"/>
      </w:r>
      <w:r>
        <w:rPr>
          <w:rFonts w:hint="eastAsia" w:ascii="宋体" w:hAnsi="宋体"/>
          <w:color w:val="auto"/>
          <w:sz w:val="24"/>
          <w:highlight w:val="none"/>
        </w:rPr>
        <w:instrText xml:space="preserve"> = 2 \* GB3 </w:instrText>
      </w:r>
      <w:r>
        <w:rPr>
          <w:rFonts w:hint="eastAsia" w:ascii="宋体" w:hAnsi="宋体"/>
          <w:color w:val="auto"/>
          <w:sz w:val="24"/>
          <w:highlight w:val="none"/>
        </w:rPr>
        <w:fldChar w:fldCharType="separate"/>
      </w:r>
      <w:r>
        <w:rPr>
          <w:rFonts w:hint="eastAsia" w:ascii="宋体" w:hAnsi="宋体"/>
          <w:color w:val="auto"/>
          <w:sz w:val="24"/>
          <w:highlight w:val="none"/>
        </w:rPr>
        <w:t>②</w:t>
      </w:r>
      <w:r>
        <w:rPr>
          <w:rFonts w:hint="eastAsia" w:ascii="宋体" w:hAnsi="宋体"/>
          <w:color w:val="auto"/>
          <w:sz w:val="24"/>
          <w:highlight w:val="none"/>
        </w:rPr>
        <w:fldChar w:fldCharType="end"/>
      </w:r>
      <w:r>
        <w:rPr>
          <w:rFonts w:hint="eastAsia" w:ascii="宋体" w:hAnsi="宋体"/>
          <w:color w:val="auto"/>
          <w:sz w:val="24"/>
          <w:highlight w:val="none"/>
        </w:rPr>
        <w:t>服从甲方及有关部门的管理和进度控制。</w:t>
      </w:r>
    </w:p>
    <w:p w14:paraId="1E6932F7">
      <w:pPr>
        <w:keepNext w:val="0"/>
        <w:keepLines w:val="0"/>
        <w:pageBreakBefore w:val="0"/>
        <w:widowControl w:val="0"/>
        <w:kinsoku/>
        <w:wordWrap/>
        <w:overflowPunct/>
        <w:topLinePunct w:val="0"/>
        <w:autoSpaceDE/>
        <w:autoSpaceDN/>
        <w:bidi w:val="0"/>
        <w:snapToGrid w:val="0"/>
        <w:spacing w:beforeAutospacing="0" w:afterAutospacing="0" w:line="440" w:lineRule="exact"/>
        <w:ind w:left="0" w:leftChars="0" w:right="0" w:rightChars="0" w:firstLine="564" w:firstLineChars="235"/>
        <w:textAlignment w:val="auto"/>
        <w:rPr>
          <w:rFonts w:eastAsiaTheme="majorEastAsia"/>
          <w:color w:val="auto"/>
          <w:sz w:val="24"/>
          <w:highlight w:val="none"/>
        </w:rPr>
      </w:pPr>
      <w:r>
        <w:rPr>
          <w:rFonts w:hint="eastAsia" w:ascii="宋体" w:hAnsi="宋体"/>
          <w:color w:val="auto"/>
          <w:sz w:val="24"/>
          <w:highlight w:val="none"/>
        </w:rPr>
        <w:t>③执行国家有关政策、法规。严格按国家规范、标准进行计算，确保数据公正、准确</w:t>
      </w:r>
      <w:r>
        <w:rPr>
          <w:rFonts w:eastAsiaTheme="majorEastAsia"/>
          <w:color w:val="auto"/>
          <w:sz w:val="24"/>
          <w:highlight w:val="none"/>
        </w:rPr>
        <w:t>。</w:t>
      </w:r>
    </w:p>
    <w:p w14:paraId="5A7B68A9">
      <w:pPr>
        <w:keepNext w:val="0"/>
        <w:keepLines w:val="0"/>
        <w:pageBreakBefore w:val="0"/>
        <w:widowControl w:val="0"/>
        <w:kinsoku/>
        <w:wordWrap/>
        <w:overflowPunct/>
        <w:topLinePunct w:val="0"/>
        <w:autoSpaceDE/>
        <w:autoSpaceDN/>
        <w:bidi w:val="0"/>
        <w:snapToGrid w:val="0"/>
        <w:spacing w:beforeAutospacing="0" w:afterAutospacing="0" w:line="440" w:lineRule="exact"/>
        <w:ind w:left="0" w:leftChars="0" w:right="0" w:rightChars="0" w:firstLine="564" w:firstLineChars="235"/>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④配合采购人参加专家审查。</w:t>
      </w:r>
    </w:p>
    <w:p w14:paraId="48EE35F6">
      <w:pPr>
        <w:keepNext w:val="0"/>
        <w:keepLines w:val="0"/>
        <w:pageBreakBefore w:val="0"/>
        <w:widowControl w:val="0"/>
        <w:kinsoku/>
        <w:wordWrap/>
        <w:overflowPunct/>
        <w:topLinePunct w:val="0"/>
        <w:autoSpaceDE/>
        <w:autoSpaceDN/>
        <w:bidi w:val="0"/>
        <w:snapToGrid w:val="0"/>
        <w:spacing w:beforeAutospacing="0" w:afterAutospacing="0" w:line="440" w:lineRule="exact"/>
        <w:ind w:left="0" w:leftChars="0" w:right="0" w:rightChars="0" w:firstLine="564" w:firstLineChars="235"/>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⑤</w:t>
      </w:r>
      <w:r>
        <w:rPr>
          <w:rFonts w:hint="eastAsia" w:ascii="宋体" w:hAnsi="宋体" w:eastAsia="宋体" w:cs="Times New Roman"/>
          <w:color w:val="auto"/>
          <w:sz w:val="24"/>
          <w:highlight w:val="none"/>
        </w:rPr>
        <w:t>中标人是项目安全的责任主体，在</w:t>
      </w:r>
      <w:r>
        <w:rPr>
          <w:rFonts w:hint="eastAsia" w:ascii="宋体" w:hAnsi="宋体" w:eastAsia="宋体" w:cs="Times New Roman"/>
          <w:color w:val="auto"/>
          <w:sz w:val="24"/>
          <w:highlight w:val="none"/>
          <w:lang w:val="en-US" w:eastAsia="zh-CN"/>
        </w:rPr>
        <w:t>检测</w:t>
      </w:r>
      <w:r>
        <w:rPr>
          <w:rFonts w:hint="eastAsia" w:ascii="宋体" w:hAnsi="宋体" w:eastAsia="宋体" w:cs="Times New Roman"/>
          <w:color w:val="auto"/>
          <w:sz w:val="24"/>
          <w:highlight w:val="none"/>
        </w:rPr>
        <w:t>过程中要严格按照相关操作规范作业，严格遵守安全操作规范要求，采取严格有力的安全防护措施，做好安全防护工作，确保实施人员的人身安全，一切安全责任均由中标人自负</w:t>
      </w:r>
      <w:r>
        <w:rPr>
          <w:rFonts w:hint="eastAsia" w:ascii="宋体" w:hAnsi="宋体" w:eastAsia="宋体" w:cs="Times New Roman"/>
          <w:color w:val="auto"/>
          <w:sz w:val="24"/>
          <w:highlight w:val="none"/>
          <w:lang w:eastAsia="zh-CN"/>
        </w:rPr>
        <w:t>。</w:t>
      </w:r>
    </w:p>
    <w:p w14:paraId="2D454DC4">
      <w:pPr>
        <w:keepNext w:val="0"/>
        <w:keepLines w:val="0"/>
        <w:pageBreakBefore w:val="0"/>
        <w:widowControl w:val="0"/>
        <w:kinsoku/>
        <w:wordWrap/>
        <w:overflowPunct/>
        <w:topLinePunct w:val="0"/>
        <w:autoSpaceDE/>
        <w:autoSpaceDN/>
        <w:bidi w:val="0"/>
        <w:snapToGrid w:val="0"/>
        <w:spacing w:beforeAutospacing="0" w:afterAutospacing="0" w:line="440" w:lineRule="exact"/>
        <w:ind w:left="0" w:leftChars="0" w:right="0" w:rightChars="0" w:firstLine="564" w:firstLineChars="235"/>
        <w:textAlignment w:val="auto"/>
        <w:rPr>
          <w:rFonts w:hint="eastAsia" w:ascii="宋体" w:hAnsi="宋体" w:cs="宋体"/>
          <w:color w:val="auto"/>
          <w:sz w:val="24"/>
          <w:highlight w:val="none"/>
        </w:rPr>
      </w:pPr>
      <w:r>
        <w:rPr>
          <w:rFonts w:hint="eastAsia" w:ascii="宋体" w:hAnsi="宋体"/>
          <w:color w:val="auto"/>
          <w:sz w:val="24"/>
          <w:highlight w:val="none"/>
          <w:lang w:val="en-US" w:eastAsia="zh-CN"/>
        </w:rPr>
        <w:t>⑥乙方必须无条件配合财政、水利、审计单位和甲方对年度工程实际成本的延伸审计或资金使用情况检查。</w:t>
      </w:r>
    </w:p>
    <w:p w14:paraId="12967CA9">
      <w:pPr>
        <w:keepNext w:val="0"/>
        <w:keepLines w:val="0"/>
        <w:pageBreakBefore w:val="0"/>
        <w:widowControl w:val="0"/>
        <w:kinsoku/>
        <w:wordWrap/>
        <w:overflowPunct/>
        <w:topLinePunct w:val="0"/>
        <w:autoSpaceDE/>
        <w:autoSpaceDN/>
        <w:bidi w:val="0"/>
        <w:spacing w:beforeAutospacing="0" w:afterAutospacing="0" w:line="440" w:lineRule="exact"/>
        <w:ind w:left="0" w:leftChars="0" w:right="0" w:rightChars="0"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、乙方项目负责人：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1D3CBCF1">
      <w:pPr>
        <w:keepNext w:val="0"/>
        <w:keepLines w:val="0"/>
        <w:pageBreakBefore w:val="0"/>
        <w:widowControl w:val="0"/>
        <w:kinsoku/>
        <w:wordWrap/>
        <w:overflowPunct/>
        <w:topLinePunct w:val="0"/>
        <w:autoSpaceDE/>
        <w:autoSpaceDN/>
        <w:bidi w:val="0"/>
        <w:adjustRightInd w:val="0"/>
        <w:spacing w:beforeAutospacing="0" w:afterAutospacing="0" w:line="440" w:lineRule="exact"/>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 xml:space="preserve">条  </w:t>
      </w:r>
      <w:r>
        <w:rPr>
          <w:rFonts w:hint="eastAsia" w:ascii="宋体" w:hAnsi="宋体" w:cs="宋体"/>
          <w:color w:val="auto"/>
          <w:sz w:val="24"/>
          <w:highlight w:val="none"/>
          <w:lang w:val="en-US" w:eastAsia="zh-CN"/>
        </w:rPr>
        <w:t>检测</w:t>
      </w:r>
      <w:r>
        <w:rPr>
          <w:rFonts w:hint="eastAsia" w:ascii="宋体" w:hAnsi="宋体" w:cs="宋体"/>
          <w:color w:val="auto"/>
          <w:sz w:val="24"/>
          <w:highlight w:val="none"/>
        </w:rPr>
        <w:t>完成工期：合同签订后</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天内提交工程检测试验报告、水下检查报告、结构验算报告以及</w:t>
      </w:r>
      <w:r>
        <w:rPr>
          <w:rFonts w:hint="eastAsia" w:ascii="宋体" w:hAnsi="宋体" w:cs="宋体"/>
          <w:color w:val="auto"/>
          <w:sz w:val="24"/>
          <w:highlight w:val="none"/>
          <w:lang w:eastAsia="zh-CN"/>
        </w:rPr>
        <w:t>综合评估报告</w:t>
      </w:r>
    </w:p>
    <w:p w14:paraId="546AEF7C">
      <w:pPr>
        <w:keepNext w:val="0"/>
        <w:keepLines w:val="0"/>
        <w:pageBreakBefore w:val="0"/>
        <w:bidi w:val="0"/>
        <w:spacing w:beforeAutospacing="0" w:afterAutospacing="0" w:line="440" w:lineRule="exact"/>
        <w:ind w:left="0" w:leftChars="0" w:right="0" w:rightChars="0" w:firstLine="480" w:firstLineChars="200"/>
        <w:jc w:val="left"/>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条  合同价款支付</w:t>
      </w:r>
    </w:p>
    <w:p w14:paraId="6D196A3C">
      <w:pPr>
        <w:keepNext w:val="0"/>
        <w:keepLines w:val="0"/>
        <w:pageBreakBefore w:val="0"/>
        <w:bidi w:val="0"/>
        <w:spacing w:beforeAutospacing="0" w:afterAutospacing="0" w:line="440" w:lineRule="exact"/>
        <w:ind w:left="0" w:leftChars="0" w:right="0" w:rightChars="0" w:firstLine="480" w:firstLineChars="20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合同签订后</w:t>
      </w:r>
      <w:r>
        <w:rPr>
          <w:rFonts w:hint="eastAsia" w:ascii="宋体" w:hAnsi="宋体" w:cs="宋体"/>
          <w:b w:val="0"/>
          <w:bCs w:val="0"/>
          <w:color w:val="auto"/>
          <w:kern w:val="0"/>
          <w:sz w:val="24"/>
          <w:szCs w:val="24"/>
          <w:highlight w:val="none"/>
          <w:lang w:val="en-US" w:eastAsia="zh-CN" w:bidi="ar"/>
        </w:rPr>
        <w:t>90</w:t>
      </w:r>
      <w:r>
        <w:rPr>
          <w:rFonts w:hint="eastAsia" w:ascii="宋体" w:hAnsi="宋体" w:eastAsia="宋体" w:cs="宋体"/>
          <w:b w:val="0"/>
          <w:bCs w:val="0"/>
          <w:color w:val="auto"/>
          <w:kern w:val="0"/>
          <w:sz w:val="24"/>
          <w:szCs w:val="24"/>
          <w:highlight w:val="none"/>
          <w:lang w:val="en-US" w:eastAsia="zh-CN" w:bidi="ar"/>
        </w:rPr>
        <w:t>天内提交工程检测试验报告、水下检查报告、结构验算报告以及</w:t>
      </w:r>
      <w:r>
        <w:rPr>
          <w:rFonts w:hint="eastAsia" w:ascii="宋体" w:hAnsi="宋体" w:cs="宋体"/>
          <w:b w:val="0"/>
          <w:bCs w:val="0"/>
          <w:color w:val="auto"/>
          <w:kern w:val="0"/>
          <w:sz w:val="24"/>
          <w:szCs w:val="24"/>
          <w:highlight w:val="none"/>
          <w:lang w:val="en-US" w:eastAsia="zh-CN" w:bidi="ar"/>
        </w:rPr>
        <w:t>综合评估报告</w:t>
      </w:r>
      <w:r>
        <w:rPr>
          <w:rFonts w:hint="eastAsia" w:ascii="宋体" w:hAnsi="宋体" w:eastAsia="宋体" w:cs="宋体"/>
          <w:b w:val="0"/>
          <w:bCs w:val="0"/>
          <w:color w:val="auto"/>
          <w:kern w:val="0"/>
          <w:sz w:val="24"/>
          <w:szCs w:val="24"/>
          <w:highlight w:val="none"/>
          <w:lang w:val="en-US" w:eastAsia="zh-CN" w:bidi="ar"/>
        </w:rPr>
        <w:t>，经专家</w:t>
      </w:r>
      <w:r>
        <w:rPr>
          <w:rFonts w:hint="eastAsia" w:ascii="宋体" w:hAnsi="宋体" w:cs="宋体"/>
          <w:b w:val="0"/>
          <w:bCs w:val="0"/>
          <w:color w:val="auto"/>
          <w:kern w:val="0"/>
          <w:sz w:val="24"/>
          <w:szCs w:val="24"/>
          <w:highlight w:val="none"/>
          <w:lang w:val="en-US" w:eastAsia="zh-CN" w:bidi="ar"/>
        </w:rPr>
        <w:t>审查</w:t>
      </w:r>
      <w:r>
        <w:rPr>
          <w:rFonts w:hint="eastAsia" w:ascii="宋体" w:hAnsi="宋体" w:eastAsia="宋体" w:cs="宋体"/>
          <w:b w:val="0"/>
          <w:bCs w:val="0"/>
          <w:color w:val="auto"/>
          <w:kern w:val="0"/>
          <w:sz w:val="24"/>
          <w:szCs w:val="24"/>
          <w:highlight w:val="none"/>
          <w:lang w:val="en-US" w:eastAsia="zh-CN" w:bidi="ar"/>
        </w:rPr>
        <w:t>，并修改完善提交最终稿后，一次性付清全部费用。</w:t>
      </w:r>
    </w:p>
    <w:p w14:paraId="13FB0E0D">
      <w:pPr>
        <w:keepNext w:val="0"/>
        <w:keepLines w:val="0"/>
        <w:pageBreakBefore w:val="0"/>
        <w:bidi w:val="0"/>
        <w:spacing w:beforeAutospacing="0" w:afterAutospacing="0" w:line="440" w:lineRule="exact"/>
        <w:ind w:left="0" w:leftChars="0" w:right="0" w:rightChars="0" w:firstLine="480" w:firstLineChars="200"/>
        <w:jc w:val="left"/>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九</w:t>
      </w:r>
      <w:r>
        <w:rPr>
          <w:rFonts w:hint="eastAsia" w:ascii="宋体" w:hAnsi="宋体" w:cs="宋体"/>
          <w:b/>
          <w:color w:val="auto"/>
          <w:sz w:val="24"/>
          <w:highlight w:val="none"/>
        </w:rPr>
        <w:t>条  甲方违约责任</w:t>
      </w:r>
    </w:p>
    <w:p w14:paraId="0BA64373">
      <w:pPr>
        <w:keepNext w:val="0"/>
        <w:keepLines w:val="0"/>
        <w:pageBreakBefore w:val="0"/>
        <w:bidi w:val="0"/>
        <w:spacing w:beforeAutospacing="0" w:afterAutospacing="0" w:line="44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1、合同签订后，甲方应履约实施本项目。</w:t>
      </w:r>
    </w:p>
    <w:p w14:paraId="5ACFF63A">
      <w:pPr>
        <w:keepNext w:val="0"/>
        <w:keepLines w:val="0"/>
        <w:pageBreakBefore w:val="0"/>
        <w:bidi w:val="0"/>
        <w:spacing w:beforeAutospacing="0" w:afterAutospacing="0" w:line="44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2、对于乙方提供的图纸等资料以及属于乙方的</w:t>
      </w:r>
      <w:r>
        <w:rPr>
          <w:rFonts w:hint="eastAsia" w:ascii="宋体" w:hAnsi="宋体" w:cs="宋体"/>
          <w:color w:val="auto"/>
          <w:sz w:val="24"/>
          <w:highlight w:val="none"/>
          <w:lang w:val="en-US" w:eastAsia="zh-CN"/>
        </w:rPr>
        <w:t>检测</w:t>
      </w:r>
      <w:r>
        <w:rPr>
          <w:rFonts w:hint="eastAsia" w:ascii="宋体" w:hAnsi="宋体" w:cs="宋体"/>
          <w:color w:val="auto"/>
          <w:sz w:val="24"/>
          <w:highlight w:val="none"/>
        </w:rPr>
        <w:t>成果，甲方有义务保密，不得向第三方提供或用于本合同以外的项目，否则乙方有权对因此造成的损失追究责任。</w:t>
      </w:r>
    </w:p>
    <w:p w14:paraId="4E35B21F">
      <w:pPr>
        <w:keepNext w:val="0"/>
        <w:keepLines w:val="0"/>
        <w:pageBreakBefore w:val="0"/>
        <w:bidi w:val="0"/>
        <w:spacing w:beforeAutospacing="0" w:afterAutospacing="0" w:line="440" w:lineRule="exact"/>
        <w:ind w:left="0" w:leftChars="0" w:right="0" w:rightChars="0" w:firstLine="480" w:firstLineChars="200"/>
        <w:jc w:val="left"/>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rPr>
        <w:t>条  乙方违约责任</w:t>
      </w:r>
    </w:p>
    <w:p w14:paraId="31B0DF1A">
      <w:pPr>
        <w:keepNext w:val="0"/>
        <w:keepLines w:val="0"/>
        <w:pageBreakBefore w:val="0"/>
        <w:bidi w:val="0"/>
        <w:spacing w:beforeAutospacing="0" w:afterAutospacing="0" w:line="44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1、合同生效后，如乙方擅自中途停止或解除合同，甲方有权向乙方索赔。</w:t>
      </w:r>
    </w:p>
    <w:p w14:paraId="493C7E76">
      <w:pPr>
        <w:keepNext w:val="0"/>
        <w:keepLines w:val="0"/>
        <w:pageBreakBefore w:val="0"/>
        <w:bidi w:val="0"/>
        <w:spacing w:beforeAutospacing="0" w:afterAutospacing="0" w:line="440" w:lineRule="exact"/>
        <w:ind w:left="0" w:leftChars="0" w:right="0" w:rightChars="0"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、乙方未能按合同规定的日期成果时，应向甲方偿付拖期损失费，每天的拖期损失费按本合同约定的工程总价款的1%计算。</w:t>
      </w:r>
    </w:p>
    <w:p w14:paraId="4316C557">
      <w:pPr>
        <w:keepNext w:val="0"/>
        <w:keepLines w:val="0"/>
        <w:pageBreakBefore w:val="0"/>
        <w:bidi w:val="0"/>
        <w:spacing w:beforeAutospacing="0" w:afterAutospacing="0" w:line="440" w:lineRule="exact"/>
        <w:ind w:left="0" w:leftChars="0" w:right="0" w:rightChars="0" w:firstLine="480" w:firstLineChars="200"/>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、乙方提供的</w:t>
      </w:r>
      <w:r>
        <w:rPr>
          <w:rFonts w:hint="eastAsia" w:ascii="宋体" w:hAnsi="宋体" w:cs="宋体"/>
          <w:color w:val="auto"/>
          <w:sz w:val="24"/>
          <w:highlight w:val="none"/>
          <w:lang w:val="en-US" w:eastAsia="zh-CN"/>
        </w:rPr>
        <w:t>检测</w:t>
      </w:r>
      <w:r>
        <w:rPr>
          <w:rFonts w:hint="eastAsia" w:ascii="宋体" w:hAnsi="宋体" w:cs="宋体"/>
          <w:color w:val="auto"/>
          <w:sz w:val="24"/>
          <w:highlight w:val="none"/>
        </w:rPr>
        <w:t>成果质量不合格，乙方应负责无偿给予重测或采取补救措施，以达到质量要求。因</w:t>
      </w:r>
      <w:r>
        <w:rPr>
          <w:rFonts w:hint="eastAsia" w:ascii="宋体" w:hAnsi="宋体" w:cs="宋体"/>
          <w:color w:val="auto"/>
          <w:sz w:val="24"/>
          <w:highlight w:val="none"/>
          <w:lang w:val="en-US" w:eastAsia="zh-CN"/>
        </w:rPr>
        <w:t>检测</w:t>
      </w:r>
      <w:r>
        <w:rPr>
          <w:rFonts w:hint="eastAsia" w:ascii="宋体" w:hAnsi="宋体" w:cs="宋体"/>
          <w:color w:val="auto"/>
          <w:sz w:val="24"/>
          <w:highlight w:val="none"/>
        </w:rPr>
        <w:t>成果质量不符合合同约定的要求（而又非甲方提供的图纸资料原因所致）造成后果时，乙方应对因此造成的直接损失负赔偿责任，并承担相应的法律责任（由于甲方提供的图纸资料原因产生的责任由甲方自己负责）。</w:t>
      </w:r>
    </w:p>
    <w:p w14:paraId="3DC8268C">
      <w:pPr>
        <w:keepNext w:val="0"/>
        <w:keepLines w:val="0"/>
        <w:pageBreakBefore w:val="0"/>
        <w:bidi w:val="0"/>
        <w:spacing w:beforeAutospacing="0" w:afterAutospacing="0" w:line="44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4、对于甲方提供的图纸和技术资料以及属于甲方的</w:t>
      </w:r>
      <w:r>
        <w:rPr>
          <w:rFonts w:hint="eastAsia" w:ascii="宋体" w:hAnsi="宋体" w:cs="宋体"/>
          <w:color w:val="auto"/>
          <w:sz w:val="24"/>
          <w:highlight w:val="none"/>
          <w:lang w:eastAsia="zh-CN"/>
        </w:rPr>
        <w:t>检测成果</w:t>
      </w:r>
      <w:r>
        <w:rPr>
          <w:rFonts w:hint="eastAsia" w:ascii="宋体" w:hAnsi="宋体" w:cs="宋体"/>
          <w:color w:val="auto"/>
          <w:sz w:val="24"/>
          <w:highlight w:val="none"/>
        </w:rPr>
        <w:t>，乙方有义务保密，不得向第三方转让，否则，甲方有权对因此造成的损失追究责任。</w:t>
      </w:r>
    </w:p>
    <w:p w14:paraId="4E6CFD33">
      <w:pPr>
        <w:keepNext w:val="0"/>
        <w:keepLines w:val="0"/>
        <w:pageBreakBefore w:val="0"/>
        <w:tabs>
          <w:tab w:val="left" w:pos="709"/>
        </w:tabs>
        <w:bidi w:val="0"/>
        <w:spacing w:beforeAutospacing="0" w:afterAutospacing="0" w:line="440" w:lineRule="exact"/>
        <w:ind w:left="0" w:leftChars="0" w:right="0" w:rightChars="0" w:firstLine="480" w:firstLineChars="200"/>
        <w:jc w:val="left"/>
        <w:rPr>
          <w:rFonts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一</w:t>
      </w:r>
      <w:r>
        <w:rPr>
          <w:rFonts w:hint="eastAsia" w:ascii="宋体" w:hAnsi="宋体" w:cs="宋体"/>
          <w:b/>
          <w:color w:val="auto"/>
          <w:sz w:val="24"/>
          <w:highlight w:val="none"/>
        </w:rPr>
        <w:t xml:space="preserve">条  </w:t>
      </w:r>
      <w:r>
        <w:rPr>
          <w:rFonts w:hint="eastAsia" w:ascii="宋体" w:hAnsi="宋体" w:cs="宋体"/>
          <w:color w:val="auto"/>
          <w:sz w:val="24"/>
          <w:highlight w:val="none"/>
        </w:rPr>
        <w:t>由于不可抗力，致使合同无法履行时，双方应按有关法律规定及时协商处理。</w:t>
      </w:r>
    </w:p>
    <w:p w14:paraId="5D655AC4">
      <w:pPr>
        <w:keepNext w:val="0"/>
        <w:keepLines w:val="0"/>
        <w:pageBreakBefore w:val="0"/>
        <w:tabs>
          <w:tab w:val="left" w:pos="709"/>
        </w:tabs>
        <w:bidi w:val="0"/>
        <w:spacing w:beforeAutospacing="0" w:afterAutospacing="0" w:line="44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rPr>
        <w:t xml:space="preserve">条 </w:t>
      </w:r>
      <w:r>
        <w:rPr>
          <w:rFonts w:ascii="宋体" w:hAnsi="宋体" w:cs="宋体"/>
          <w:b/>
          <w:color w:val="auto"/>
          <w:sz w:val="24"/>
          <w:highlight w:val="none"/>
        </w:rPr>
        <w:t xml:space="preserve"> </w:t>
      </w:r>
      <w:r>
        <w:rPr>
          <w:rFonts w:hint="eastAsia" w:ascii="宋体" w:hAnsi="宋体" w:cs="宋体"/>
          <w:color w:val="auto"/>
          <w:sz w:val="24"/>
          <w:highlight w:val="none"/>
        </w:rPr>
        <w:t>本合同执行过程中的未尽事宜，双方应本着实事求是友好协商的态度加以解决。双方协商一致的，签订补充协议。补充协议和本合同具有同等效力。</w:t>
      </w:r>
    </w:p>
    <w:p w14:paraId="7E78F69B">
      <w:pPr>
        <w:keepNext w:val="0"/>
        <w:keepLines w:val="0"/>
        <w:pageBreakBefore w:val="0"/>
        <w:tabs>
          <w:tab w:val="left" w:pos="709"/>
        </w:tabs>
        <w:bidi w:val="0"/>
        <w:spacing w:beforeAutospacing="0" w:afterAutospacing="0" w:line="440" w:lineRule="exact"/>
        <w:ind w:left="0" w:leftChars="0" w:right="0" w:rightChars="0" w:firstLine="480" w:firstLineChars="200"/>
        <w:jc w:val="left"/>
        <w:rPr>
          <w:rFonts w:hint="eastAsia"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 xml:space="preserve">条 </w:t>
      </w:r>
      <w:r>
        <w:rPr>
          <w:rFonts w:ascii="宋体" w:hAnsi="宋体" w:cs="宋体"/>
          <w:b/>
          <w:color w:val="auto"/>
          <w:sz w:val="24"/>
          <w:highlight w:val="none"/>
        </w:rPr>
        <w:t xml:space="preserve"> </w:t>
      </w:r>
      <w:r>
        <w:rPr>
          <w:rFonts w:hint="eastAsia" w:ascii="宋体" w:hAnsi="宋体" w:cs="宋体"/>
          <w:color w:val="auto"/>
          <w:sz w:val="24"/>
          <w:highlight w:val="none"/>
        </w:rPr>
        <w:t>因合同执行过程中双方发生纠纷，可由双方协商解决或由双方主管部门调解，若达不成协议，双方同意就本合同产生的纠纷向仲裁委员会申请仲裁（当事人双方不在合同约定仲裁机构的，事后又没有达成书面仲裁协议的，可向有管辖权的人民法院起诉）。</w:t>
      </w:r>
    </w:p>
    <w:p w14:paraId="589B3DCE">
      <w:pPr>
        <w:keepNext w:val="0"/>
        <w:keepLines w:val="0"/>
        <w:pageBreakBefore w:val="0"/>
        <w:tabs>
          <w:tab w:val="left" w:pos="709"/>
        </w:tabs>
        <w:bidi w:val="0"/>
        <w:spacing w:beforeAutospacing="0" w:afterAutospacing="0" w:line="440" w:lineRule="exact"/>
        <w:ind w:left="0" w:leftChars="0" w:right="0" w:rightChars="0" w:firstLine="480" w:firstLineChars="200"/>
        <w:jc w:val="left"/>
        <w:rPr>
          <w:rFonts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 xml:space="preserve">条 </w:t>
      </w:r>
      <w:r>
        <w:rPr>
          <w:rFonts w:ascii="宋体" w:hAnsi="宋体" w:cs="宋体"/>
          <w:b/>
          <w:color w:val="auto"/>
          <w:sz w:val="24"/>
          <w:highlight w:val="none"/>
        </w:rPr>
        <w:t xml:space="preserve"> </w:t>
      </w:r>
      <w:r>
        <w:rPr>
          <w:rFonts w:hint="eastAsia" w:ascii="宋体" w:hAnsi="宋体" w:cs="宋体"/>
          <w:b/>
          <w:color w:val="auto"/>
          <w:sz w:val="24"/>
          <w:highlight w:val="none"/>
        </w:rPr>
        <w:t>附则</w:t>
      </w:r>
    </w:p>
    <w:p w14:paraId="2B1374DD">
      <w:pPr>
        <w:keepNext w:val="0"/>
        <w:keepLines w:val="0"/>
        <w:pageBreakBefore w:val="0"/>
        <w:tabs>
          <w:tab w:val="left" w:pos="709"/>
        </w:tabs>
        <w:bidi w:val="0"/>
        <w:spacing w:beforeAutospacing="0" w:afterAutospacing="0" w:line="44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1、本合同由双方代表签字，加盖双方公章或合同专用章即生效。全部成果交接完毕和</w:t>
      </w:r>
      <w:r>
        <w:rPr>
          <w:rFonts w:hint="eastAsia" w:ascii="宋体" w:hAnsi="宋体" w:cs="宋体"/>
          <w:color w:val="auto"/>
          <w:sz w:val="24"/>
          <w:highlight w:val="none"/>
          <w:lang w:val="en-US" w:eastAsia="zh-CN"/>
        </w:rPr>
        <w:t>检测</w:t>
      </w:r>
      <w:r>
        <w:rPr>
          <w:rFonts w:hint="eastAsia" w:ascii="宋体" w:hAnsi="宋体" w:cs="宋体"/>
          <w:color w:val="auto"/>
          <w:sz w:val="24"/>
          <w:highlight w:val="none"/>
        </w:rPr>
        <w:t>工作费结算完成后，本合同终止。</w:t>
      </w:r>
    </w:p>
    <w:p w14:paraId="1E88EF28">
      <w:pPr>
        <w:keepNext w:val="0"/>
        <w:keepLines w:val="0"/>
        <w:pageBreakBefore w:val="0"/>
        <w:tabs>
          <w:tab w:val="left" w:pos="709"/>
        </w:tabs>
        <w:bidi w:val="0"/>
        <w:spacing w:beforeAutospacing="0" w:afterAutospacing="0" w:line="44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2、本合同一式  肆  份，甲乙双方各执  贰  份。</w:t>
      </w:r>
    </w:p>
    <w:p w14:paraId="5AA1C7B7">
      <w:pPr>
        <w:keepNext w:val="0"/>
        <w:keepLines w:val="0"/>
        <w:pageBreakBefore w:val="0"/>
        <w:tabs>
          <w:tab w:val="left" w:pos="709"/>
        </w:tabs>
        <w:bidi w:val="0"/>
        <w:spacing w:beforeAutospacing="0" w:afterAutospacing="0" w:line="44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3、合同签订地点：</w:t>
      </w:r>
    </w:p>
    <w:p w14:paraId="466896E6">
      <w:pPr>
        <w:keepNext w:val="0"/>
        <w:keepLines w:val="0"/>
        <w:pageBreakBefore w:val="0"/>
        <w:tabs>
          <w:tab w:val="left" w:pos="709"/>
        </w:tabs>
        <w:bidi w:val="0"/>
        <w:spacing w:beforeAutospacing="0" w:afterAutospacing="0" w:line="440" w:lineRule="exact"/>
        <w:ind w:left="0" w:leftChars="0" w:right="0" w:rightChars="0" w:firstLine="480" w:firstLineChars="200"/>
        <w:jc w:val="left"/>
        <w:rPr>
          <w:rFonts w:ascii="宋体" w:hAnsi="宋体" w:cs="宋体"/>
          <w:color w:val="auto"/>
          <w:sz w:val="24"/>
          <w:highlight w:val="none"/>
        </w:rPr>
      </w:pPr>
    </w:p>
    <w:p w14:paraId="1A58FD9D">
      <w:pPr>
        <w:keepNext w:val="0"/>
        <w:keepLines w:val="0"/>
        <w:pageBreakBefore w:val="0"/>
        <w:tabs>
          <w:tab w:val="left" w:pos="709"/>
        </w:tabs>
        <w:bidi w:val="0"/>
        <w:spacing w:beforeAutospacing="0" w:afterAutospacing="0" w:line="440" w:lineRule="exact"/>
        <w:ind w:left="0" w:leftChars="0" w:right="0" w:rightChars="0" w:firstLine="480" w:firstLineChars="200"/>
        <w:jc w:val="left"/>
        <w:rPr>
          <w:rFonts w:hint="eastAsia" w:ascii="宋体" w:hAnsi="宋体" w:cs="宋体"/>
          <w:color w:val="auto"/>
          <w:sz w:val="24"/>
          <w:highlight w:val="none"/>
        </w:rPr>
      </w:pPr>
    </w:p>
    <w:p w14:paraId="7A7FD280">
      <w:pPr>
        <w:keepNext w:val="0"/>
        <w:keepLines w:val="0"/>
        <w:pageBreakBefore w:val="0"/>
        <w:tabs>
          <w:tab w:val="left" w:pos="709"/>
        </w:tabs>
        <w:bidi w:val="0"/>
        <w:spacing w:beforeAutospacing="0" w:afterAutospacing="0" w:line="440" w:lineRule="exact"/>
        <w:ind w:left="0" w:leftChars="0" w:right="0" w:rightChars="0" w:firstLine="458" w:firstLineChars="191"/>
        <w:jc w:val="left"/>
        <w:rPr>
          <w:rFonts w:ascii="宋体" w:hAnsi="宋体" w:cs="宋体"/>
          <w:color w:val="auto"/>
          <w:sz w:val="24"/>
          <w:highlight w:val="none"/>
        </w:rPr>
      </w:pPr>
      <w:r>
        <w:rPr>
          <w:rFonts w:hint="eastAsia" w:ascii="宋体" w:hAnsi="宋体" w:cs="宋体"/>
          <w:color w:val="auto"/>
          <w:sz w:val="24"/>
          <w:highlight w:val="none"/>
        </w:rPr>
        <w:t>甲方单位名称（盖章）                乙方单位名称（盖章）</w:t>
      </w:r>
    </w:p>
    <w:p w14:paraId="0DBA06C2">
      <w:pPr>
        <w:keepNext w:val="0"/>
        <w:keepLines w:val="0"/>
        <w:pageBreakBefore w:val="0"/>
        <w:tabs>
          <w:tab w:val="left" w:pos="709"/>
        </w:tabs>
        <w:bidi w:val="0"/>
        <w:spacing w:beforeAutospacing="0" w:afterAutospacing="0" w:line="440" w:lineRule="exact"/>
        <w:ind w:left="0" w:leftChars="0" w:right="0" w:rightChars="0" w:firstLine="458" w:firstLineChars="191"/>
        <w:jc w:val="left"/>
        <w:rPr>
          <w:rFonts w:ascii="宋体" w:hAnsi="宋体" w:cs="宋体"/>
          <w:color w:val="auto"/>
          <w:sz w:val="24"/>
          <w:highlight w:val="none"/>
        </w:rPr>
      </w:pPr>
      <w:r>
        <w:rPr>
          <w:rFonts w:hint="eastAsia" w:ascii="宋体" w:hAnsi="宋体" w:cs="宋体"/>
          <w:color w:val="auto"/>
          <w:sz w:val="24"/>
          <w:highlight w:val="none"/>
        </w:rPr>
        <w:t>法定代表人（或委托代理人）          法定代表人（或委托代理人）</w:t>
      </w:r>
    </w:p>
    <w:p w14:paraId="09D4D828">
      <w:pPr>
        <w:keepNext w:val="0"/>
        <w:keepLines w:val="0"/>
        <w:pageBreakBefore w:val="0"/>
        <w:tabs>
          <w:tab w:val="left" w:pos="709"/>
        </w:tabs>
        <w:bidi w:val="0"/>
        <w:spacing w:beforeAutospacing="0" w:afterAutospacing="0" w:line="440" w:lineRule="exact"/>
        <w:ind w:left="0" w:leftChars="0" w:right="0" w:rightChars="0" w:firstLine="1176" w:firstLineChars="490"/>
        <w:jc w:val="left"/>
        <w:rPr>
          <w:rFonts w:ascii="宋体" w:hAnsi="宋体" w:cs="宋体"/>
          <w:color w:val="auto"/>
          <w:sz w:val="24"/>
          <w:highlight w:val="none"/>
        </w:rPr>
      </w:pPr>
      <w:r>
        <w:rPr>
          <w:rFonts w:hint="eastAsia" w:ascii="宋体" w:hAnsi="宋体" w:cs="宋体"/>
          <w:color w:val="auto"/>
          <w:sz w:val="24"/>
          <w:highlight w:val="none"/>
        </w:rPr>
        <w:t xml:space="preserve">签字：                              签字：    </w:t>
      </w:r>
      <w:r>
        <w:rPr>
          <w:rFonts w:ascii="宋体" w:hAnsi="宋体" w:cs="宋体"/>
          <w:color w:val="auto"/>
          <w:sz w:val="24"/>
          <w:highlight w:val="none"/>
        </w:rPr>
        <w:t xml:space="preserve">    </w:t>
      </w:r>
    </w:p>
    <w:p w14:paraId="440520E6">
      <w:pPr>
        <w:keepNext w:val="0"/>
        <w:keepLines w:val="0"/>
        <w:pageBreakBefore w:val="0"/>
        <w:tabs>
          <w:tab w:val="left" w:pos="709"/>
        </w:tabs>
        <w:bidi w:val="0"/>
        <w:spacing w:beforeAutospacing="0" w:afterAutospacing="0" w:line="440" w:lineRule="exact"/>
        <w:ind w:left="0" w:leftChars="0" w:right="0" w:rightChars="0" w:firstLine="1176" w:firstLineChars="490"/>
        <w:jc w:val="left"/>
        <w:rPr>
          <w:rFonts w:ascii="宋体" w:hAnsi="宋体" w:cs="宋体"/>
          <w:color w:val="auto"/>
          <w:sz w:val="24"/>
          <w:highlight w:val="none"/>
        </w:rPr>
      </w:pPr>
    </w:p>
    <w:p w14:paraId="786EF630">
      <w:pPr>
        <w:keepNext w:val="0"/>
        <w:keepLines w:val="0"/>
        <w:pageBreakBefore w:val="0"/>
        <w:tabs>
          <w:tab w:val="left" w:pos="709"/>
        </w:tabs>
        <w:bidi w:val="0"/>
        <w:spacing w:beforeAutospacing="0" w:afterAutospacing="0" w:line="440" w:lineRule="exact"/>
        <w:ind w:left="0" w:leftChars="0" w:right="0" w:rightChars="0" w:firstLine="1176" w:firstLineChars="490"/>
        <w:jc w:val="left"/>
        <w:rPr>
          <w:rFonts w:ascii="宋体" w:hAnsi="宋体" w:cs="宋体"/>
          <w:color w:val="auto"/>
          <w:sz w:val="24"/>
          <w:highlight w:val="none"/>
        </w:rPr>
      </w:pPr>
    </w:p>
    <w:p w14:paraId="629E4F17">
      <w:pPr>
        <w:keepNext w:val="0"/>
        <w:keepLines w:val="0"/>
        <w:pageBreakBefore w:val="0"/>
        <w:bidi w:val="0"/>
        <w:spacing w:beforeAutospacing="0" w:afterAutospacing="0" w:line="440" w:lineRule="exact"/>
        <w:ind w:left="0" w:leftChars="0" w:right="0" w:rightChars="0"/>
        <w:jc w:val="right"/>
        <w:rPr>
          <w:rFonts w:hint="eastAsia" w:ascii="宋体" w:hAnsi="宋体" w:cs="宋体"/>
          <w:color w:val="auto"/>
          <w:sz w:val="24"/>
          <w:highlight w:val="none"/>
        </w:rPr>
      </w:pPr>
      <w:r>
        <w:rPr>
          <w:rFonts w:hint="eastAsia" w:ascii="宋体" w:hAnsi="宋体" w:cs="宋体"/>
          <w:color w:val="auto"/>
          <w:sz w:val="24"/>
          <w:highlight w:val="none"/>
        </w:rPr>
        <w:t xml:space="preserve">                 合同订立时间：     年 </w:t>
      </w:r>
      <w:r>
        <w:rPr>
          <w:rFonts w:ascii="宋体" w:hAnsi="宋体" w:cs="宋体"/>
          <w:color w:val="auto"/>
          <w:sz w:val="24"/>
          <w:highlight w:val="none"/>
        </w:rPr>
        <w:t xml:space="preserve">   </w:t>
      </w:r>
      <w:r>
        <w:rPr>
          <w:rFonts w:hint="eastAsia" w:ascii="宋体" w:hAnsi="宋体" w:cs="宋体"/>
          <w:color w:val="auto"/>
          <w:sz w:val="24"/>
          <w:highlight w:val="none"/>
        </w:rPr>
        <w:t xml:space="preserve"> 月  </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07302FAD">
      <w:pPr>
        <w:keepNext w:val="0"/>
        <w:keepLines w:val="0"/>
        <w:pageBreakBefore w:val="0"/>
        <w:bidi w:val="0"/>
        <w:spacing w:beforeAutospacing="0" w:afterAutospacing="0" w:line="440" w:lineRule="exact"/>
        <w:ind w:left="0" w:leftChars="0" w:right="0" w:rightChars="0"/>
        <w:rPr>
          <w:rStyle w:val="124"/>
          <w:rFonts w:hint="default"/>
          <w:color w:val="auto"/>
          <w:sz w:val="28"/>
          <w:szCs w:val="28"/>
          <w:highlight w:val="none"/>
        </w:rPr>
      </w:pPr>
      <w:r>
        <w:rPr>
          <w:rStyle w:val="124"/>
          <w:rFonts w:hint="default"/>
          <w:color w:val="auto"/>
          <w:sz w:val="28"/>
          <w:szCs w:val="28"/>
          <w:highlight w:val="none"/>
        </w:rPr>
        <w:br w:type="page"/>
      </w:r>
    </w:p>
    <w:p w14:paraId="3F0C7C60">
      <w:pPr>
        <w:pStyle w:val="63"/>
        <w:keepNext w:val="0"/>
        <w:keepLines w:val="0"/>
        <w:pageBreakBefore w:val="0"/>
        <w:bidi w:val="0"/>
        <w:spacing w:beforeAutospacing="0" w:after="0" w:afterLines="0" w:afterAutospacing="0" w:line="440" w:lineRule="exact"/>
        <w:ind w:left="0" w:leftChars="0" w:right="0" w:rightChars="0"/>
        <w:rPr>
          <w:rStyle w:val="124"/>
          <w:rFonts w:hint="default"/>
          <w:color w:val="auto"/>
          <w:sz w:val="28"/>
          <w:szCs w:val="28"/>
          <w:highlight w:val="none"/>
        </w:rPr>
      </w:pPr>
      <w:r>
        <w:rPr>
          <w:rStyle w:val="124"/>
          <w:rFonts w:hint="default"/>
          <w:color w:val="auto"/>
          <w:sz w:val="28"/>
          <w:szCs w:val="28"/>
          <w:highlight w:val="none"/>
        </w:rPr>
        <w:t>第六章  合同授予</w:t>
      </w:r>
    </w:p>
    <w:p w14:paraId="4F6949DB">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b/>
          <w:color w:val="auto"/>
          <w:sz w:val="24"/>
          <w:highlight w:val="none"/>
        </w:rPr>
        <w:t>一</w:t>
      </w:r>
      <w:r>
        <w:rPr>
          <w:rFonts w:ascii="宋体" w:hAnsi="宋体"/>
          <w:color w:val="auto"/>
          <w:sz w:val="24"/>
          <w:highlight w:val="none"/>
        </w:rPr>
        <w:t>、中标供应商和采购人在发出《中标通知书》后</w:t>
      </w:r>
      <w:r>
        <w:rPr>
          <w:rFonts w:hint="eastAsia" w:ascii="宋体" w:hAnsi="宋体"/>
          <w:color w:val="auto"/>
          <w:sz w:val="24"/>
          <w:highlight w:val="none"/>
          <w:lang w:val="en-US" w:eastAsia="zh-CN"/>
        </w:rPr>
        <w:t>30</w:t>
      </w:r>
      <w:r>
        <w:rPr>
          <w:rFonts w:ascii="宋体" w:hAnsi="宋体"/>
          <w:color w:val="auto"/>
          <w:sz w:val="24"/>
          <w:highlight w:val="none"/>
        </w:rPr>
        <w:t>日内签订合同。合同签订后中标供应商方可履约，否则引起的一切后果由中标供应商自行承担。</w:t>
      </w:r>
      <w:r>
        <w:rPr>
          <w:rFonts w:ascii="宋体" w:hAnsi="宋体"/>
          <w:color w:val="auto"/>
          <w:sz w:val="24"/>
          <w:highlight w:val="none"/>
          <w:lang w:val="zh-CN"/>
        </w:rPr>
        <w:t>所签合同不得对采购文件作实质性修改</w:t>
      </w:r>
      <w:r>
        <w:rPr>
          <w:rFonts w:ascii="宋体" w:hAnsi="宋体"/>
          <w:color w:val="auto"/>
          <w:sz w:val="24"/>
          <w:highlight w:val="none"/>
        </w:rPr>
        <w:t>。采购人不得向中标供应商提出不合理的要求作为签订合同的条件，不得与中标供应商私下订立背离采购文件实质性内容的协议。</w:t>
      </w:r>
    </w:p>
    <w:p w14:paraId="451736B6">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二、采购人按合同约定积极配合中标供应商履约，中标供应商履约到位后，请以书面形式向采购人提出验收申请，采购人接到申请后原则上在5个工作日内及时组织相关专业技术人员，必要时邀请采购人、质检等部门共同参与验收，并出具验收报告，验收合格的原则上5个工作日内支付相应款项。</w:t>
      </w:r>
    </w:p>
    <w:p w14:paraId="17B955EA">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三、采购人故意推迟项目验收时间的，与中标供应商串通或要求中标供应商</w:t>
      </w:r>
      <w:r>
        <w:rPr>
          <w:rFonts w:ascii="宋体" w:hAnsi="宋体"/>
          <w:color w:val="auto"/>
          <w:kern w:val="0"/>
          <w:sz w:val="24"/>
          <w:szCs w:val="18"/>
          <w:highlight w:val="none"/>
          <w:lang w:bidi="zh-CN"/>
        </w:rPr>
        <w:t>通过减少货物数量或降低服务标准的，在履行合同中采取更改配置、调换物品等手段的，</w:t>
      </w:r>
      <w:r>
        <w:rPr>
          <w:rFonts w:ascii="宋体" w:hAnsi="宋体"/>
          <w:color w:val="auto"/>
          <w:sz w:val="24"/>
          <w:highlight w:val="none"/>
        </w:rPr>
        <w:t>要求中标供应商出具虚假发票或任意更改销售发票的，谋取不正当利益的，承担相应的法律责任。</w:t>
      </w:r>
    </w:p>
    <w:p w14:paraId="752C6532">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四、中标供应商出现违约情形，应当及时纠正或补偿；造成损失的，按合同约定追究违约责任；发现有假冒、伪劣、走私产品、商业贿赂等违法情形的，应由采购人移交工商、质监、公安等行政执法部门依法查处。</w:t>
      </w:r>
    </w:p>
    <w:p w14:paraId="0597F700">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五、不响应付款方式的，视同无效投标处理。</w:t>
      </w:r>
    </w:p>
    <w:p w14:paraId="7581DA11">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每次付款前，中标供应商须根据结算金额按国家有关财税规定开出合法发票交采购方办理付款手续。</w:t>
      </w:r>
    </w:p>
    <w:p w14:paraId="26DBCF59">
      <w:pPr>
        <w:pStyle w:val="63"/>
        <w:keepNext w:val="0"/>
        <w:keepLines w:val="0"/>
        <w:pageBreakBefore w:val="0"/>
        <w:bidi w:val="0"/>
        <w:spacing w:beforeAutospacing="0" w:after="0" w:afterLines="0" w:afterAutospacing="0" w:line="440" w:lineRule="exact"/>
        <w:ind w:left="0" w:leftChars="0" w:right="0" w:rightChars="0"/>
        <w:rPr>
          <w:rStyle w:val="124"/>
          <w:rFonts w:hint="default"/>
          <w:bCs w:val="0"/>
          <w:color w:val="auto"/>
          <w:sz w:val="28"/>
          <w:szCs w:val="28"/>
          <w:highlight w:val="none"/>
        </w:rPr>
      </w:pPr>
      <w:r>
        <w:rPr>
          <w:rFonts w:ascii="宋体"/>
          <w:color w:val="auto"/>
          <w:sz w:val="24"/>
          <w:highlight w:val="none"/>
        </w:rPr>
        <w:br w:type="page"/>
      </w:r>
      <w:r>
        <w:rPr>
          <w:rStyle w:val="124"/>
          <w:rFonts w:hint="default"/>
          <w:color w:val="auto"/>
          <w:sz w:val="28"/>
          <w:szCs w:val="28"/>
          <w:highlight w:val="none"/>
        </w:rPr>
        <w:t>第七章  质疑提出和处理</w:t>
      </w:r>
    </w:p>
    <w:p w14:paraId="461CE56B">
      <w:pPr>
        <w:keepNext w:val="0"/>
        <w:keepLines w:val="0"/>
        <w:pageBreakBefore w:val="0"/>
        <w:autoSpaceDE w:val="0"/>
        <w:autoSpaceDN w:val="0"/>
        <w:bidi w:val="0"/>
        <w:adjustRightInd w:val="0"/>
        <w:snapToGrid w:val="0"/>
        <w:spacing w:beforeAutospacing="0" w:afterAutospacing="0" w:line="440" w:lineRule="exact"/>
        <w:ind w:left="0" w:leftChars="0" w:right="0" w:rightChars="0" w:firstLine="480" w:firstLineChars="200"/>
        <w:contextualSpacing/>
        <w:jc w:val="left"/>
        <w:rPr>
          <w:rFonts w:ascii="宋体" w:hAnsi="宋体"/>
          <w:b/>
          <w:color w:val="auto"/>
          <w:kern w:val="0"/>
          <w:sz w:val="24"/>
          <w:highlight w:val="none"/>
        </w:rPr>
      </w:pPr>
      <w:r>
        <w:rPr>
          <w:rFonts w:ascii="宋体" w:hAnsi="宋体"/>
          <w:b/>
          <w:color w:val="auto"/>
          <w:kern w:val="0"/>
          <w:sz w:val="24"/>
          <w:highlight w:val="none"/>
        </w:rPr>
        <w:t>一、质疑的提出</w:t>
      </w:r>
    </w:p>
    <w:p w14:paraId="4DDD7CC3">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 xml:space="preserve">(一)质疑人的身份要求 </w:t>
      </w:r>
    </w:p>
    <w:p w14:paraId="5ABED8D8">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1.质疑人必须是直接参加本次招标活动的当事人。</w:t>
      </w:r>
    </w:p>
    <w:p w14:paraId="53764FF7">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2.未参加投标活动的供应商或在投标活动中自身权益未受到损害的供应商所提出的质疑不予受理。</w:t>
      </w:r>
    </w:p>
    <w:p w14:paraId="3BBC3EF1">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(二)质疑提出的格式要求</w:t>
      </w:r>
    </w:p>
    <w:p w14:paraId="6037B9D4">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1.质疑必须按《政府采购法》、《政府采购法实施条例》及《江苏省政府采购供应商监督管理暂行办法》的相关规定提交，质疑实行实名制，不得进行虚假、恶意质疑，未按上述要求提交的质疑函，将不予受理。</w:t>
      </w:r>
    </w:p>
    <w:p w14:paraId="4A68C690">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2.质疑函应包括：</w:t>
      </w:r>
    </w:p>
    <w:p w14:paraId="7E7D04C5">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（1）质疑投标人的名称、地址、邮编、联系人及联系电话；</w:t>
      </w:r>
    </w:p>
    <w:p w14:paraId="5805BD3D">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（2）具体、明确的质疑事项及明确的请求；</w:t>
      </w:r>
    </w:p>
    <w:p w14:paraId="285E774E">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（3）质疑的事实依据和必要的法律依据；</w:t>
      </w:r>
    </w:p>
    <w:p w14:paraId="7E614990">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（4）提起质疑的日期；</w:t>
      </w:r>
    </w:p>
    <w:p w14:paraId="744A7B9E">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（5）认为自己合法权益受到损害或可能受到损害的相关证据材料；</w:t>
      </w:r>
    </w:p>
    <w:p w14:paraId="642569F5">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196D8589">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3.质疑函需遵循的原则：</w:t>
      </w:r>
    </w:p>
    <w:p w14:paraId="02EA3B43">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8FEFE6C">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（三）质疑提出的时效要求</w:t>
      </w:r>
    </w:p>
    <w:p w14:paraId="5CE2F4A1">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1.投标人认为采购文件、采购过程和采购结果使自己的权益受到损害的，可以在知道或应知其权益受到损害之日起七个工作日内，以书面形式向采购人或代理机构提出质疑。上述应知其权益受到损害之日，是指：</w:t>
      </w:r>
    </w:p>
    <w:p w14:paraId="3BC07553">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（1）对可以质疑的采购文件提出质疑的，为收到采购文件之日或者采购文件公告期限届满之日；</w:t>
      </w:r>
    </w:p>
    <w:p w14:paraId="22CD35F6">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（2）对采购过程提出质疑的，为各采购程序环节结束之日；</w:t>
      </w:r>
    </w:p>
    <w:p w14:paraId="2C4DDC51">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（3）对中标或者成交结果提出质疑的，为中标或者成交结果公告期限届满之日。</w:t>
      </w:r>
    </w:p>
    <w:p w14:paraId="067D2948">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投标人认为采购文件使自己的权益受到损害的，可以按照招标公告第八项要求向采购人提出质疑；投标人认为采购过程和采购结果使自己的权益受到损害的，可以以书面形式向采购人或代理机构提出质疑。</w:t>
      </w:r>
    </w:p>
    <w:p w14:paraId="5CD5C08C">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2.投标人应在法定质疑期一次性提出针对同一采购程序环节的质疑。</w:t>
      </w:r>
    </w:p>
    <w:p w14:paraId="3980F7A5">
      <w:pPr>
        <w:keepNext w:val="0"/>
        <w:keepLines w:val="0"/>
        <w:pageBreakBefore w:val="0"/>
        <w:autoSpaceDE w:val="0"/>
        <w:autoSpaceDN w:val="0"/>
        <w:bidi w:val="0"/>
        <w:adjustRightInd w:val="0"/>
        <w:snapToGrid w:val="0"/>
        <w:spacing w:beforeAutospacing="0" w:afterAutospacing="0" w:line="440" w:lineRule="exact"/>
        <w:ind w:left="0" w:leftChars="0" w:right="0" w:rightChars="0" w:firstLine="480" w:firstLineChars="200"/>
        <w:contextualSpacing/>
        <w:jc w:val="left"/>
        <w:rPr>
          <w:rFonts w:ascii="宋体" w:hAnsi="宋体"/>
          <w:b/>
          <w:color w:val="auto"/>
          <w:sz w:val="24"/>
          <w:highlight w:val="none"/>
        </w:rPr>
      </w:pPr>
      <w:r>
        <w:rPr>
          <w:rFonts w:ascii="宋体" w:hAnsi="宋体"/>
          <w:b/>
          <w:color w:val="auto"/>
          <w:sz w:val="24"/>
          <w:highlight w:val="none"/>
        </w:rPr>
        <w:t>二、《质疑函》的受理和回复</w:t>
      </w:r>
    </w:p>
    <w:p w14:paraId="5BAD3FEE">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1.收到质疑函后，采购人将对质疑的形式和内容进行审查，如质疑函内容、格式不符合规定，采购人将告知质疑人进行补正。</w:t>
      </w:r>
    </w:p>
    <w:p w14:paraId="4CD1FB54">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2. 质疑人应当在法定质疑期限内进行补正并重新提交质疑函，拒不补正或者在法定期限内未重新提交质疑函的，为无效质疑，采购人将不予受理。</w:t>
      </w:r>
    </w:p>
    <w:p w14:paraId="0DA27E4B">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3.采购人或采购代理机构答复供应商质疑应当采用书面方式并依法送达，质疑供应商或其委托代理人拒绝签收的视为已经送达。</w:t>
      </w:r>
    </w:p>
    <w:p w14:paraId="16CAEE75">
      <w:pPr>
        <w:keepNext w:val="0"/>
        <w:keepLines w:val="0"/>
        <w:pageBreakBefore w:val="0"/>
        <w:autoSpaceDE w:val="0"/>
        <w:autoSpaceDN w:val="0"/>
        <w:bidi w:val="0"/>
        <w:adjustRightInd w:val="0"/>
        <w:snapToGrid w:val="0"/>
        <w:spacing w:beforeAutospacing="0" w:afterAutospacing="0" w:line="440" w:lineRule="exact"/>
        <w:ind w:left="0" w:leftChars="0" w:right="0" w:rightChars="0"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三、质疑处理</w:t>
      </w:r>
    </w:p>
    <w:p w14:paraId="6202E186">
      <w:pPr>
        <w:keepNext w:val="0"/>
        <w:keepLines w:val="0"/>
        <w:pageBreakBefore w:val="0"/>
        <w:autoSpaceDE w:val="0"/>
        <w:autoSpaceDN w:val="0"/>
        <w:bidi w:val="0"/>
        <w:adjustRightInd w:val="0"/>
        <w:snapToGrid w:val="0"/>
        <w:spacing w:beforeAutospacing="0" w:afterAutospacing="0" w:line="440" w:lineRule="exact"/>
        <w:ind w:left="0" w:leftChars="0" w:right="0" w:rightChars="0" w:firstLine="480" w:firstLineChars="200"/>
        <w:contextualSpacing/>
        <w:jc w:val="left"/>
        <w:rPr>
          <w:rFonts w:ascii="宋体" w:hAnsi="宋体"/>
          <w:b/>
          <w:color w:val="auto"/>
          <w:sz w:val="24"/>
          <w:highlight w:val="none"/>
        </w:rPr>
      </w:pPr>
      <w:r>
        <w:rPr>
          <w:rFonts w:ascii="宋体" w:hAnsi="宋体"/>
          <w:b/>
          <w:color w:val="auto"/>
          <w:sz w:val="24"/>
          <w:highlight w:val="none"/>
        </w:rPr>
        <w:t>1、质疑成立的处理。</w:t>
      </w:r>
    </w:p>
    <w:p w14:paraId="4F1D70F8">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（1）对于内容、格式符合规定的质疑函，采购人在收到投标供应商的书面质疑后七个工作日内作出书面答复，但答复的内容不得涉及商业秘密。</w:t>
      </w:r>
    </w:p>
    <w:p w14:paraId="6AA0D82A">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（2）对采购文件提出的质疑，依法通过澄清或者修改可以继续开展采购活动的，澄清或者修改采购文件后继续开展采购活动；否则应当修改采购文件后重新开展采购活动。</w:t>
      </w:r>
    </w:p>
    <w:p w14:paraId="2BC35CFC">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（3）对采购过程、中标或者成交结果提出的质疑，合格供应商符合法定数量时，可以从合格的中标候选人中另行确定中标、</w:t>
      </w:r>
      <w:r>
        <w:rPr>
          <w:rFonts w:hint="eastAsia" w:ascii="宋体" w:hAnsi="宋体"/>
          <w:color w:val="auto"/>
          <w:sz w:val="24"/>
          <w:highlight w:val="none"/>
        </w:rPr>
        <w:t>中标人</w:t>
      </w:r>
      <w:r>
        <w:rPr>
          <w:rFonts w:ascii="宋体" w:hAnsi="宋体"/>
          <w:color w:val="auto"/>
          <w:sz w:val="24"/>
          <w:highlight w:val="none"/>
        </w:rPr>
        <w:t>，或重新开展采购活动。</w:t>
      </w:r>
    </w:p>
    <w:p w14:paraId="59563F7C">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质疑答复导致中标、成交结果改变的，采购人或者采购代理机构应当将有关情况书面报告本级财政部门。</w:t>
      </w:r>
    </w:p>
    <w:p w14:paraId="7051E6DF">
      <w:pPr>
        <w:keepNext w:val="0"/>
        <w:keepLines w:val="0"/>
        <w:pageBreakBefore w:val="0"/>
        <w:autoSpaceDE w:val="0"/>
        <w:autoSpaceDN w:val="0"/>
        <w:bidi w:val="0"/>
        <w:adjustRightInd w:val="0"/>
        <w:snapToGrid w:val="0"/>
        <w:spacing w:beforeAutospacing="0" w:afterAutospacing="0" w:line="440" w:lineRule="exact"/>
        <w:ind w:left="0" w:leftChars="0" w:right="0" w:rightChars="0"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2、质疑不成立的处理。</w:t>
      </w:r>
    </w:p>
    <w:p w14:paraId="6E02E44B">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（1）若质疑不成立，或者成立未对中标、成交结果构成影响的，继续开展采购活动。</w:t>
      </w:r>
    </w:p>
    <w:p w14:paraId="4E9C0BB3">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（2）对明显有违背事实的、经相关专家或评委认定无依据的、经其他供应商举证无依据的质疑，作违约处理，对其中每一项不成立的质疑给予质疑人1年内禁入由采购人组织的政府采购活动的违约处理。</w:t>
      </w:r>
    </w:p>
    <w:p w14:paraId="2B9982B0">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（3）质疑人承担使用虚假材料或恶意方式质疑的法律责任。</w:t>
      </w:r>
    </w:p>
    <w:p w14:paraId="0BEDCF24">
      <w:pPr>
        <w:keepNext w:val="0"/>
        <w:keepLines w:val="0"/>
        <w:pageBreakBefore w:val="0"/>
        <w:autoSpaceDE w:val="0"/>
        <w:autoSpaceDN w:val="0"/>
        <w:bidi w:val="0"/>
        <w:adjustRightInd w:val="0"/>
        <w:snapToGrid w:val="0"/>
        <w:spacing w:beforeAutospacing="0" w:afterAutospacing="0" w:line="440" w:lineRule="exact"/>
        <w:ind w:left="0" w:leftChars="0" w:right="0" w:rightChars="0"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3、虚假质疑的处理</w:t>
      </w:r>
    </w:p>
    <w:p w14:paraId="737DCBEA">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b/>
          <w:color w:val="auto"/>
          <w:sz w:val="24"/>
          <w:highlight w:val="none"/>
        </w:rPr>
      </w:pPr>
      <w:r>
        <w:rPr>
          <w:rFonts w:ascii="宋体" w:hAnsi="宋体"/>
          <w:color w:val="auto"/>
          <w:sz w:val="24"/>
          <w:highlight w:val="none"/>
        </w:rPr>
        <w:t>投标人提出书面质疑必须有理、有据，不得恶意质疑或提交虚假质疑。否则，一经查实，将依据政府采购的有关规定，报请政府采购监管部门对该投标人进行相应的行政处罚。</w:t>
      </w:r>
    </w:p>
    <w:p w14:paraId="42525863">
      <w:pPr>
        <w:pStyle w:val="63"/>
        <w:keepNext w:val="0"/>
        <w:keepLines w:val="0"/>
        <w:pageBreakBefore w:val="0"/>
        <w:bidi w:val="0"/>
        <w:spacing w:beforeAutospacing="0" w:after="0" w:afterLines="0" w:afterAutospacing="0" w:line="440" w:lineRule="exact"/>
        <w:ind w:left="0" w:leftChars="0" w:right="0" w:rightChars="0"/>
        <w:rPr>
          <w:rStyle w:val="124"/>
          <w:rFonts w:hint="default"/>
          <w:bCs w:val="0"/>
          <w:color w:val="auto"/>
          <w:sz w:val="28"/>
          <w:szCs w:val="28"/>
          <w:highlight w:val="none"/>
        </w:rPr>
      </w:pPr>
      <w:r>
        <w:rPr>
          <w:rStyle w:val="124"/>
          <w:rFonts w:hint="default"/>
          <w:bCs w:val="0"/>
          <w:color w:val="auto"/>
          <w:sz w:val="28"/>
          <w:szCs w:val="28"/>
          <w:highlight w:val="none"/>
        </w:rPr>
        <w:br w:type="page"/>
      </w:r>
      <w:r>
        <w:rPr>
          <w:rStyle w:val="124"/>
          <w:rFonts w:hint="default"/>
          <w:color w:val="auto"/>
          <w:sz w:val="28"/>
          <w:szCs w:val="28"/>
          <w:highlight w:val="none"/>
        </w:rPr>
        <w:t>第八章  投标文件组成</w:t>
      </w:r>
    </w:p>
    <w:p w14:paraId="7D0B3DCE">
      <w:pPr>
        <w:keepNext w:val="0"/>
        <w:keepLines w:val="0"/>
        <w:pageBreakBefore w:val="0"/>
        <w:bidi w:val="0"/>
        <w:snapToGrid w:val="0"/>
        <w:spacing w:beforeAutospacing="0" w:afterAutospacing="0" w:line="440" w:lineRule="exact"/>
        <w:ind w:left="0" w:leftChars="0" w:right="0" w:rightChars="0" w:firstLine="470" w:firstLineChars="196"/>
        <w:rPr>
          <w:rFonts w:ascii="宋体" w:hAnsi="宋体"/>
          <w:b/>
          <w:color w:val="auto"/>
          <w:sz w:val="24"/>
          <w:highlight w:val="none"/>
        </w:rPr>
      </w:pPr>
      <w:r>
        <w:rPr>
          <w:rFonts w:ascii="宋体" w:hAnsi="宋体"/>
          <w:b/>
          <w:color w:val="auto"/>
          <w:sz w:val="24"/>
          <w:highlight w:val="none"/>
        </w:rPr>
        <w:t>投标文件由</w:t>
      </w:r>
      <w:r>
        <w:rPr>
          <w:rFonts w:hint="eastAsia" w:ascii="宋体" w:hAnsi="宋体"/>
          <w:b/>
          <w:color w:val="auto"/>
          <w:sz w:val="24"/>
          <w:highlight w:val="none"/>
        </w:rPr>
        <w:t>资格审查文件</w:t>
      </w:r>
      <w:r>
        <w:rPr>
          <w:rFonts w:ascii="宋体" w:hAnsi="宋体"/>
          <w:b/>
          <w:color w:val="auto"/>
          <w:sz w:val="24"/>
          <w:highlight w:val="none"/>
        </w:rPr>
        <w:t>、</w:t>
      </w:r>
      <w:r>
        <w:rPr>
          <w:rFonts w:hint="eastAsia" w:ascii="宋体" w:hAnsi="宋体"/>
          <w:b/>
          <w:color w:val="auto"/>
          <w:sz w:val="24"/>
          <w:highlight w:val="none"/>
        </w:rPr>
        <w:t>商务技术标</w:t>
      </w:r>
      <w:r>
        <w:rPr>
          <w:rFonts w:ascii="宋体" w:hAnsi="宋体"/>
          <w:b/>
          <w:color w:val="auto"/>
          <w:sz w:val="24"/>
          <w:highlight w:val="none"/>
        </w:rPr>
        <w:t>、价格标三部分组成。本次招标采用资格后审方式，投标人须将资格后审材料作为投标文件组成部分，按要求装订密封后一起递交。</w:t>
      </w:r>
    </w:p>
    <w:p w14:paraId="05CA3FC9">
      <w:pPr>
        <w:keepNext w:val="0"/>
        <w:keepLines w:val="0"/>
        <w:pageBreakBefore w:val="0"/>
        <w:bidi w:val="0"/>
        <w:snapToGrid w:val="0"/>
        <w:spacing w:beforeAutospacing="0" w:afterAutospacing="0" w:line="440" w:lineRule="exact"/>
        <w:ind w:left="0" w:leftChars="0" w:right="0" w:rightChars="0" w:firstLine="480" w:firstLineChars="200"/>
        <w:jc w:val="left"/>
        <w:rPr>
          <w:rFonts w:ascii="宋体" w:hAnsi="宋体"/>
          <w:b/>
          <w:color w:val="auto"/>
          <w:sz w:val="24"/>
          <w:highlight w:val="none"/>
        </w:rPr>
      </w:pPr>
      <w:r>
        <w:rPr>
          <w:rFonts w:ascii="宋体" w:hAnsi="宋体"/>
          <w:b/>
          <w:color w:val="auto"/>
          <w:sz w:val="24"/>
          <w:highlight w:val="none"/>
        </w:rPr>
        <w:t>一、</w:t>
      </w:r>
      <w:r>
        <w:rPr>
          <w:rFonts w:hint="eastAsia" w:ascii="宋体" w:hAnsi="宋体"/>
          <w:b/>
          <w:color w:val="auto"/>
          <w:sz w:val="24"/>
          <w:highlight w:val="none"/>
        </w:rPr>
        <w:t>资格审查文件</w:t>
      </w:r>
      <w:r>
        <w:rPr>
          <w:rFonts w:ascii="宋体" w:hAnsi="宋体"/>
          <w:b/>
          <w:color w:val="auto"/>
          <w:sz w:val="24"/>
          <w:highlight w:val="none"/>
        </w:rPr>
        <w:t>（单独装订密封）</w:t>
      </w:r>
    </w:p>
    <w:p w14:paraId="3CB19F1D">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ascii="宋体" w:hAnsi="宋体"/>
          <w:color w:val="auto"/>
          <w:sz w:val="24"/>
          <w:highlight w:val="none"/>
        </w:rPr>
        <w:t>1、关于资格</w:t>
      </w:r>
      <w:r>
        <w:rPr>
          <w:rFonts w:hint="eastAsia" w:ascii="宋体" w:hAnsi="宋体"/>
          <w:color w:val="auto"/>
          <w:sz w:val="24"/>
          <w:highlight w:val="none"/>
          <w:lang w:val="en-US" w:eastAsia="zh-CN"/>
        </w:rPr>
        <w:t>文件</w:t>
      </w:r>
      <w:r>
        <w:rPr>
          <w:rFonts w:ascii="宋体" w:hAnsi="宋体"/>
          <w:color w:val="auto"/>
          <w:sz w:val="24"/>
          <w:highlight w:val="none"/>
        </w:rPr>
        <w:t>的声明函；</w:t>
      </w:r>
    </w:p>
    <w:p w14:paraId="59CBF1E8">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ascii="宋体" w:hAnsi="宋体"/>
          <w:color w:val="auto"/>
          <w:sz w:val="24"/>
          <w:highlight w:val="none"/>
        </w:rPr>
        <w:t>2、法定代表人参加投标的，必须提供法定代表人身份证明及法定代表人本人身份证复印件；</w:t>
      </w:r>
    </w:p>
    <w:p w14:paraId="0C36ECFD">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ascii="宋体" w:hAnsi="宋体"/>
          <w:color w:val="auto"/>
          <w:sz w:val="24"/>
          <w:highlight w:val="none"/>
        </w:rPr>
        <w:t>非法定代表人参加投标的，必须提供法定代表人签名或盖章的授权委托书及</w:t>
      </w:r>
      <w:r>
        <w:rPr>
          <w:rFonts w:ascii="宋体" w:hAnsi="宋体"/>
          <w:b/>
          <w:color w:val="auto"/>
          <w:sz w:val="24"/>
          <w:highlight w:val="none"/>
        </w:rPr>
        <w:t>法定代表人和被授权人两人的身份证复印件</w:t>
      </w:r>
      <w:r>
        <w:rPr>
          <w:rFonts w:ascii="宋体" w:hAnsi="宋体"/>
          <w:color w:val="auto"/>
          <w:sz w:val="24"/>
          <w:highlight w:val="none"/>
        </w:rPr>
        <w:t>（格式参见附件）；</w:t>
      </w:r>
    </w:p>
    <w:p w14:paraId="2C51C51C">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hint="eastAsia" w:ascii="宋体" w:hAnsi="宋体"/>
          <w:color w:val="auto"/>
          <w:sz w:val="24"/>
          <w:highlight w:val="none"/>
        </w:rPr>
        <w:t>3、满足《中华人民共和国政府采购法》第二十二条规定声明函（按照后附格式）；</w:t>
      </w:r>
    </w:p>
    <w:p w14:paraId="6A377CE9">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hint="eastAsia" w:ascii="宋体" w:hAnsi="宋体"/>
          <w:color w:val="auto"/>
          <w:sz w:val="24"/>
          <w:highlight w:val="none"/>
        </w:rPr>
        <w:t>4、有效的营业执照（提供复印件并加盖公章）；</w:t>
      </w:r>
    </w:p>
    <w:p w14:paraId="69996531">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hint="eastAsia" w:ascii="宋体" w:hAnsi="宋体"/>
          <w:color w:val="auto"/>
          <w:sz w:val="24"/>
          <w:highlight w:val="none"/>
        </w:rPr>
      </w:pPr>
      <w:r>
        <w:rPr>
          <w:rFonts w:hint="eastAsia" w:ascii="宋体" w:hAnsi="宋体"/>
          <w:color w:val="auto"/>
          <w:sz w:val="24"/>
          <w:highlight w:val="none"/>
        </w:rPr>
        <w:t>5、具有水利行业设计乙级及以上设计资质或水利行业（灌溉排涝、城市防洪）设计乙级及以上设计资质；</w:t>
      </w:r>
    </w:p>
    <w:p w14:paraId="0DAB2529">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6、项目进场人员意外伤害保险承诺书；</w:t>
      </w:r>
    </w:p>
    <w:p w14:paraId="45E4AADE">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hint="eastAsia" w:ascii="宋体" w:hAnsi="宋体" w:cs="宋体"/>
          <w:bCs/>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s="宋体"/>
          <w:bCs/>
          <w:color w:val="auto"/>
          <w:sz w:val="24"/>
          <w:highlight w:val="none"/>
        </w:rPr>
        <w:t>投标单位未被“信用中国”网站列入失信被执行人、重大税收违法失信主体、政府采购严重违法失信行为记录名单、经营（活动）异常名录、严重失信主体名单；</w:t>
      </w:r>
    </w:p>
    <w:p w14:paraId="4E124B96">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8、</w:t>
      </w:r>
      <w:r>
        <w:rPr>
          <w:rFonts w:hint="eastAsia" w:ascii="宋体" w:hAnsi="宋体" w:cs="宋体"/>
          <w:color w:val="auto"/>
          <w:kern w:val="0"/>
          <w:sz w:val="24"/>
          <w:highlight w:val="none"/>
        </w:rPr>
        <w:t>中小企业声明函或残疾人福利性单位声明函或监狱和戒毒企业证明材料</w:t>
      </w:r>
      <w:r>
        <w:rPr>
          <w:rFonts w:hint="eastAsia" w:ascii="宋体" w:hAnsi="宋体" w:cs="宋体"/>
          <w:color w:val="auto"/>
          <w:kern w:val="0"/>
          <w:sz w:val="24"/>
          <w:highlight w:val="none"/>
          <w:lang w:eastAsia="zh-CN"/>
        </w:rPr>
        <w:t>；</w:t>
      </w:r>
    </w:p>
    <w:p w14:paraId="0508A58B">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、其它在招标文件中需要提交的材料。</w:t>
      </w:r>
    </w:p>
    <w:p w14:paraId="277DDE6F">
      <w:pPr>
        <w:keepNext w:val="0"/>
        <w:keepLines w:val="0"/>
        <w:pageBreakBefore w:val="0"/>
        <w:bidi w:val="0"/>
        <w:snapToGrid w:val="0"/>
        <w:spacing w:beforeAutospacing="0" w:afterAutospacing="0" w:line="440" w:lineRule="exact"/>
        <w:ind w:left="0" w:leftChars="0" w:right="0" w:rightChars="0" w:firstLine="480" w:firstLineChars="200"/>
        <w:jc w:val="left"/>
        <w:rPr>
          <w:rFonts w:ascii="宋体" w:hAnsi="宋体"/>
          <w:b/>
          <w:color w:val="auto"/>
          <w:sz w:val="24"/>
          <w:highlight w:val="none"/>
        </w:rPr>
      </w:pPr>
      <w:r>
        <w:rPr>
          <w:rFonts w:ascii="宋体" w:hAnsi="宋体"/>
          <w:b/>
          <w:color w:val="auto"/>
          <w:sz w:val="24"/>
          <w:highlight w:val="none"/>
        </w:rPr>
        <w:t>二、</w:t>
      </w:r>
      <w:r>
        <w:rPr>
          <w:rFonts w:hint="eastAsia" w:ascii="宋体" w:hAnsi="宋体"/>
          <w:b/>
          <w:color w:val="auto"/>
          <w:sz w:val="24"/>
          <w:highlight w:val="none"/>
        </w:rPr>
        <w:t>商务技术标</w:t>
      </w:r>
      <w:r>
        <w:rPr>
          <w:rFonts w:ascii="宋体" w:hAnsi="宋体"/>
          <w:b/>
          <w:color w:val="auto"/>
          <w:sz w:val="24"/>
          <w:highlight w:val="none"/>
        </w:rPr>
        <w:t>（单独装订密封）</w:t>
      </w:r>
    </w:p>
    <w:p w14:paraId="51D01D20">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ascii="宋体" w:hAnsi="宋体"/>
          <w:color w:val="auto"/>
          <w:sz w:val="24"/>
          <w:highlight w:val="none"/>
        </w:rPr>
        <w:t>供应商应根据本招标文件第三章“项目需求”提供的主要技术规范，服务要求标准等，仔细阅读并在理解的基础上结合第四章“评审方法和程序”内的评审细则，编写编制技术</w:t>
      </w:r>
      <w:r>
        <w:rPr>
          <w:rFonts w:hint="eastAsia" w:ascii="宋体" w:hAnsi="宋体"/>
          <w:color w:val="auto"/>
          <w:sz w:val="24"/>
          <w:highlight w:val="none"/>
        </w:rPr>
        <w:t>商务</w:t>
      </w:r>
      <w:r>
        <w:rPr>
          <w:rFonts w:ascii="宋体" w:hAnsi="宋体"/>
          <w:color w:val="auto"/>
          <w:sz w:val="24"/>
          <w:highlight w:val="none"/>
        </w:rPr>
        <w:t>投标响应文件。以下响应文件的内容，不得有缺项或漏项。否则将有可能被视为未实质性响应招标文件要求而作无效投标处理，或可能直接影响技术评审的得分；</w:t>
      </w:r>
    </w:p>
    <w:p w14:paraId="21457703">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ascii="宋体" w:hAnsi="宋体"/>
          <w:color w:val="auto"/>
          <w:sz w:val="24"/>
          <w:highlight w:val="none"/>
        </w:rPr>
        <w:t>1、招标文件评审方法中所涉及的事项需提供的所有资料；</w:t>
      </w:r>
    </w:p>
    <w:p w14:paraId="68AD803B">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ascii="宋体" w:hAnsi="宋体"/>
          <w:color w:val="auto"/>
          <w:sz w:val="24"/>
          <w:highlight w:val="none"/>
        </w:rPr>
        <w:t>2、招标文件中未涉及的事项，投标人认为需要提交的其他资料。</w:t>
      </w:r>
    </w:p>
    <w:p w14:paraId="73273212">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b/>
          <w:bCs/>
          <w:color w:val="auto"/>
          <w:sz w:val="24"/>
          <w:highlight w:val="none"/>
        </w:rPr>
      </w:pPr>
      <w:r>
        <w:rPr>
          <w:rFonts w:ascii="宋体" w:hAnsi="宋体"/>
          <w:b/>
          <w:bCs/>
          <w:color w:val="auto"/>
          <w:sz w:val="24"/>
          <w:highlight w:val="none"/>
        </w:rPr>
        <w:t>特别提醒：“</w:t>
      </w:r>
      <w:r>
        <w:rPr>
          <w:rFonts w:hint="eastAsia" w:ascii="宋体" w:hAnsi="宋体"/>
          <w:b/>
          <w:bCs/>
          <w:color w:val="auto"/>
          <w:sz w:val="24"/>
          <w:highlight w:val="none"/>
        </w:rPr>
        <w:t>资格审查文件</w:t>
      </w:r>
      <w:r>
        <w:rPr>
          <w:rFonts w:ascii="宋体" w:hAnsi="宋体"/>
          <w:b/>
          <w:bCs/>
          <w:color w:val="auto"/>
          <w:sz w:val="24"/>
          <w:highlight w:val="none"/>
        </w:rPr>
        <w:t>、“</w:t>
      </w:r>
      <w:r>
        <w:rPr>
          <w:rFonts w:hint="eastAsia" w:ascii="宋体" w:hAnsi="宋体"/>
          <w:b/>
          <w:bCs/>
          <w:color w:val="auto"/>
          <w:sz w:val="24"/>
          <w:highlight w:val="none"/>
        </w:rPr>
        <w:t>商务技术标</w:t>
      </w:r>
      <w:r>
        <w:rPr>
          <w:rFonts w:ascii="宋体" w:hAnsi="宋体"/>
          <w:b/>
          <w:bCs/>
          <w:color w:val="auto"/>
          <w:sz w:val="24"/>
          <w:highlight w:val="none"/>
        </w:rPr>
        <w:t>”所须提供的材料（须加盖公章）按招标文件要求装订，密封，递交。</w:t>
      </w:r>
    </w:p>
    <w:p w14:paraId="3192863A">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b/>
          <w:bCs/>
          <w:color w:val="auto"/>
          <w:sz w:val="24"/>
          <w:highlight w:val="none"/>
        </w:rPr>
      </w:pPr>
      <w:r>
        <w:rPr>
          <w:rFonts w:hint="eastAsia" w:ascii="宋体" w:hAnsi="宋体"/>
          <w:b/>
          <w:bCs/>
          <w:color w:val="auto"/>
          <w:sz w:val="24"/>
          <w:highlight w:val="none"/>
        </w:rPr>
        <w:t>以上材料如为复印件均需加盖投标人公章。</w:t>
      </w:r>
    </w:p>
    <w:p w14:paraId="1CE538F4">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b/>
          <w:bCs/>
          <w:color w:val="auto"/>
          <w:sz w:val="24"/>
          <w:highlight w:val="none"/>
        </w:rPr>
      </w:pPr>
      <w:r>
        <w:rPr>
          <w:rFonts w:hint="eastAsia" w:ascii="宋体" w:hAnsi="宋体"/>
          <w:b/>
          <w:bCs/>
          <w:color w:val="auto"/>
          <w:sz w:val="24"/>
          <w:highlight w:val="none"/>
        </w:rPr>
        <w:t>资格审查文件和商务技术文件中不得有其他报价内容。</w:t>
      </w:r>
    </w:p>
    <w:p w14:paraId="0D332CB9">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b/>
          <w:color w:val="auto"/>
          <w:sz w:val="24"/>
          <w:highlight w:val="none"/>
        </w:rPr>
      </w:pPr>
      <w:r>
        <w:rPr>
          <w:rFonts w:ascii="宋体" w:hAnsi="宋体"/>
          <w:b/>
          <w:color w:val="auto"/>
          <w:sz w:val="24"/>
          <w:highlight w:val="none"/>
        </w:rPr>
        <w:t>三、价格标（单独装订密封）</w:t>
      </w:r>
    </w:p>
    <w:p w14:paraId="3349B770">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ascii="宋体" w:hAnsi="宋体"/>
          <w:color w:val="auto"/>
          <w:sz w:val="24"/>
          <w:highlight w:val="none"/>
        </w:rPr>
        <w:t>1、开标一览表；</w:t>
      </w:r>
    </w:p>
    <w:p w14:paraId="1E4D11A5">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color w:val="auto"/>
          <w:sz w:val="24"/>
          <w:highlight w:val="none"/>
        </w:rPr>
      </w:pPr>
      <w:r>
        <w:rPr>
          <w:rFonts w:ascii="宋体" w:hAnsi="宋体"/>
          <w:color w:val="auto"/>
          <w:sz w:val="24"/>
          <w:highlight w:val="none"/>
        </w:rPr>
        <w:t>2、分项报价明细表；</w:t>
      </w:r>
    </w:p>
    <w:p w14:paraId="6BBA3342">
      <w:pPr>
        <w:keepNext w:val="0"/>
        <w:keepLines w:val="0"/>
        <w:pageBreakBefore w:val="0"/>
        <w:widowControl/>
        <w:bidi w:val="0"/>
        <w:snapToGrid w:val="0"/>
        <w:spacing w:beforeAutospacing="0" w:afterAutospacing="0" w:line="440" w:lineRule="exact"/>
        <w:ind w:left="0" w:leftChars="0" w:right="0" w:rightChars="0" w:firstLine="480" w:firstLineChars="200"/>
        <w:jc w:val="left"/>
        <w:rPr>
          <w:rFonts w:ascii="宋体" w:hAnsi="宋体"/>
          <w:b/>
          <w:color w:val="auto"/>
          <w:sz w:val="24"/>
          <w:highlight w:val="none"/>
        </w:rPr>
      </w:pPr>
      <w:r>
        <w:rPr>
          <w:rFonts w:ascii="宋体" w:hAnsi="宋体"/>
          <w:color w:val="auto"/>
          <w:sz w:val="24"/>
          <w:highlight w:val="none"/>
        </w:rPr>
        <w:br w:type="page"/>
      </w:r>
      <w:r>
        <w:rPr>
          <w:rFonts w:ascii="宋体" w:hAnsi="宋体"/>
          <w:b/>
          <w:color w:val="auto"/>
          <w:sz w:val="24"/>
          <w:highlight w:val="none"/>
        </w:rPr>
        <w:t>附件：</w:t>
      </w:r>
    </w:p>
    <w:p w14:paraId="775FC944">
      <w:pPr>
        <w:keepNext w:val="0"/>
        <w:keepLines w:val="0"/>
        <w:pageBreakBefore w:val="0"/>
        <w:tabs>
          <w:tab w:val="left" w:pos="1965"/>
        </w:tabs>
        <w:bidi w:val="0"/>
        <w:spacing w:beforeAutospacing="0" w:afterAutospacing="0" w:line="440" w:lineRule="exact"/>
        <w:ind w:left="0" w:leftChars="0" w:right="0" w:rightChars="0"/>
        <w:rPr>
          <w:rFonts w:ascii="宋体" w:hAnsi="宋体"/>
          <w:color w:val="auto"/>
          <w:sz w:val="28"/>
          <w:szCs w:val="28"/>
          <w:highlight w:val="none"/>
        </w:rPr>
      </w:pPr>
      <w:r>
        <w:rPr>
          <w:rFonts w:hint="eastAsia" w:ascii="宋体" w:hAnsi="宋体"/>
          <w:color w:val="auto"/>
          <w:sz w:val="28"/>
          <w:szCs w:val="28"/>
          <w:highlight w:val="none"/>
        </w:rPr>
        <w:t>第一部分格式：</w:t>
      </w:r>
    </w:p>
    <w:p w14:paraId="437300B8">
      <w:pPr>
        <w:keepNext w:val="0"/>
        <w:keepLines w:val="0"/>
        <w:pageBreakBefore w:val="0"/>
        <w:tabs>
          <w:tab w:val="left" w:pos="1965"/>
        </w:tabs>
        <w:bidi w:val="0"/>
        <w:spacing w:beforeAutospacing="0" w:afterAutospacing="0" w:line="440" w:lineRule="exact"/>
        <w:ind w:left="0" w:leftChars="0" w:right="0" w:rightChars="0"/>
        <w:jc w:val="right"/>
        <w:rPr>
          <w:rFonts w:ascii="宋体" w:hAnsi="宋体"/>
          <w:color w:val="auto"/>
          <w:sz w:val="28"/>
          <w:szCs w:val="28"/>
          <w:highlight w:val="none"/>
        </w:rPr>
      </w:pPr>
      <w:r>
        <w:rPr>
          <w:rFonts w:hint="eastAsia" w:ascii="宋体" w:hAnsi="宋体"/>
          <w:color w:val="auto"/>
          <w:sz w:val="28"/>
          <w:szCs w:val="28"/>
          <w:highlight w:val="none"/>
        </w:rPr>
        <w:t>封面</w:t>
      </w:r>
    </w:p>
    <w:p w14:paraId="1FF35049">
      <w:pPr>
        <w:keepNext w:val="0"/>
        <w:keepLines w:val="0"/>
        <w:pageBreakBefore w:val="0"/>
        <w:tabs>
          <w:tab w:val="left" w:pos="2020"/>
          <w:tab w:val="center" w:pos="4535"/>
        </w:tabs>
        <w:bidi w:val="0"/>
        <w:spacing w:beforeAutospacing="0" w:afterAutospacing="0" w:line="440" w:lineRule="exact"/>
        <w:ind w:left="0" w:leftChars="0" w:right="0" w:rightChars="0" w:firstLine="280" w:firstLineChars="100"/>
        <w:rPr>
          <w:rFonts w:ascii="宋体" w:hAnsi="宋体"/>
          <w:color w:val="auto"/>
          <w:sz w:val="28"/>
          <w:szCs w:val="20"/>
          <w:highlight w:val="none"/>
        </w:rPr>
      </w:pPr>
    </w:p>
    <w:p w14:paraId="7DD21151">
      <w:pPr>
        <w:keepNext w:val="0"/>
        <w:keepLines w:val="0"/>
        <w:pageBreakBefore w:val="0"/>
        <w:tabs>
          <w:tab w:val="left" w:pos="2020"/>
          <w:tab w:val="center" w:pos="4535"/>
        </w:tabs>
        <w:bidi w:val="0"/>
        <w:spacing w:beforeAutospacing="0" w:afterAutospacing="0" w:line="440" w:lineRule="exact"/>
        <w:ind w:left="0" w:leftChars="0" w:right="0" w:rightChars="0" w:firstLine="280" w:firstLineChars="100"/>
        <w:rPr>
          <w:rFonts w:ascii="宋体" w:hAnsi="宋体"/>
          <w:color w:val="auto"/>
          <w:sz w:val="28"/>
          <w:szCs w:val="20"/>
          <w:highlight w:val="none"/>
        </w:rPr>
      </w:pPr>
    </w:p>
    <w:p w14:paraId="727B5E03">
      <w:pPr>
        <w:keepNext w:val="0"/>
        <w:keepLines w:val="0"/>
        <w:pageBreakBefore w:val="0"/>
        <w:tabs>
          <w:tab w:val="left" w:pos="159"/>
        </w:tabs>
        <w:bidi w:val="0"/>
        <w:spacing w:beforeAutospacing="0" w:afterAutospacing="0" w:line="440" w:lineRule="exact"/>
        <w:ind w:left="0" w:leftChars="0" w:right="0" w:rightChars="0"/>
        <w:rPr>
          <w:rFonts w:ascii="宋体" w:hAnsi="宋体"/>
          <w:color w:val="auto"/>
          <w:sz w:val="28"/>
          <w:szCs w:val="28"/>
          <w:highlight w:val="none"/>
        </w:rPr>
      </w:pPr>
    </w:p>
    <w:p w14:paraId="6D2A90B6">
      <w:pPr>
        <w:keepNext w:val="0"/>
        <w:keepLines w:val="0"/>
        <w:pageBreakBefore w:val="0"/>
        <w:bidi w:val="0"/>
        <w:spacing w:beforeAutospacing="0" w:afterAutospacing="0" w:line="440" w:lineRule="exact"/>
        <w:ind w:left="1918" w:leftChars="0" w:right="0" w:rightChars="0" w:hanging="1918" w:hangingChars="533"/>
        <w:rPr>
          <w:rFonts w:ascii="宋体" w:hAnsi="宋体"/>
          <w:color w:val="auto"/>
          <w:szCs w:val="21"/>
          <w:highlight w:val="none"/>
        </w:rPr>
      </w:pPr>
      <w:r>
        <w:rPr>
          <w:rFonts w:hint="eastAsia" w:ascii="宋体" w:hAnsi="宋体"/>
          <w:b/>
          <w:color w:val="auto"/>
          <w:sz w:val="36"/>
          <w:szCs w:val="36"/>
          <w:highlight w:val="none"/>
        </w:rPr>
        <w:t xml:space="preserve"> </w:t>
      </w:r>
      <w:r>
        <w:rPr>
          <w:rFonts w:ascii="宋体" w:hAnsi="宋体"/>
          <w:b/>
          <w:color w:val="auto"/>
          <w:sz w:val="36"/>
          <w:szCs w:val="36"/>
          <w:highlight w:val="none"/>
        </w:rPr>
        <w:t xml:space="preserve">        </w:t>
      </w:r>
      <w:r>
        <w:rPr>
          <w:rFonts w:ascii="宋体" w:hAnsi="宋体"/>
          <w:b/>
          <w:color w:val="auto"/>
          <w:sz w:val="36"/>
          <w:szCs w:val="36"/>
          <w:highlight w:val="none"/>
          <w:u w:val="single"/>
        </w:rPr>
        <w:t xml:space="preserve">        </w:t>
      </w:r>
      <w:r>
        <w:rPr>
          <w:rFonts w:hint="eastAsia" w:ascii="宋体" w:hAnsi="宋体"/>
          <w:b/>
          <w:bCs/>
          <w:color w:val="auto"/>
          <w:spacing w:val="-6"/>
          <w:sz w:val="30"/>
          <w:szCs w:val="30"/>
          <w:highlight w:val="none"/>
          <w:u w:val="single"/>
        </w:rPr>
        <w:t>（项目名称）</w:t>
      </w:r>
      <w:r>
        <w:rPr>
          <w:rFonts w:hint="eastAsia" w:ascii="宋体" w:hAnsi="宋体"/>
          <w:b/>
          <w:color w:val="auto"/>
          <w:sz w:val="30"/>
          <w:szCs w:val="30"/>
          <w:highlight w:val="none"/>
          <w:u w:val="singl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项目</w:t>
      </w:r>
    </w:p>
    <w:p w14:paraId="70CE2084">
      <w:pPr>
        <w:keepNext w:val="0"/>
        <w:keepLines w:val="0"/>
        <w:pageBreakBefore w:val="0"/>
        <w:bidi w:val="0"/>
        <w:spacing w:beforeAutospacing="0" w:afterAutospacing="0" w:line="440" w:lineRule="exact"/>
        <w:ind w:left="0" w:leftChars="0" w:right="0" w:rightChars="0"/>
        <w:jc w:val="center"/>
        <w:rPr>
          <w:rFonts w:ascii="宋体" w:hAnsi="宋体"/>
          <w:b/>
          <w:bCs/>
          <w:color w:val="auto"/>
          <w:sz w:val="44"/>
          <w:szCs w:val="44"/>
          <w:highlight w:val="none"/>
        </w:rPr>
      </w:pPr>
    </w:p>
    <w:p w14:paraId="68EDAB27">
      <w:pPr>
        <w:keepNext w:val="0"/>
        <w:keepLines w:val="0"/>
        <w:pageBreakBefore w:val="0"/>
        <w:bidi w:val="0"/>
        <w:spacing w:beforeAutospacing="0" w:afterAutospacing="0" w:line="440" w:lineRule="exact"/>
        <w:ind w:left="0" w:leftChars="0" w:right="0" w:rightChars="0"/>
        <w:jc w:val="center"/>
        <w:rPr>
          <w:rFonts w:ascii="宋体" w:hAnsi="宋体"/>
          <w:b/>
          <w:bCs/>
          <w:color w:val="auto"/>
          <w:sz w:val="30"/>
          <w:szCs w:val="30"/>
          <w:highlight w:val="none"/>
        </w:rPr>
      </w:pPr>
      <w:r>
        <w:rPr>
          <w:rFonts w:hint="eastAsia" w:ascii="宋体" w:hAnsi="宋体"/>
          <w:b/>
          <w:bCs/>
          <w:color w:val="auto"/>
          <w:sz w:val="30"/>
          <w:szCs w:val="30"/>
          <w:highlight w:val="none"/>
        </w:rPr>
        <w:t>投标文件</w:t>
      </w:r>
    </w:p>
    <w:p w14:paraId="1E2714AB">
      <w:pPr>
        <w:keepNext w:val="0"/>
        <w:keepLines w:val="0"/>
        <w:pageBreakBefore w:val="0"/>
        <w:bidi w:val="0"/>
        <w:spacing w:beforeAutospacing="0" w:afterAutospacing="0" w:line="440" w:lineRule="exact"/>
        <w:ind w:left="0" w:leftChars="0" w:right="0" w:rightChars="0"/>
        <w:jc w:val="center"/>
        <w:rPr>
          <w:rFonts w:ascii="宋体" w:hAnsi="宋体"/>
          <w:b/>
          <w:bCs/>
          <w:color w:val="auto"/>
          <w:sz w:val="30"/>
          <w:szCs w:val="30"/>
          <w:highlight w:val="none"/>
        </w:rPr>
      </w:pPr>
      <w:r>
        <w:rPr>
          <w:rFonts w:hint="eastAsia" w:ascii="宋体" w:hAnsi="宋体"/>
          <w:b/>
          <w:bCs/>
          <w:color w:val="auto"/>
          <w:sz w:val="30"/>
          <w:szCs w:val="30"/>
          <w:highlight w:val="none"/>
        </w:rPr>
        <w:t>（资格审查文件）</w:t>
      </w:r>
    </w:p>
    <w:p w14:paraId="28164A63">
      <w:pPr>
        <w:keepNext w:val="0"/>
        <w:keepLines w:val="0"/>
        <w:pageBreakBefore w:val="0"/>
        <w:bidi w:val="0"/>
        <w:spacing w:beforeAutospacing="0" w:afterAutospacing="0" w:line="440" w:lineRule="exact"/>
        <w:ind w:left="0" w:leftChars="0" w:right="0" w:rightChars="0"/>
        <w:jc w:val="center"/>
        <w:rPr>
          <w:rFonts w:ascii="宋体" w:hAnsi="宋体"/>
          <w:b/>
          <w:bCs/>
          <w:color w:val="auto"/>
          <w:sz w:val="72"/>
          <w:szCs w:val="72"/>
          <w:highlight w:val="none"/>
        </w:rPr>
      </w:pPr>
    </w:p>
    <w:p w14:paraId="7A307555">
      <w:pPr>
        <w:keepNext w:val="0"/>
        <w:keepLines w:val="0"/>
        <w:pageBreakBefore w:val="0"/>
        <w:bidi w:val="0"/>
        <w:spacing w:beforeAutospacing="0" w:afterAutospacing="0" w:line="440" w:lineRule="exact"/>
        <w:ind w:left="0" w:leftChars="0" w:right="0" w:rightChars="0"/>
        <w:jc w:val="center"/>
        <w:rPr>
          <w:rFonts w:ascii="宋体" w:hAnsi="宋体"/>
          <w:b/>
          <w:bCs/>
          <w:color w:val="auto"/>
          <w:sz w:val="72"/>
          <w:szCs w:val="72"/>
          <w:highlight w:val="none"/>
        </w:rPr>
      </w:pPr>
    </w:p>
    <w:p w14:paraId="113E32C4">
      <w:pPr>
        <w:keepNext w:val="0"/>
        <w:keepLines w:val="0"/>
        <w:pageBreakBefore w:val="0"/>
        <w:bidi w:val="0"/>
        <w:spacing w:beforeAutospacing="0" w:afterAutospacing="0" w:line="440" w:lineRule="exact"/>
        <w:ind w:left="0" w:leftChars="0" w:right="0" w:rightChars="0"/>
        <w:jc w:val="center"/>
        <w:rPr>
          <w:rFonts w:ascii="宋体" w:hAnsi="宋体"/>
          <w:b/>
          <w:bCs/>
          <w:color w:val="auto"/>
          <w:sz w:val="72"/>
          <w:szCs w:val="72"/>
          <w:highlight w:val="none"/>
        </w:rPr>
      </w:pPr>
    </w:p>
    <w:p w14:paraId="1E9E5A28">
      <w:pPr>
        <w:keepNext w:val="0"/>
        <w:keepLines w:val="0"/>
        <w:pageBreakBefore w:val="0"/>
        <w:tabs>
          <w:tab w:val="left" w:pos="2020"/>
          <w:tab w:val="center" w:pos="4535"/>
        </w:tabs>
        <w:bidi w:val="0"/>
        <w:spacing w:beforeAutospacing="0" w:afterAutospacing="0" w:line="440" w:lineRule="exact"/>
        <w:ind w:left="0" w:leftChars="0" w:right="0" w:rightChars="0" w:firstLine="280" w:firstLineChars="100"/>
        <w:rPr>
          <w:rFonts w:ascii="宋体" w:hAnsi="宋体"/>
          <w:color w:val="auto"/>
          <w:sz w:val="28"/>
          <w:szCs w:val="20"/>
          <w:highlight w:val="none"/>
        </w:rPr>
      </w:pPr>
    </w:p>
    <w:p w14:paraId="4E7BF683">
      <w:pPr>
        <w:keepNext w:val="0"/>
        <w:keepLines w:val="0"/>
        <w:pageBreakBefore w:val="0"/>
        <w:tabs>
          <w:tab w:val="left" w:pos="2020"/>
          <w:tab w:val="center" w:pos="4535"/>
        </w:tabs>
        <w:bidi w:val="0"/>
        <w:spacing w:beforeAutospacing="0" w:afterAutospacing="0" w:line="440" w:lineRule="exact"/>
        <w:ind w:left="0" w:leftChars="0" w:right="0" w:rightChars="0" w:firstLine="280" w:firstLineChars="100"/>
        <w:rPr>
          <w:rFonts w:ascii="宋体" w:hAnsi="宋体"/>
          <w:color w:val="auto"/>
          <w:sz w:val="28"/>
          <w:szCs w:val="20"/>
          <w:highlight w:val="none"/>
        </w:rPr>
      </w:pPr>
    </w:p>
    <w:p w14:paraId="3BB61E28">
      <w:pPr>
        <w:keepNext w:val="0"/>
        <w:keepLines w:val="0"/>
        <w:pageBreakBefore w:val="0"/>
        <w:bidi w:val="0"/>
        <w:spacing w:beforeAutospacing="0" w:afterAutospacing="0" w:line="440" w:lineRule="exact"/>
        <w:ind w:left="0" w:leftChars="0" w:right="0" w:rightChars="0" w:firstLine="600" w:firstLineChars="200"/>
        <w:rPr>
          <w:rFonts w:ascii="宋体" w:hAnsi="宋体"/>
          <w:b/>
          <w:color w:val="auto"/>
          <w:sz w:val="30"/>
          <w:szCs w:val="30"/>
          <w:highlight w:val="none"/>
        </w:rPr>
      </w:pPr>
      <w:r>
        <w:rPr>
          <w:rFonts w:hint="eastAsia" w:ascii="宋体" w:hAnsi="宋体"/>
          <w:b/>
          <w:color w:val="auto"/>
          <w:sz w:val="30"/>
          <w:szCs w:val="30"/>
          <w:highlight w:val="none"/>
        </w:rPr>
        <w:t>供应商（盖公章）：</w:t>
      </w:r>
      <w:r>
        <w:rPr>
          <w:rFonts w:hint="eastAsia" w:ascii="宋体" w:hAnsi="宋体"/>
          <w:b/>
          <w:color w:val="auto"/>
          <w:sz w:val="30"/>
          <w:szCs w:val="30"/>
          <w:highlight w:val="none"/>
          <w:u w:val="single"/>
        </w:rPr>
        <w:t xml:space="preserve">                                    </w:t>
      </w:r>
    </w:p>
    <w:p w14:paraId="46C6251B">
      <w:pPr>
        <w:keepNext w:val="0"/>
        <w:keepLines w:val="0"/>
        <w:pageBreakBefore w:val="0"/>
        <w:bidi w:val="0"/>
        <w:spacing w:beforeAutospacing="0" w:afterAutospacing="0" w:line="440" w:lineRule="exact"/>
        <w:ind w:left="0" w:leftChars="0" w:right="0" w:rightChars="0"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法定代表人（或委托授权代表）签字</w:t>
      </w:r>
      <w:bookmarkStart w:id="24" w:name="_Hlk81344630"/>
      <w:r>
        <w:rPr>
          <w:rFonts w:hint="eastAsia" w:ascii="宋体" w:hAnsi="宋体"/>
          <w:b/>
          <w:color w:val="auto"/>
          <w:sz w:val="30"/>
          <w:szCs w:val="30"/>
          <w:highlight w:val="none"/>
        </w:rPr>
        <w:t>（或盖章）</w:t>
      </w:r>
      <w:bookmarkEnd w:id="24"/>
      <w:r>
        <w:rPr>
          <w:rFonts w:hint="eastAsia" w:ascii="宋体" w:hAnsi="宋体"/>
          <w:b/>
          <w:color w:val="auto"/>
          <w:sz w:val="30"/>
          <w:szCs w:val="30"/>
          <w:highlight w:val="none"/>
        </w:rPr>
        <w:t>：</w:t>
      </w:r>
      <w:r>
        <w:rPr>
          <w:rFonts w:hint="eastAsia" w:ascii="宋体" w:hAnsi="宋体"/>
          <w:b/>
          <w:color w:val="auto"/>
          <w:sz w:val="30"/>
          <w:szCs w:val="30"/>
          <w:highlight w:val="none"/>
          <w:u w:val="single"/>
        </w:rPr>
        <w:t xml:space="preserve">          </w:t>
      </w:r>
    </w:p>
    <w:p w14:paraId="494AB0CC">
      <w:pPr>
        <w:keepNext w:val="0"/>
        <w:keepLines w:val="0"/>
        <w:pageBreakBefore w:val="0"/>
        <w:bidi w:val="0"/>
        <w:spacing w:beforeAutospacing="0" w:afterAutospacing="0" w:line="440" w:lineRule="exact"/>
        <w:ind w:left="0" w:leftChars="0" w:right="0" w:rightChars="0"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日    期：</w:t>
      </w:r>
      <w:r>
        <w:rPr>
          <w:rFonts w:hint="eastAsia" w:ascii="宋体" w:hAnsi="宋体"/>
          <w:b/>
          <w:color w:val="auto"/>
          <w:sz w:val="30"/>
          <w:szCs w:val="30"/>
          <w:highlight w:val="none"/>
          <w:u w:val="single"/>
        </w:rPr>
        <w:t xml:space="preserve">                                    </w:t>
      </w:r>
    </w:p>
    <w:p w14:paraId="6531BDA8">
      <w:pPr>
        <w:keepNext w:val="0"/>
        <w:keepLines w:val="0"/>
        <w:pageBreakBefore w:val="0"/>
        <w:bidi w:val="0"/>
        <w:spacing w:beforeAutospacing="0" w:afterAutospacing="0" w:line="440" w:lineRule="exact"/>
        <w:ind w:left="0" w:leftChars="0" w:right="0" w:rightChars="0"/>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一、关于资格文件的声明函</w:t>
      </w:r>
    </w:p>
    <w:p w14:paraId="36D6EABC">
      <w:pPr>
        <w:keepNext w:val="0"/>
        <w:keepLines w:val="0"/>
        <w:pageBreakBefore w:val="0"/>
        <w:bidi w:val="0"/>
        <w:spacing w:beforeAutospacing="0" w:afterAutospacing="0" w:line="440" w:lineRule="exact"/>
        <w:ind w:left="0" w:leftChars="0" w:right="0" w:rightChars="0"/>
        <w:jc w:val="center"/>
        <w:rPr>
          <w:rFonts w:hint="eastAsia" w:ascii="宋体" w:hAnsi="宋体"/>
          <w:b/>
          <w:bCs/>
          <w:color w:val="auto"/>
          <w:sz w:val="28"/>
          <w:szCs w:val="28"/>
          <w:highlight w:val="none"/>
        </w:rPr>
      </w:pPr>
    </w:p>
    <w:p w14:paraId="62A58653">
      <w:pPr>
        <w:keepNext w:val="0"/>
        <w:keepLines w:val="0"/>
        <w:pageBreakBefore w:val="0"/>
        <w:bidi w:val="0"/>
        <w:snapToGrid w:val="0"/>
        <w:spacing w:beforeAutospacing="0" w:afterAutospacing="0" w:line="440" w:lineRule="exact"/>
        <w:ind w:left="0" w:leftChars="0" w:right="0" w:rightChars="0"/>
        <w:rPr>
          <w:rFonts w:ascii="宋体" w:hAnsi="宋体"/>
          <w:color w:val="auto"/>
          <w:sz w:val="24"/>
          <w:highlight w:val="none"/>
          <w:u w:val="single"/>
        </w:rPr>
      </w:pPr>
      <w:r>
        <w:rPr>
          <w:rFonts w:hint="eastAsia" w:ascii="宋体" w:hAnsi="宋体"/>
          <w:color w:val="auto"/>
          <w:sz w:val="24"/>
          <w:highlight w:val="none"/>
          <w:u w:val="single"/>
        </w:rPr>
        <w:t>南通市通吕运河水利工程管理所</w:t>
      </w:r>
      <w:r>
        <w:rPr>
          <w:rFonts w:ascii="宋体" w:hAnsi="宋体"/>
          <w:color w:val="auto"/>
          <w:sz w:val="24"/>
          <w:highlight w:val="none"/>
          <w:u w:val="single"/>
        </w:rPr>
        <w:t>：</w:t>
      </w:r>
    </w:p>
    <w:p w14:paraId="167D65A1">
      <w:pPr>
        <w:keepNext w:val="0"/>
        <w:keepLines w:val="0"/>
        <w:pageBreakBefore w:val="0"/>
        <w:overflowPunct w:val="0"/>
        <w:bidi w:val="0"/>
        <w:adjustRightInd w:val="0"/>
        <w:spacing w:beforeAutospacing="0" w:afterAutospacing="0" w:line="440" w:lineRule="exact"/>
        <w:ind w:left="0" w:leftChars="0" w:right="0" w:rightChars="0" w:firstLine="660"/>
        <w:jc w:val="left"/>
        <w:textAlignment w:val="baseline"/>
        <w:rPr>
          <w:rFonts w:ascii="宋体" w:hAnsi="宋体"/>
          <w:color w:val="auto"/>
          <w:sz w:val="24"/>
          <w:highlight w:val="none"/>
        </w:rPr>
      </w:pPr>
      <w:r>
        <w:rPr>
          <w:rFonts w:ascii="宋体" w:hAnsi="宋体"/>
          <w:color w:val="auto"/>
          <w:sz w:val="24"/>
          <w:highlight w:val="none"/>
        </w:rPr>
        <w:t>本公司愿就由贵单位组织实施的</w:t>
      </w:r>
      <w:r>
        <w:rPr>
          <w:rFonts w:ascii="宋体" w:hAnsi="宋体"/>
          <w:color w:val="auto"/>
          <w:sz w:val="24"/>
          <w:highlight w:val="none"/>
          <w:u w:val="single"/>
        </w:rPr>
        <w:t xml:space="preserve">                        </w:t>
      </w:r>
      <w:r>
        <w:rPr>
          <w:rFonts w:ascii="宋体" w:hAnsi="宋体"/>
          <w:color w:val="auto"/>
          <w:sz w:val="24"/>
          <w:highlight w:val="none"/>
        </w:rPr>
        <w:t>（项目名称）的采购活动进行投标响应。本公司所提交的投标响应文件中所有关于资格响应的文件、证明和陈述均是真实的、准确的。若与真实情况不符，本公司愿意承担由此而产生的一切后果。</w:t>
      </w:r>
    </w:p>
    <w:p w14:paraId="0464935D">
      <w:pPr>
        <w:keepNext w:val="0"/>
        <w:keepLines w:val="0"/>
        <w:pageBreakBefore w:val="0"/>
        <w:overflowPunct w:val="0"/>
        <w:bidi w:val="0"/>
        <w:adjustRightInd w:val="0"/>
        <w:spacing w:beforeAutospacing="0" w:afterAutospacing="0" w:line="440" w:lineRule="exact"/>
        <w:ind w:left="0" w:leftChars="0" w:right="0" w:rightChars="0" w:firstLine="420"/>
        <w:jc w:val="left"/>
        <w:textAlignment w:val="baseline"/>
        <w:rPr>
          <w:rFonts w:ascii="宋体" w:hAnsi="宋体"/>
          <w:color w:val="auto"/>
          <w:sz w:val="24"/>
          <w:highlight w:val="none"/>
        </w:rPr>
      </w:pPr>
    </w:p>
    <w:p w14:paraId="4A9E3041">
      <w:pPr>
        <w:keepNext w:val="0"/>
        <w:keepLines w:val="0"/>
        <w:pageBreakBefore w:val="0"/>
        <w:overflowPunct w:val="0"/>
        <w:bidi w:val="0"/>
        <w:adjustRightInd w:val="0"/>
        <w:spacing w:beforeAutospacing="0" w:afterAutospacing="0" w:line="440" w:lineRule="exact"/>
        <w:ind w:left="0" w:leftChars="0" w:right="0" w:rightChars="0" w:firstLine="420"/>
        <w:jc w:val="left"/>
        <w:textAlignment w:val="baseline"/>
        <w:rPr>
          <w:rFonts w:ascii="宋体" w:hAnsi="宋体"/>
          <w:color w:val="auto"/>
          <w:sz w:val="24"/>
          <w:highlight w:val="none"/>
        </w:rPr>
      </w:pPr>
    </w:p>
    <w:p w14:paraId="21A6933A">
      <w:pPr>
        <w:keepNext w:val="0"/>
        <w:keepLines w:val="0"/>
        <w:pageBreakBefore w:val="0"/>
        <w:bidi w:val="0"/>
        <w:snapToGrid w:val="0"/>
        <w:spacing w:beforeAutospacing="0" w:afterAutospacing="0" w:line="440" w:lineRule="exact"/>
        <w:ind w:left="0" w:leftChars="0" w:right="0" w:rightChars="0"/>
        <w:jc w:val="right"/>
        <w:rPr>
          <w:rFonts w:ascii="宋体" w:hAnsi="宋体"/>
          <w:color w:val="auto"/>
          <w:sz w:val="24"/>
          <w:highlight w:val="none"/>
        </w:rPr>
      </w:pPr>
      <w:r>
        <w:rPr>
          <w:rFonts w:ascii="宋体" w:hAnsi="宋体"/>
          <w:color w:val="auto"/>
          <w:sz w:val="24"/>
          <w:highlight w:val="none"/>
        </w:rPr>
        <w:t>投标单位：</w:t>
      </w:r>
      <w:r>
        <w:rPr>
          <w:rFonts w:ascii="宋体" w:hAnsi="宋体"/>
          <w:color w:val="auto"/>
          <w:sz w:val="24"/>
          <w:highlight w:val="none"/>
          <w:u w:val="single"/>
        </w:rPr>
        <w:t xml:space="preserve">                    </w:t>
      </w:r>
      <w:r>
        <w:rPr>
          <w:rFonts w:ascii="宋体" w:hAnsi="宋体"/>
          <w:color w:val="auto"/>
          <w:sz w:val="24"/>
          <w:highlight w:val="none"/>
        </w:rPr>
        <w:t>（加盖公章）</w:t>
      </w:r>
    </w:p>
    <w:p w14:paraId="0A0BC606">
      <w:pPr>
        <w:keepNext w:val="0"/>
        <w:keepLines w:val="0"/>
        <w:pageBreakBefore w:val="0"/>
        <w:bidi w:val="0"/>
        <w:snapToGrid w:val="0"/>
        <w:spacing w:beforeAutospacing="0" w:afterAutospacing="0" w:line="440" w:lineRule="exact"/>
        <w:ind w:left="0" w:leftChars="0" w:right="0" w:rightChars="0" w:firstLine="2400" w:firstLineChars="1000"/>
        <w:jc w:val="right"/>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012473C3">
      <w:pPr>
        <w:keepNext w:val="0"/>
        <w:keepLines w:val="0"/>
        <w:pageBreakBefore w:val="0"/>
        <w:bidi w:val="0"/>
        <w:snapToGrid w:val="0"/>
        <w:spacing w:beforeAutospacing="0" w:afterAutospacing="0" w:line="440" w:lineRule="exact"/>
        <w:ind w:left="0" w:leftChars="0" w:right="0" w:rightChars="0"/>
        <w:jc w:val="righ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年      月     日</w:t>
      </w:r>
    </w:p>
    <w:p w14:paraId="468E5050">
      <w:pPr>
        <w:keepNext w:val="0"/>
        <w:keepLines w:val="0"/>
        <w:pageBreakBefore w:val="0"/>
        <w:bidi w:val="0"/>
        <w:spacing w:beforeAutospacing="0" w:afterAutospacing="0" w:line="440" w:lineRule="exact"/>
        <w:ind w:left="0" w:leftChars="0" w:right="0" w:rightChars="0"/>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二、法定代表人身份证明</w:t>
      </w:r>
    </w:p>
    <w:p w14:paraId="3DBEF719">
      <w:pPr>
        <w:keepNext w:val="0"/>
        <w:keepLines w:val="0"/>
        <w:pageBreakBefore w:val="0"/>
        <w:bidi w:val="0"/>
        <w:spacing w:beforeAutospacing="0" w:afterAutospacing="0" w:line="440" w:lineRule="exact"/>
        <w:ind w:left="0" w:leftChars="0" w:right="0" w:rightChars="0"/>
        <w:jc w:val="center"/>
        <w:rPr>
          <w:rFonts w:hint="eastAsia" w:ascii="宋体" w:hAnsi="宋体"/>
          <w:b/>
          <w:bCs/>
          <w:color w:val="auto"/>
          <w:sz w:val="28"/>
          <w:szCs w:val="28"/>
          <w:highlight w:val="none"/>
        </w:rPr>
      </w:pPr>
    </w:p>
    <w:p w14:paraId="3CC34BB4">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hint="eastAsia" w:ascii="宋体" w:hAnsi="宋体"/>
          <w:color w:val="auto"/>
          <w:sz w:val="24"/>
          <w:highlight w:val="none"/>
          <w:u w:val="single"/>
        </w:rPr>
        <w:t>南通市通吕运河水利工程管理所</w:t>
      </w:r>
      <w:r>
        <w:rPr>
          <w:rFonts w:ascii="宋体" w:hAnsi="宋体"/>
          <w:color w:val="auto"/>
          <w:sz w:val="24"/>
          <w:highlight w:val="none"/>
        </w:rPr>
        <w:t xml:space="preserve">： </w:t>
      </w:r>
    </w:p>
    <w:p w14:paraId="32A4A4A5">
      <w:pPr>
        <w:keepNext w:val="0"/>
        <w:keepLines w:val="0"/>
        <w:pageBreakBefore w:val="0"/>
        <w:bidi w:val="0"/>
        <w:spacing w:beforeAutospacing="0" w:afterAutospacing="0" w:line="440" w:lineRule="exact"/>
        <w:ind w:left="0" w:leftChars="0" w:right="0" w:rightChars="0" w:firstLine="480" w:firstLineChars="200"/>
        <w:rPr>
          <w:rFonts w:ascii="宋体" w:hAnsi="宋体"/>
          <w:color w:val="auto"/>
          <w:sz w:val="24"/>
          <w:highlight w:val="none"/>
        </w:rPr>
      </w:pPr>
      <w:r>
        <w:rPr>
          <w:rFonts w:ascii="宋体" w:hAnsi="宋体"/>
          <w:color w:val="auto"/>
          <w:sz w:val="24"/>
          <w:highlight w:val="none"/>
        </w:rPr>
        <w:t>我公司法定代表人</w:t>
      </w:r>
      <w:r>
        <w:rPr>
          <w:rFonts w:ascii="宋体" w:hAnsi="宋体"/>
          <w:color w:val="auto"/>
          <w:sz w:val="24"/>
          <w:highlight w:val="none"/>
          <w:u w:val="single"/>
        </w:rPr>
        <w:t xml:space="preserve">     　　　   </w:t>
      </w:r>
      <w:r>
        <w:rPr>
          <w:rFonts w:ascii="宋体" w:hAnsi="宋体"/>
          <w:color w:val="auto"/>
          <w:sz w:val="24"/>
          <w:highlight w:val="none"/>
        </w:rPr>
        <w:t>参加贵单位组织的</w:t>
      </w:r>
      <w:r>
        <w:rPr>
          <w:rFonts w:ascii="宋体" w:hAnsi="宋体"/>
          <w:color w:val="auto"/>
          <w:sz w:val="24"/>
          <w:highlight w:val="none"/>
          <w:u w:val="single"/>
        </w:rPr>
        <w:t xml:space="preserve">     </w:t>
      </w:r>
      <w:r>
        <w:rPr>
          <w:rFonts w:ascii="宋体" w:hAnsi="宋体"/>
          <w:color w:val="auto"/>
          <w:sz w:val="24"/>
          <w:highlight w:val="none"/>
        </w:rPr>
        <w:t>（采购项目名称）项目公开招标采购活动，全权代表我公司处理投标的有关事宜。</w:t>
      </w:r>
    </w:p>
    <w:p w14:paraId="38012A2C">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附：法定代表人情况：</w:t>
      </w:r>
    </w:p>
    <w:p w14:paraId="68B56AFA">
      <w:pPr>
        <w:keepNext w:val="0"/>
        <w:keepLines w:val="0"/>
        <w:pageBreakBefore w:val="0"/>
        <w:bidi w:val="0"/>
        <w:spacing w:beforeAutospacing="0" w:afterAutospacing="0" w:line="440" w:lineRule="exact"/>
        <w:ind w:left="0" w:leftChars="0" w:right="0" w:rightChars="0"/>
        <w:rPr>
          <w:rFonts w:ascii="宋体" w:hAnsi="宋体"/>
          <w:color w:val="auto"/>
          <w:sz w:val="24"/>
          <w:highlight w:val="none"/>
          <w:u w:val="single"/>
        </w:rPr>
      </w:pP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ascii="宋体" w:hAnsi="宋体"/>
          <w:color w:val="auto"/>
          <w:sz w:val="24"/>
          <w:highlight w:val="none"/>
          <w:u w:val="single"/>
        </w:rPr>
        <w:t xml:space="preserve">    </w:t>
      </w:r>
      <w:r>
        <w:rPr>
          <w:rFonts w:ascii="宋体" w:hAnsi="宋体"/>
          <w:color w:val="auto"/>
          <w:sz w:val="24"/>
          <w:highlight w:val="none"/>
        </w:rPr>
        <w:t>年龄：</w:t>
      </w:r>
      <w:r>
        <w:rPr>
          <w:rFonts w:ascii="宋体" w:hAnsi="宋体"/>
          <w:color w:val="auto"/>
          <w:sz w:val="24"/>
          <w:highlight w:val="none"/>
          <w:u w:val="single"/>
        </w:rPr>
        <w:t xml:space="preserve">      </w:t>
      </w:r>
      <w:r>
        <w:rPr>
          <w:rFonts w:ascii="宋体" w:hAnsi="宋体"/>
          <w:color w:val="auto"/>
          <w:sz w:val="24"/>
          <w:highlight w:val="none"/>
        </w:rPr>
        <w:t>职务：</w:t>
      </w:r>
      <w:r>
        <w:rPr>
          <w:rFonts w:ascii="宋体" w:hAnsi="宋体"/>
          <w:color w:val="auto"/>
          <w:sz w:val="24"/>
          <w:highlight w:val="none"/>
          <w:u w:val="single"/>
        </w:rPr>
        <w:t xml:space="preserve">          </w:t>
      </w:r>
    </w:p>
    <w:p w14:paraId="4DF2E750">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身份证号码：</w:t>
      </w:r>
      <w:r>
        <w:rPr>
          <w:rFonts w:ascii="宋体" w:hAnsi="宋体"/>
          <w:color w:val="auto"/>
          <w:sz w:val="24"/>
          <w:highlight w:val="none"/>
          <w:u w:val="single"/>
        </w:rPr>
        <w:t xml:space="preserve">                                          </w:t>
      </w:r>
    </w:p>
    <w:p w14:paraId="2C3A3E24">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手机：</w:t>
      </w:r>
      <w:r>
        <w:rPr>
          <w:rFonts w:ascii="宋体" w:hAnsi="宋体"/>
          <w:color w:val="auto"/>
          <w:sz w:val="24"/>
          <w:highlight w:val="none"/>
          <w:u w:val="single"/>
        </w:rPr>
        <w:t xml:space="preserve">                 </w:t>
      </w:r>
      <w:r>
        <w:rPr>
          <w:rFonts w:ascii="宋体" w:hAnsi="宋体"/>
          <w:color w:val="auto"/>
          <w:sz w:val="24"/>
          <w:highlight w:val="none"/>
        </w:rPr>
        <w:t>传真：</w:t>
      </w:r>
      <w:r>
        <w:rPr>
          <w:rFonts w:ascii="宋体" w:hAnsi="宋体"/>
          <w:color w:val="auto"/>
          <w:sz w:val="24"/>
          <w:highlight w:val="none"/>
          <w:u w:val="single"/>
        </w:rPr>
        <w:t xml:space="preserve">                         </w:t>
      </w:r>
    </w:p>
    <w:p w14:paraId="6024D4E0">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p>
    <w:p w14:paraId="79BEE779">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 xml:space="preserve">单位名称（公章）             法定代表人（签字或盖章） </w:t>
      </w:r>
    </w:p>
    <w:p w14:paraId="5D2D94AC">
      <w:pPr>
        <w:keepNext w:val="0"/>
        <w:keepLines w:val="0"/>
        <w:pageBreakBefore w:val="0"/>
        <w:bidi w:val="0"/>
        <w:spacing w:beforeAutospacing="0" w:afterAutospacing="0" w:line="440" w:lineRule="exact"/>
        <w:ind w:left="0" w:leftChars="0" w:right="0" w:rightChars="0" w:firstLine="1200" w:firstLineChars="500"/>
        <w:rPr>
          <w:rFonts w:ascii="宋体" w:hAnsi="宋体"/>
          <w:color w:val="auto"/>
          <w:sz w:val="24"/>
          <w:highlight w:val="none"/>
        </w:rPr>
      </w:pPr>
      <w:r>
        <w:rPr>
          <w:rFonts w:ascii="宋体" w:hAnsi="宋体"/>
          <w:color w:val="auto"/>
          <w:sz w:val="24"/>
          <w:highlight w:val="none"/>
        </w:rPr>
        <w:t xml:space="preserve">年   月   日                 年   月    日  </w:t>
      </w:r>
    </w:p>
    <w:p w14:paraId="77C4EF67">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法定代表人身份证复印件</w:t>
      </w:r>
    </w:p>
    <w:p w14:paraId="1846D138">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 xml:space="preserve"> </w:t>
      </w:r>
    </w:p>
    <w:p w14:paraId="641B5DC4">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p>
    <w:p w14:paraId="5E5C58BE">
      <w:pPr>
        <w:keepNext w:val="0"/>
        <w:keepLines w:val="0"/>
        <w:pageBreakBefore w:val="0"/>
        <w:bidi w:val="0"/>
        <w:spacing w:beforeAutospacing="0" w:afterAutospacing="0" w:line="440" w:lineRule="exact"/>
        <w:ind w:left="0" w:leftChars="0" w:right="0" w:rightChars="0" w:firstLine="3120" w:firstLineChars="1300"/>
        <w:rPr>
          <w:rFonts w:ascii="宋体" w:hAnsi="宋体"/>
          <w:color w:val="auto"/>
          <w:sz w:val="24"/>
          <w:highlight w:val="none"/>
        </w:rPr>
      </w:pPr>
      <w:r>
        <w:rPr>
          <w:rFonts w:ascii="宋体" w:hAnsi="宋体"/>
          <w:color w:val="auto"/>
          <w:sz w:val="24"/>
          <w:highlight w:val="none"/>
        </w:rPr>
        <w:t>（粘贴此处）</w:t>
      </w:r>
    </w:p>
    <w:p w14:paraId="7E942317">
      <w:pPr>
        <w:keepNext w:val="0"/>
        <w:keepLines w:val="0"/>
        <w:pageBreakBefore w:val="0"/>
        <w:bidi w:val="0"/>
        <w:spacing w:beforeAutospacing="0" w:afterAutospacing="0" w:line="440" w:lineRule="exact"/>
        <w:ind w:left="0" w:leftChars="0" w:right="0" w:rightChars="0" w:firstLine="2280" w:firstLineChars="950"/>
        <w:rPr>
          <w:rFonts w:ascii="宋体" w:hAnsi="宋体"/>
          <w:b/>
          <w:bCs/>
          <w:color w:val="auto"/>
          <w:sz w:val="24"/>
          <w:highlight w:val="none"/>
        </w:rPr>
      </w:pPr>
    </w:p>
    <w:p w14:paraId="76B311AE">
      <w:pPr>
        <w:keepNext w:val="0"/>
        <w:keepLines w:val="0"/>
        <w:pageBreakBefore w:val="0"/>
        <w:bidi w:val="0"/>
        <w:spacing w:beforeAutospacing="0" w:afterAutospacing="0" w:line="440" w:lineRule="exact"/>
        <w:ind w:left="0" w:leftChars="0" w:right="0" w:rightChars="0" w:firstLine="2280" w:firstLineChars="950"/>
        <w:rPr>
          <w:rFonts w:ascii="宋体" w:hAnsi="宋体"/>
          <w:b/>
          <w:bCs/>
          <w:color w:val="auto"/>
          <w:sz w:val="24"/>
          <w:highlight w:val="none"/>
        </w:rPr>
      </w:pPr>
    </w:p>
    <w:p w14:paraId="174C8E8B">
      <w:pPr>
        <w:keepNext w:val="0"/>
        <w:keepLines w:val="0"/>
        <w:pageBreakBefore w:val="0"/>
        <w:bidi w:val="0"/>
        <w:spacing w:beforeAutospacing="0" w:afterAutospacing="0" w:line="440" w:lineRule="exact"/>
        <w:ind w:left="0" w:leftChars="0" w:right="0" w:rightChars="0" w:firstLine="480" w:firstLineChars="200"/>
        <w:rPr>
          <w:rFonts w:ascii="宋体" w:hAnsi="宋体"/>
          <w:b/>
          <w:bCs/>
          <w:color w:val="auto"/>
          <w:sz w:val="24"/>
          <w:highlight w:val="none"/>
        </w:rPr>
      </w:pPr>
      <w:r>
        <w:rPr>
          <w:rFonts w:ascii="宋体" w:hAnsi="宋体"/>
          <w:b/>
          <w:bCs/>
          <w:color w:val="auto"/>
          <w:sz w:val="24"/>
          <w:highlight w:val="none"/>
        </w:rPr>
        <w:t>注: 法定代表人参加投标时将身份证带至招标现场备查。</w:t>
      </w:r>
    </w:p>
    <w:p w14:paraId="7F60CFE6">
      <w:pPr>
        <w:keepNext w:val="0"/>
        <w:keepLines w:val="0"/>
        <w:pageBreakBefore w:val="0"/>
        <w:bidi w:val="0"/>
        <w:spacing w:beforeAutospacing="0" w:afterAutospacing="0" w:line="440" w:lineRule="exact"/>
        <w:ind w:left="0" w:leftChars="0" w:right="0" w:rightChars="0"/>
        <w:rPr>
          <w:rFonts w:ascii="宋体" w:hAnsi="宋体"/>
          <w:b/>
          <w:bCs/>
          <w:color w:val="auto"/>
          <w:sz w:val="24"/>
          <w:highlight w:val="none"/>
        </w:rPr>
      </w:pPr>
    </w:p>
    <w:p w14:paraId="5C60DDFD">
      <w:pPr>
        <w:keepNext w:val="0"/>
        <w:keepLines w:val="0"/>
        <w:pageBreakBefore w:val="0"/>
        <w:bidi w:val="0"/>
        <w:spacing w:beforeAutospacing="0" w:afterAutospacing="0" w:line="440" w:lineRule="exact"/>
        <w:ind w:left="0" w:leftChars="0" w:right="0" w:rightChars="0"/>
        <w:jc w:val="center"/>
        <w:rPr>
          <w:rFonts w:ascii="宋体" w:hAnsi="宋体"/>
          <w:b/>
          <w:bCs/>
          <w:color w:val="auto"/>
          <w:sz w:val="28"/>
          <w:szCs w:val="28"/>
          <w:highlight w:val="none"/>
        </w:rPr>
      </w:pPr>
      <w:r>
        <w:rPr>
          <w:rFonts w:ascii="宋体" w:hAnsi="宋体"/>
          <w:b/>
          <w:bCs/>
          <w:color w:val="auto"/>
          <w:sz w:val="24"/>
          <w:highlight w:val="none"/>
        </w:rPr>
        <w:br w:type="page"/>
      </w:r>
      <w:r>
        <w:rPr>
          <w:rFonts w:ascii="宋体" w:hAnsi="宋体"/>
          <w:b/>
          <w:bCs/>
          <w:color w:val="auto"/>
          <w:sz w:val="28"/>
          <w:szCs w:val="28"/>
          <w:highlight w:val="none"/>
        </w:rPr>
        <w:t>三、授权委托书</w:t>
      </w:r>
    </w:p>
    <w:p w14:paraId="6CB5B2EF">
      <w:pPr>
        <w:keepNext w:val="0"/>
        <w:keepLines w:val="0"/>
        <w:pageBreakBefore w:val="0"/>
        <w:bidi w:val="0"/>
        <w:spacing w:beforeAutospacing="0" w:afterAutospacing="0" w:line="440" w:lineRule="exact"/>
        <w:ind w:left="0" w:leftChars="0" w:right="0" w:rightChars="0" w:firstLine="480" w:firstLineChars="200"/>
        <w:jc w:val="left"/>
        <w:rPr>
          <w:rFonts w:ascii="宋体" w:hAnsi="宋体"/>
          <w:b/>
          <w:bCs/>
          <w:color w:val="auto"/>
          <w:sz w:val="24"/>
          <w:highlight w:val="none"/>
        </w:rPr>
      </w:pPr>
    </w:p>
    <w:p w14:paraId="7C10CB6A">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hint="eastAsia" w:ascii="宋体" w:hAnsi="宋体"/>
          <w:color w:val="auto"/>
          <w:sz w:val="24"/>
          <w:highlight w:val="none"/>
          <w:u w:val="single"/>
        </w:rPr>
        <w:t>南通市通吕运河水利工程管理所</w:t>
      </w:r>
      <w:r>
        <w:rPr>
          <w:rFonts w:ascii="宋体" w:hAnsi="宋体"/>
          <w:color w:val="auto"/>
          <w:sz w:val="24"/>
          <w:highlight w:val="none"/>
        </w:rPr>
        <w:t xml:space="preserve">： </w:t>
      </w:r>
    </w:p>
    <w:p w14:paraId="3BF8E12C">
      <w:pPr>
        <w:keepNext w:val="0"/>
        <w:keepLines w:val="0"/>
        <w:pageBreakBefore w:val="0"/>
        <w:bidi w:val="0"/>
        <w:spacing w:beforeAutospacing="0" w:afterAutospacing="0" w:line="440" w:lineRule="exact"/>
        <w:ind w:left="0" w:leftChars="0" w:right="0" w:rightChars="0" w:firstLine="720" w:firstLineChars="300"/>
        <w:jc w:val="left"/>
        <w:rPr>
          <w:rFonts w:ascii="宋体" w:hAnsi="宋体"/>
          <w:color w:val="auto"/>
          <w:sz w:val="24"/>
          <w:highlight w:val="none"/>
        </w:rPr>
      </w:pPr>
      <w:r>
        <w:rPr>
          <w:rFonts w:ascii="宋体" w:hAnsi="宋体"/>
          <w:color w:val="auto"/>
          <w:sz w:val="24"/>
          <w:highlight w:val="none"/>
        </w:rPr>
        <w:t>兹授权</w:t>
      </w:r>
      <w:r>
        <w:rPr>
          <w:rFonts w:ascii="宋体" w:hAnsi="宋体"/>
          <w:color w:val="auto"/>
          <w:sz w:val="24"/>
          <w:highlight w:val="none"/>
          <w:u w:val="single"/>
        </w:rPr>
        <w:t xml:space="preserve">         </w:t>
      </w:r>
      <w:r>
        <w:rPr>
          <w:rFonts w:ascii="宋体" w:hAnsi="宋体"/>
          <w:color w:val="auto"/>
          <w:sz w:val="24"/>
          <w:highlight w:val="none"/>
        </w:rPr>
        <w:t>（被授权人的姓名）代表我公司参加</w:t>
      </w:r>
      <w:r>
        <w:rPr>
          <w:rFonts w:ascii="宋体" w:hAnsi="宋体"/>
          <w:color w:val="auto"/>
          <w:sz w:val="24"/>
          <w:highlight w:val="none"/>
          <w:u w:val="single"/>
        </w:rPr>
        <w:t xml:space="preserve">             </w:t>
      </w:r>
      <w:r>
        <w:rPr>
          <w:rFonts w:ascii="宋体" w:hAnsi="宋体"/>
          <w:color w:val="auto"/>
          <w:sz w:val="24"/>
          <w:highlight w:val="none"/>
        </w:rPr>
        <w:t>项目的政府采购活动，全权处理一切与该项目公开招标有关的事务。其在办理上述事宜过程中所签署的所有文件我公司均予以承认。</w:t>
      </w:r>
    </w:p>
    <w:p w14:paraId="63F82B1C">
      <w:pPr>
        <w:keepNext w:val="0"/>
        <w:keepLines w:val="0"/>
        <w:pageBreakBefore w:val="0"/>
        <w:bidi w:val="0"/>
        <w:spacing w:beforeAutospacing="0" w:afterAutospacing="0" w:line="440" w:lineRule="exact"/>
        <w:ind w:left="0" w:leftChars="0" w:right="0" w:rightChars="0" w:firstLine="720" w:firstLineChars="300"/>
        <w:jc w:val="left"/>
        <w:rPr>
          <w:rFonts w:ascii="宋体" w:hAnsi="宋体"/>
          <w:color w:val="auto"/>
          <w:sz w:val="24"/>
          <w:highlight w:val="none"/>
        </w:rPr>
      </w:pPr>
      <w:r>
        <w:rPr>
          <w:rFonts w:ascii="宋体" w:hAnsi="宋体"/>
          <w:color w:val="auto"/>
          <w:sz w:val="24"/>
          <w:highlight w:val="none"/>
        </w:rPr>
        <w:t xml:space="preserve">被授权人无转委托权。特此委托。  </w:t>
      </w:r>
    </w:p>
    <w:p w14:paraId="2605E2FE">
      <w:pPr>
        <w:keepNext w:val="0"/>
        <w:keepLines w:val="0"/>
        <w:pageBreakBefore w:val="0"/>
        <w:bidi w:val="0"/>
        <w:snapToGrid w:val="0"/>
        <w:spacing w:beforeAutospacing="0" w:afterAutospacing="0" w:line="440" w:lineRule="exact"/>
        <w:ind w:left="0" w:leftChars="0" w:right="0" w:rightChars="0" w:firstLine="480" w:firstLineChars="200"/>
        <w:rPr>
          <w:rFonts w:ascii="宋体" w:hAnsi="宋体"/>
          <w:color w:val="auto"/>
          <w:sz w:val="24"/>
          <w:highlight w:val="none"/>
        </w:rPr>
      </w:pPr>
    </w:p>
    <w:p w14:paraId="7F8EC0C8">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 xml:space="preserve">附：被授权人情况：  </w:t>
      </w:r>
    </w:p>
    <w:p w14:paraId="4130DDFF">
      <w:pPr>
        <w:keepNext w:val="0"/>
        <w:keepLines w:val="0"/>
        <w:pageBreakBefore w:val="0"/>
        <w:bidi w:val="0"/>
        <w:spacing w:beforeAutospacing="0" w:afterAutospacing="0" w:line="440" w:lineRule="exact"/>
        <w:ind w:left="0" w:leftChars="0" w:right="0" w:rightChars="0"/>
        <w:rPr>
          <w:rFonts w:ascii="宋体" w:hAnsi="宋体"/>
          <w:color w:val="auto"/>
          <w:sz w:val="24"/>
          <w:highlight w:val="none"/>
          <w:u w:val="single"/>
        </w:rPr>
      </w:pP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ascii="宋体" w:hAnsi="宋体"/>
          <w:color w:val="auto"/>
          <w:sz w:val="24"/>
          <w:highlight w:val="none"/>
          <w:u w:val="single"/>
        </w:rPr>
        <w:t xml:space="preserve">    </w:t>
      </w:r>
      <w:r>
        <w:rPr>
          <w:rFonts w:ascii="宋体" w:hAnsi="宋体"/>
          <w:color w:val="auto"/>
          <w:sz w:val="24"/>
          <w:highlight w:val="none"/>
        </w:rPr>
        <w:t>年龄：</w:t>
      </w:r>
      <w:r>
        <w:rPr>
          <w:rFonts w:ascii="宋体" w:hAnsi="宋体"/>
          <w:color w:val="auto"/>
          <w:sz w:val="24"/>
          <w:highlight w:val="none"/>
          <w:u w:val="single"/>
        </w:rPr>
        <w:t xml:space="preserve">      </w:t>
      </w:r>
      <w:r>
        <w:rPr>
          <w:rFonts w:ascii="宋体" w:hAnsi="宋体"/>
          <w:color w:val="auto"/>
          <w:sz w:val="24"/>
          <w:highlight w:val="none"/>
        </w:rPr>
        <w:t>职务：</w:t>
      </w:r>
      <w:r>
        <w:rPr>
          <w:rFonts w:ascii="宋体" w:hAnsi="宋体"/>
          <w:color w:val="auto"/>
          <w:sz w:val="24"/>
          <w:highlight w:val="none"/>
          <w:u w:val="single"/>
        </w:rPr>
        <w:t xml:space="preserve">          </w:t>
      </w:r>
    </w:p>
    <w:p w14:paraId="156C252E">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身份证号码：</w:t>
      </w:r>
      <w:r>
        <w:rPr>
          <w:rFonts w:ascii="宋体" w:hAnsi="宋体"/>
          <w:color w:val="auto"/>
          <w:sz w:val="24"/>
          <w:highlight w:val="none"/>
          <w:u w:val="single"/>
        </w:rPr>
        <w:t xml:space="preserve">                                          </w:t>
      </w:r>
    </w:p>
    <w:p w14:paraId="1F1FBB72">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手机：</w:t>
      </w:r>
      <w:r>
        <w:rPr>
          <w:rFonts w:ascii="宋体" w:hAnsi="宋体"/>
          <w:color w:val="auto"/>
          <w:sz w:val="24"/>
          <w:highlight w:val="none"/>
          <w:u w:val="single"/>
        </w:rPr>
        <w:t xml:space="preserve">                 </w:t>
      </w:r>
      <w:r>
        <w:rPr>
          <w:rFonts w:ascii="宋体" w:hAnsi="宋体"/>
          <w:color w:val="auto"/>
          <w:sz w:val="24"/>
          <w:highlight w:val="none"/>
        </w:rPr>
        <w:t>传真：</w:t>
      </w:r>
      <w:r>
        <w:rPr>
          <w:rFonts w:ascii="宋体" w:hAnsi="宋体"/>
          <w:color w:val="auto"/>
          <w:sz w:val="24"/>
          <w:highlight w:val="none"/>
          <w:u w:val="single"/>
        </w:rPr>
        <w:t xml:space="preserve">                         </w:t>
      </w:r>
    </w:p>
    <w:p w14:paraId="1FAA56CD">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p>
    <w:p w14:paraId="10971B92">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单位名称（公章）             法定代表人（签字或盖章）</w:t>
      </w:r>
    </w:p>
    <w:p w14:paraId="15EC3B45">
      <w:pPr>
        <w:keepNext w:val="0"/>
        <w:keepLines w:val="0"/>
        <w:pageBreakBefore w:val="0"/>
        <w:bidi w:val="0"/>
        <w:spacing w:beforeAutospacing="0" w:afterAutospacing="0" w:line="440" w:lineRule="exact"/>
        <w:ind w:left="0" w:leftChars="0" w:right="0" w:rightChars="0" w:firstLine="1200" w:firstLineChars="500"/>
        <w:rPr>
          <w:rFonts w:ascii="宋体" w:hAnsi="宋体"/>
          <w:color w:val="auto"/>
          <w:sz w:val="24"/>
          <w:highlight w:val="none"/>
        </w:rPr>
      </w:pPr>
      <w:r>
        <w:rPr>
          <w:rFonts w:ascii="宋体" w:hAnsi="宋体"/>
          <w:color w:val="auto"/>
          <w:sz w:val="24"/>
          <w:highlight w:val="none"/>
        </w:rPr>
        <w:t xml:space="preserve">年   月   日                 年   月    日  </w:t>
      </w:r>
    </w:p>
    <w:p w14:paraId="7DC0082E">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p>
    <w:p w14:paraId="657A1C90">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法定代表人身份证复印件</w:t>
      </w:r>
    </w:p>
    <w:p w14:paraId="14B57782">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p>
    <w:p w14:paraId="16E2EBD6">
      <w:pPr>
        <w:keepNext w:val="0"/>
        <w:keepLines w:val="0"/>
        <w:pageBreakBefore w:val="0"/>
        <w:bidi w:val="0"/>
        <w:spacing w:beforeAutospacing="0" w:afterAutospacing="0" w:line="440" w:lineRule="exact"/>
        <w:ind w:left="0" w:leftChars="0" w:right="0" w:rightChars="0"/>
        <w:rPr>
          <w:rFonts w:hint="eastAsia" w:ascii="宋体" w:hAnsi="宋体"/>
          <w:color w:val="auto"/>
          <w:sz w:val="24"/>
          <w:highlight w:val="none"/>
        </w:rPr>
      </w:pPr>
    </w:p>
    <w:p w14:paraId="108B4EA0">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被授权人身份证复印件</w:t>
      </w:r>
    </w:p>
    <w:p w14:paraId="655A05B1">
      <w:pPr>
        <w:keepNext w:val="0"/>
        <w:keepLines w:val="0"/>
        <w:pageBreakBefore w:val="0"/>
        <w:bidi w:val="0"/>
        <w:spacing w:beforeAutospacing="0" w:afterAutospacing="0" w:line="440" w:lineRule="exact"/>
        <w:ind w:left="0" w:leftChars="0" w:right="0" w:rightChars="0" w:firstLine="3120" w:firstLineChars="1300"/>
        <w:rPr>
          <w:rFonts w:ascii="宋体" w:hAnsi="宋体"/>
          <w:b/>
          <w:bCs/>
          <w:color w:val="auto"/>
          <w:sz w:val="24"/>
          <w:highlight w:val="none"/>
        </w:rPr>
      </w:pPr>
      <w:r>
        <w:rPr>
          <w:rFonts w:ascii="宋体" w:hAnsi="宋体"/>
          <w:color w:val="auto"/>
          <w:sz w:val="24"/>
          <w:highlight w:val="none"/>
        </w:rPr>
        <w:t>（粘贴此处）</w:t>
      </w:r>
    </w:p>
    <w:p w14:paraId="1452A7F7">
      <w:pPr>
        <w:keepNext w:val="0"/>
        <w:keepLines w:val="0"/>
        <w:pageBreakBefore w:val="0"/>
        <w:bidi w:val="0"/>
        <w:spacing w:beforeAutospacing="0" w:afterAutospacing="0" w:line="440" w:lineRule="exact"/>
        <w:ind w:left="0" w:leftChars="0" w:right="0" w:rightChars="0" w:firstLine="480" w:firstLineChars="200"/>
        <w:rPr>
          <w:rFonts w:hint="eastAsia" w:ascii="宋体" w:hAnsi="宋体"/>
          <w:b/>
          <w:bCs/>
          <w:color w:val="auto"/>
          <w:sz w:val="24"/>
          <w:highlight w:val="none"/>
        </w:rPr>
      </w:pPr>
    </w:p>
    <w:p w14:paraId="39405F64">
      <w:pPr>
        <w:keepNext w:val="0"/>
        <w:keepLines w:val="0"/>
        <w:pageBreakBefore w:val="0"/>
        <w:bidi w:val="0"/>
        <w:spacing w:beforeAutospacing="0" w:afterAutospacing="0" w:line="440" w:lineRule="exact"/>
        <w:ind w:left="0" w:leftChars="0" w:right="0" w:rightChars="0" w:firstLine="480" w:firstLineChars="200"/>
        <w:rPr>
          <w:rFonts w:ascii="宋体" w:hAnsi="宋体"/>
          <w:b/>
          <w:bCs/>
          <w:color w:val="auto"/>
          <w:sz w:val="24"/>
          <w:highlight w:val="none"/>
        </w:rPr>
      </w:pPr>
      <w:r>
        <w:rPr>
          <w:rFonts w:ascii="宋体" w:hAnsi="宋体"/>
          <w:b/>
          <w:bCs/>
          <w:color w:val="auto"/>
          <w:sz w:val="24"/>
          <w:highlight w:val="none"/>
        </w:rPr>
        <w:t>注: 被授权人参加投标时将本人身份证带至招标现场备查。</w:t>
      </w:r>
    </w:p>
    <w:p w14:paraId="1EB9A099">
      <w:pPr>
        <w:keepNext w:val="0"/>
        <w:keepLines w:val="0"/>
        <w:pageBreakBefore w:val="0"/>
        <w:bidi w:val="0"/>
        <w:spacing w:beforeAutospacing="0" w:afterAutospacing="0" w:line="440" w:lineRule="exact"/>
        <w:ind w:left="0" w:leftChars="0" w:right="0" w:rightChars="0"/>
        <w:jc w:val="center"/>
        <w:rPr>
          <w:rFonts w:ascii="宋体" w:hAnsi="宋体" w:cs="宋体"/>
          <w:b/>
          <w:color w:val="auto"/>
          <w:sz w:val="24"/>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四、</w:t>
      </w:r>
      <w:r>
        <w:rPr>
          <w:rFonts w:hint="eastAsia" w:ascii="宋体" w:hAnsi="宋体"/>
          <w:b/>
          <w:bCs/>
          <w:color w:val="auto"/>
          <w:sz w:val="28"/>
          <w:szCs w:val="28"/>
          <w:highlight w:val="none"/>
        </w:rPr>
        <w:t>投标人符合《政府采购法》第二十二条规定条件的声明函</w:t>
      </w:r>
    </w:p>
    <w:p w14:paraId="6069EAC6">
      <w:pPr>
        <w:keepNext w:val="0"/>
        <w:keepLines w:val="0"/>
        <w:pageBreakBefore w:val="0"/>
        <w:bidi w:val="0"/>
        <w:spacing w:beforeAutospacing="0" w:afterAutospacing="0" w:line="440" w:lineRule="exact"/>
        <w:ind w:left="0" w:leftChars="0" w:right="0" w:rightChars="0"/>
        <w:rPr>
          <w:rFonts w:ascii="宋体" w:hAnsi="宋体" w:cs="宋体"/>
          <w:b/>
          <w:bCs/>
          <w:color w:val="auto"/>
          <w:sz w:val="24"/>
          <w:highlight w:val="none"/>
        </w:rPr>
      </w:pPr>
    </w:p>
    <w:p w14:paraId="5B46F27B">
      <w:pPr>
        <w:keepNext w:val="0"/>
        <w:keepLines w:val="0"/>
        <w:pageBreakBefore w:val="0"/>
        <w:bidi w:val="0"/>
        <w:spacing w:beforeAutospacing="0" w:afterAutospacing="0" w:line="440" w:lineRule="exact"/>
        <w:ind w:left="0" w:leftChars="0" w:right="0" w:rightChars="0" w:firstLine="480" w:firstLineChars="200"/>
        <w:rPr>
          <w:rFonts w:ascii="宋体" w:hAnsi="宋体" w:cs="宋体"/>
          <w:b/>
          <w:bCs/>
          <w:color w:val="auto"/>
          <w:sz w:val="24"/>
          <w:highlight w:val="none"/>
        </w:rPr>
      </w:pPr>
      <w:r>
        <w:rPr>
          <w:rFonts w:hint="eastAsia" w:ascii="宋体" w:hAnsi="宋体" w:cs="宋体"/>
          <w:bCs/>
          <w:color w:val="auto"/>
          <w:sz w:val="24"/>
          <w:highlight w:val="none"/>
        </w:rPr>
        <w:t>我单位参加</w:t>
      </w:r>
      <w:r>
        <w:rPr>
          <w:rFonts w:hint="eastAsia" w:ascii="宋体" w:hAnsi="宋体" w:cs="宋体"/>
          <w:bCs/>
          <w:color w:val="auto"/>
          <w:sz w:val="24"/>
          <w:highlight w:val="none"/>
          <w:u w:val="single"/>
        </w:rPr>
        <w:t>________________ _</w:t>
      </w:r>
      <w:r>
        <w:rPr>
          <w:rFonts w:hint="eastAsia" w:ascii="宋体" w:hAnsi="宋体" w:cs="宋体"/>
          <w:bCs/>
          <w:color w:val="auto"/>
          <w:sz w:val="24"/>
          <w:highlight w:val="none"/>
        </w:rPr>
        <w:t>（项目名称）投标活动。针对《中华人民共和国政府采购法》第二十二条规定做出如下声明：</w:t>
      </w:r>
    </w:p>
    <w:p w14:paraId="1B1A2376">
      <w:pPr>
        <w:keepNext w:val="0"/>
        <w:keepLines w:val="0"/>
        <w:pageBreakBefore w:val="0"/>
        <w:numPr>
          <w:ilvl w:val="0"/>
          <w:numId w:val="8"/>
        </w:numPr>
        <w:bidi w:val="0"/>
        <w:spacing w:beforeAutospacing="0" w:afterAutospacing="0" w:line="440" w:lineRule="exact"/>
        <w:ind w:left="0" w:leftChars="0" w:right="0" w:rightChars="0"/>
        <w:rPr>
          <w:rFonts w:ascii="宋体" w:hAnsi="宋体" w:cs="宋体"/>
          <w:color w:val="auto"/>
          <w:sz w:val="24"/>
          <w:highlight w:val="none"/>
        </w:rPr>
      </w:pPr>
      <w:r>
        <w:rPr>
          <w:rFonts w:hint="eastAsia" w:ascii="宋体" w:hAnsi="宋体" w:cs="宋体"/>
          <w:bCs/>
          <w:color w:val="auto"/>
          <w:sz w:val="24"/>
          <w:highlight w:val="none"/>
        </w:rPr>
        <w:t>我单位具有独立承担民事责任的能力；</w:t>
      </w:r>
    </w:p>
    <w:p w14:paraId="3CEF3342">
      <w:pPr>
        <w:keepNext w:val="0"/>
        <w:keepLines w:val="0"/>
        <w:pageBreakBefore w:val="0"/>
        <w:numPr>
          <w:ilvl w:val="0"/>
          <w:numId w:val="8"/>
        </w:numPr>
        <w:bidi w:val="0"/>
        <w:spacing w:beforeAutospacing="0" w:afterAutospacing="0" w:line="440" w:lineRule="exact"/>
        <w:ind w:left="0" w:leftChars="0" w:right="0" w:rightChars="0"/>
        <w:rPr>
          <w:rFonts w:ascii="宋体" w:hAnsi="宋体" w:cs="宋体"/>
          <w:color w:val="auto"/>
          <w:sz w:val="24"/>
          <w:highlight w:val="none"/>
        </w:rPr>
      </w:pPr>
      <w:r>
        <w:rPr>
          <w:rFonts w:hint="eastAsia" w:ascii="宋体" w:hAnsi="宋体" w:cs="宋体"/>
          <w:color w:val="auto"/>
          <w:sz w:val="24"/>
          <w:highlight w:val="none"/>
        </w:rPr>
        <w:t>我单位具有良好的商业信誉和健全的财务会计制度；</w:t>
      </w:r>
    </w:p>
    <w:p w14:paraId="6C994EC1">
      <w:pPr>
        <w:keepNext w:val="0"/>
        <w:keepLines w:val="0"/>
        <w:pageBreakBefore w:val="0"/>
        <w:numPr>
          <w:ilvl w:val="0"/>
          <w:numId w:val="8"/>
        </w:numPr>
        <w:bidi w:val="0"/>
        <w:spacing w:beforeAutospacing="0" w:afterAutospacing="0" w:line="440" w:lineRule="exact"/>
        <w:ind w:left="0" w:leftChars="0" w:right="0" w:rightChars="0"/>
        <w:rPr>
          <w:rFonts w:ascii="宋体" w:hAnsi="宋体" w:cs="宋体"/>
          <w:color w:val="auto"/>
          <w:sz w:val="24"/>
          <w:highlight w:val="none"/>
        </w:rPr>
      </w:pPr>
      <w:r>
        <w:rPr>
          <w:rFonts w:hint="eastAsia" w:ascii="宋体" w:hAnsi="宋体" w:cs="宋体"/>
          <w:color w:val="auto"/>
          <w:sz w:val="24"/>
          <w:highlight w:val="none"/>
        </w:rPr>
        <w:t>我单位具有履行合同所必需的设备和专业技术能力；</w:t>
      </w:r>
    </w:p>
    <w:p w14:paraId="541BC83F">
      <w:pPr>
        <w:keepNext w:val="0"/>
        <w:keepLines w:val="0"/>
        <w:pageBreakBefore w:val="0"/>
        <w:numPr>
          <w:ilvl w:val="0"/>
          <w:numId w:val="8"/>
        </w:numPr>
        <w:bidi w:val="0"/>
        <w:spacing w:beforeAutospacing="0" w:afterAutospacing="0" w:line="440" w:lineRule="exact"/>
        <w:ind w:left="0" w:leftChars="0" w:right="0" w:rightChars="0"/>
        <w:rPr>
          <w:rFonts w:ascii="宋体" w:hAnsi="宋体" w:cs="宋体"/>
          <w:color w:val="auto"/>
          <w:sz w:val="24"/>
          <w:highlight w:val="none"/>
        </w:rPr>
      </w:pPr>
      <w:r>
        <w:rPr>
          <w:rFonts w:hint="eastAsia" w:ascii="宋体" w:hAnsi="宋体" w:cs="宋体"/>
          <w:color w:val="auto"/>
          <w:sz w:val="24"/>
          <w:highlight w:val="none"/>
        </w:rPr>
        <w:t>我单位有依法缴纳税收和社会保障资金的良好记录；</w:t>
      </w:r>
    </w:p>
    <w:p w14:paraId="6FC199D7">
      <w:pPr>
        <w:keepNext w:val="0"/>
        <w:keepLines w:val="0"/>
        <w:pageBreakBefore w:val="0"/>
        <w:numPr>
          <w:ilvl w:val="0"/>
          <w:numId w:val="8"/>
        </w:numPr>
        <w:bidi w:val="0"/>
        <w:spacing w:beforeAutospacing="0" w:afterAutospacing="0" w:line="440" w:lineRule="exact"/>
        <w:ind w:left="0" w:leftChars="0" w:right="0" w:rightChars="0"/>
        <w:rPr>
          <w:rFonts w:ascii="宋体" w:hAnsi="宋体" w:cs="宋体"/>
          <w:color w:val="auto"/>
          <w:sz w:val="24"/>
          <w:highlight w:val="none"/>
        </w:rPr>
      </w:pPr>
      <w:r>
        <w:rPr>
          <w:rFonts w:hint="eastAsia" w:ascii="宋体" w:hAnsi="宋体" w:cs="宋体"/>
          <w:color w:val="auto"/>
          <w:sz w:val="24"/>
          <w:highlight w:val="none"/>
        </w:rPr>
        <w:t>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AD6F27B">
      <w:pPr>
        <w:keepNext w:val="0"/>
        <w:keepLines w:val="0"/>
        <w:pageBreakBefore w:val="0"/>
        <w:numPr>
          <w:ilvl w:val="0"/>
          <w:numId w:val="8"/>
        </w:numPr>
        <w:bidi w:val="0"/>
        <w:spacing w:beforeAutospacing="0" w:afterAutospacing="0" w:line="440" w:lineRule="exact"/>
        <w:ind w:left="0" w:leftChars="0" w:right="0" w:rightChars="0"/>
        <w:rPr>
          <w:rFonts w:ascii="宋体" w:hAnsi="宋体" w:cs="宋体"/>
          <w:color w:val="auto"/>
          <w:sz w:val="24"/>
          <w:highlight w:val="none"/>
        </w:rPr>
      </w:pPr>
      <w:r>
        <w:rPr>
          <w:rFonts w:hint="eastAsia" w:ascii="宋体" w:hAnsi="宋体" w:cs="宋体"/>
          <w:color w:val="auto"/>
          <w:sz w:val="24"/>
          <w:highlight w:val="none"/>
        </w:rPr>
        <w:t>我单位满足法律、行政法规规定的其他条件。</w:t>
      </w:r>
    </w:p>
    <w:p w14:paraId="5A163DC0">
      <w:pPr>
        <w:keepNext w:val="0"/>
        <w:keepLines w:val="0"/>
        <w:pageBreakBefore w:val="0"/>
        <w:numPr>
          <w:ilvl w:val="0"/>
          <w:numId w:val="8"/>
        </w:numPr>
        <w:bidi w:val="0"/>
        <w:spacing w:beforeAutospacing="0" w:afterAutospacing="0" w:line="440" w:lineRule="exact"/>
        <w:ind w:left="0" w:leftChars="0" w:right="0" w:rightChars="0"/>
        <w:rPr>
          <w:rFonts w:ascii="宋体" w:hAnsi="宋体" w:cs="宋体"/>
          <w:color w:val="auto"/>
          <w:sz w:val="24"/>
          <w:highlight w:val="none"/>
        </w:rPr>
      </w:pPr>
      <w:r>
        <w:rPr>
          <w:rFonts w:hint="eastAsia" w:ascii="宋体" w:hAnsi="宋体" w:cs="宋体"/>
          <w:color w:val="auto"/>
          <w:sz w:val="24"/>
          <w:highlight w:val="none"/>
        </w:rPr>
        <w:t>我单位未被“信用中国”网站列入失信被执行人、重大税收违法失信主体、政府采购严重违法失信行为记录名单、经营（活动）异常名录、严重失信主体名单；</w:t>
      </w:r>
    </w:p>
    <w:p w14:paraId="564FE9C1">
      <w:pPr>
        <w:keepNext w:val="0"/>
        <w:keepLines w:val="0"/>
        <w:pageBreakBefore w:val="0"/>
        <w:bidi w:val="0"/>
        <w:spacing w:beforeAutospacing="0" w:afterAutospacing="0" w:line="440" w:lineRule="exact"/>
        <w:ind w:left="0" w:leftChars="0" w:right="0" w:rightChars="0" w:firstLine="480" w:firstLineChars="200"/>
        <w:rPr>
          <w:rFonts w:ascii="宋体" w:hAnsi="宋体"/>
          <w:color w:val="auto"/>
          <w:sz w:val="24"/>
          <w:highlight w:val="none"/>
        </w:rPr>
      </w:pPr>
    </w:p>
    <w:p w14:paraId="22317F97">
      <w:pPr>
        <w:keepNext w:val="0"/>
        <w:keepLines w:val="0"/>
        <w:pageBreakBefore w:val="0"/>
        <w:bidi w:val="0"/>
        <w:spacing w:beforeAutospacing="0" w:afterAutospacing="0" w:line="440" w:lineRule="exact"/>
        <w:ind w:left="0" w:leftChars="0" w:right="0" w:rightChars="0" w:firstLine="200" w:firstLineChars="200"/>
        <w:rPr>
          <w:rFonts w:ascii="宋体" w:hAnsi="宋体"/>
          <w:color w:val="auto"/>
          <w:sz w:val="10"/>
          <w:szCs w:val="10"/>
          <w:highlight w:val="none"/>
        </w:rPr>
      </w:pPr>
    </w:p>
    <w:p w14:paraId="633C6149">
      <w:pPr>
        <w:keepNext w:val="0"/>
        <w:keepLines w:val="0"/>
        <w:pageBreakBefore w:val="0"/>
        <w:bidi w:val="0"/>
        <w:spacing w:beforeAutospacing="0" w:afterAutospacing="0" w:line="440" w:lineRule="exact"/>
        <w:ind w:left="0" w:leftChars="0" w:right="0" w:rightChars="0" w:firstLine="1920" w:firstLineChars="800"/>
        <w:rPr>
          <w:rFonts w:ascii="宋体" w:hAnsi="宋体"/>
          <w:color w:val="auto"/>
          <w:sz w:val="24"/>
          <w:highlight w:val="none"/>
        </w:rPr>
      </w:pPr>
      <w:r>
        <w:rPr>
          <w:rFonts w:hint="eastAsia" w:ascii="宋体" w:hAnsi="宋体"/>
          <w:color w:val="auto"/>
          <w:sz w:val="24"/>
          <w:highlight w:val="none"/>
        </w:rPr>
        <w:t>投标人</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（加盖公章）</w:t>
      </w:r>
    </w:p>
    <w:p w14:paraId="0CA9192C">
      <w:pPr>
        <w:keepNext w:val="0"/>
        <w:keepLines w:val="0"/>
        <w:pageBreakBefore w:val="0"/>
        <w:bidi w:val="0"/>
        <w:spacing w:beforeAutospacing="0" w:afterAutospacing="0" w:line="440" w:lineRule="exact"/>
        <w:ind w:left="0" w:leftChars="0" w:right="0" w:rightChars="0" w:firstLine="1920" w:firstLineChars="800"/>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13AA859D">
      <w:pPr>
        <w:keepNext w:val="0"/>
        <w:keepLines w:val="0"/>
        <w:pageBreakBefore w:val="0"/>
        <w:bidi w:val="0"/>
        <w:spacing w:beforeAutospacing="0" w:afterAutospacing="0" w:line="440" w:lineRule="exact"/>
        <w:ind w:left="0" w:leftChars="0" w:right="0" w:rightChars="0" w:firstLine="4320" w:firstLineChars="1800"/>
        <w:rPr>
          <w:rFonts w:ascii="宋体" w:hAnsi="宋体"/>
          <w:color w:val="auto"/>
          <w:sz w:val="24"/>
          <w:highlight w:val="none"/>
        </w:rPr>
      </w:pPr>
      <w:r>
        <w:rPr>
          <w:rFonts w:ascii="宋体" w:hAnsi="宋体"/>
          <w:color w:val="auto"/>
          <w:sz w:val="24"/>
          <w:highlight w:val="none"/>
        </w:rPr>
        <w:t>年  月  日</w:t>
      </w:r>
    </w:p>
    <w:p w14:paraId="7DD8FC49">
      <w:pPr>
        <w:rPr>
          <w:rFonts w:ascii="宋体" w:hAnsi="宋体"/>
          <w:color w:val="auto"/>
          <w:sz w:val="24"/>
          <w:highlight w:val="none"/>
        </w:rPr>
      </w:pPr>
      <w:r>
        <w:rPr>
          <w:rFonts w:ascii="宋体" w:hAnsi="宋体"/>
          <w:color w:val="auto"/>
          <w:sz w:val="24"/>
          <w:highlight w:val="none"/>
        </w:rPr>
        <w:br w:type="page"/>
      </w:r>
    </w:p>
    <w:p w14:paraId="7A53713E">
      <w:pPr>
        <w:keepNext w:val="0"/>
        <w:keepLines w:val="0"/>
        <w:pageBreakBefore w:val="0"/>
        <w:bidi w:val="0"/>
        <w:spacing w:beforeAutospacing="0" w:afterAutospacing="0" w:line="440" w:lineRule="exact"/>
        <w:ind w:left="0" w:leftChars="0" w:right="0" w:rightChars="0"/>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lang w:val="en-US" w:eastAsia="zh-CN"/>
        </w:rPr>
        <w:t>五、</w:t>
      </w:r>
      <w:r>
        <w:rPr>
          <w:rFonts w:hint="eastAsia" w:ascii="宋体" w:hAnsi="宋体" w:eastAsia="宋体"/>
          <w:b/>
          <w:bCs/>
          <w:color w:val="auto"/>
          <w:sz w:val="28"/>
          <w:szCs w:val="28"/>
          <w:highlight w:val="none"/>
        </w:rPr>
        <w:t>项目进场人员意外伤害保险承诺书</w:t>
      </w:r>
    </w:p>
    <w:p w14:paraId="35A0C0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宋体" w:hAnsi="宋体" w:eastAsia="宋体" w:cs="宋体"/>
          <w:bCs/>
          <w:color w:val="auto"/>
          <w:kern w:val="0"/>
          <w:sz w:val="24"/>
          <w:szCs w:val="24"/>
          <w:highlight w:val="none"/>
          <w:u w:val="none"/>
          <w:lang w:val="en-US" w:eastAsia="zh-CN" w:bidi="ar"/>
        </w:rPr>
      </w:pPr>
      <w:r>
        <w:rPr>
          <w:rFonts w:hint="eastAsia" w:ascii="宋体" w:hAnsi="宋体" w:eastAsia="宋体" w:cs="宋体"/>
          <w:bCs/>
          <w:color w:val="auto"/>
          <w:kern w:val="0"/>
          <w:sz w:val="24"/>
          <w:szCs w:val="24"/>
          <w:highlight w:val="none"/>
          <w:u w:val="none"/>
          <w:lang w:val="en-US" w:eastAsia="zh-CN" w:bidi="ar"/>
        </w:rPr>
        <w:t>致</w:t>
      </w:r>
      <w:r>
        <w:rPr>
          <w:rFonts w:hint="eastAsia" w:ascii="宋体" w:hAnsi="宋体" w:eastAsia="宋体" w:cs="宋体"/>
          <w:bCs/>
          <w:color w:val="auto"/>
          <w:kern w:val="0"/>
          <w:sz w:val="24"/>
          <w:szCs w:val="24"/>
          <w:highlight w:val="none"/>
          <w:u w:val="single"/>
          <w:lang w:val="en-US" w:eastAsia="zh-CN" w:bidi="ar"/>
        </w:rPr>
        <w:t xml:space="preserve">：       （采购人） </w:t>
      </w:r>
    </w:p>
    <w:p w14:paraId="31787B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u w:val="none"/>
          <w:lang w:val="en-US" w:eastAsia="zh-CN" w:bidi="ar"/>
        </w:rPr>
        <w:t>我单位若成为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bCs/>
          <w:color w:val="auto"/>
          <w:kern w:val="0"/>
          <w:sz w:val="24"/>
          <w:szCs w:val="24"/>
          <w:highlight w:val="none"/>
          <w:u w:val="none"/>
          <w:lang w:val="en-US" w:eastAsia="zh-CN" w:bidi="ar"/>
        </w:rPr>
        <w:t>的成交单位，就本项目进场人员意外伤害保险及进场管理事宜，郑重作出如下承诺：</w:t>
      </w:r>
    </w:p>
    <w:p w14:paraId="383EAB3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color w:val="auto"/>
          <w:sz w:val="24"/>
          <w:szCs w:val="24"/>
          <w:highlight w:val="none"/>
        </w:rPr>
        <w:t>本单位承诺，</w:t>
      </w:r>
      <w:r>
        <w:rPr>
          <w:rStyle w:val="68"/>
          <w:rFonts w:hint="eastAsia" w:ascii="宋体" w:hAnsi="宋体" w:eastAsia="宋体" w:cs="宋体"/>
          <w:b/>
          <w:bCs/>
          <w:color w:val="auto"/>
          <w:sz w:val="24"/>
          <w:szCs w:val="24"/>
          <w:highlight w:val="none"/>
        </w:rPr>
        <w:t>所有进入项目现场的工作人员，均已足额购买人身意外伤害保险（含意外医疗责任）</w:t>
      </w:r>
      <w:r>
        <w:rPr>
          <w:rFonts w:hint="eastAsia" w:ascii="宋体" w:hAnsi="宋体" w:eastAsia="宋体" w:cs="宋体"/>
          <w:color w:val="auto"/>
          <w:sz w:val="24"/>
          <w:szCs w:val="24"/>
          <w:highlight w:val="none"/>
        </w:rPr>
        <w:t>，保险有效期覆盖整个服务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施工周期，保险额度满足国家及采购人安全管理要求。</w:t>
      </w:r>
    </w:p>
    <w:p w14:paraId="672A6D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color w:val="auto"/>
          <w:sz w:val="24"/>
          <w:szCs w:val="24"/>
          <w:highlight w:val="none"/>
        </w:rPr>
        <w:t>进场前，本单位将</w:t>
      </w:r>
      <w:r>
        <w:rPr>
          <w:rStyle w:val="68"/>
          <w:rFonts w:hint="eastAsia" w:ascii="宋体" w:hAnsi="宋体" w:eastAsia="宋体" w:cs="宋体"/>
          <w:b/>
          <w:bCs/>
          <w:color w:val="auto"/>
          <w:sz w:val="24"/>
          <w:szCs w:val="24"/>
          <w:highlight w:val="none"/>
        </w:rPr>
        <w:t>向采购人或现场管理方提交全部进场人员的有效意外伤害保险单（复印件加盖公章）</w:t>
      </w:r>
      <w:r>
        <w:rPr>
          <w:rFonts w:hint="eastAsia" w:ascii="宋体" w:hAnsi="宋体" w:eastAsia="宋体" w:cs="宋体"/>
          <w:color w:val="auto"/>
          <w:sz w:val="24"/>
          <w:szCs w:val="24"/>
          <w:highlight w:val="none"/>
        </w:rPr>
        <w:t>，经核验通过后方可安排人员进场；未提供有效保单的人员，一律不得进场。</w:t>
      </w:r>
    </w:p>
    <w:p w14:paraId="652B61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val="en-US" w:eastAsia="zh-CN" w:bidi="ar-SA"/>
        </w:rPr>
        <w:t>3、</w:t>
      </w:r>
      <w:r>
        <w:rPr>
          <w:rFonts w:hint="eastAsia" w:ascii="宋体" w:hAnsi="宋体" w:eastAsia="宋体" w:cs="宋体"/>
          <w:color w:val="auto"/>
          <w:sz w:val="24"/>
          <w:szCs w:val="24"/>
          <w:highlight w:val="none"/>
        </w:rPr>
        <w:t>若进场人员未按要求投保、保单失效或信息不实，本单位同意采购人</w:t>
      </w:r>
      <w:r>
        <w:rPr>
          <w:rStyle w:val="68"/>
          <w:rFonts w:hint="eastAsia" w:ascii="宋体" w:hAnsi="宋体" w:eastAsia="宋体" w:cs="宋体"/>
          <w:b/>
          <w:bCs/>
          <w:color w:val="auto"/>
          <w:sz w:val="24"/>
          <w:szCs w:val="24"/>
          <w:highlight w:val="none"/>
        </w:rPr>
        <w:t>立即要求相关人员退场</w:t>
      </w:r>
      <w:r>
        <w:rPr>
          <w:rFonts w:hint="eastAsia" w:ascii="宋体" w:hAnsi="宋体" w:eastAsia="宋体" w:cs="宋体"/>
          <w:color w:val="auto"/>
          <w:sz w:val="24"/>
          <w:szCs w:val="24"/>
          <w:highlight w:val="none"/>
        </w:rPr>
        <w:t>，并承担由此产生的一切责任、费用与损失，不提出任何异议或索赔。</w:t>
      </w:r>
    </w:p>
    <w:p w14:paraId="261736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val="en-US" w:eastAsia="zh-CN" w:bidi="ar-SA"/>
        </w:rPr>
        <w:t>4、</w:t>
      </w:r>
      <w:r>
        <w:rPr>
          <w:rFonts w:hint="eastAsia" w:ascii="宋体" w:hAnsi="宋体" w:eastAsia="宋体" w:cs="宋体"/>
          <w:color w:val="auto"/>
          <w:sz w:val="24"/>
          <w:szCs w:val="24"/>
          <w:highlight w:val="none"/>
        </w:rPr>
        <w:t>本单位承诺及时更新保单、做好人员变动报备，确保现场在岗人员始终处于有效保险保障期内。</w:t>
      </w:r>
    </w:p>
    <w:p w14:paraId="1860AF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val="en-US" w:eastAsia="zh-CN" w:bidi="ar-SA"/>
        </w:rPr>
        <w:t>5、</w:t>
      </w:r>
      <w:r>
        <w:rPr>
          <w:rFonts w:hint="eastAsia" w:ascii="宋体" w:hAnsi="宋体" w:eastAsia="宋体" w:cs="宋体"/>
          <w:color w:val="auto"/>
          <w:sz w:val="24"/>
          <w:szCs w:val="24"/>
          <w:highlight w:val="none"/>
        </w:rPr>
        <w:t>本承诺为采购合同不可分割的组成部分，与合同具有同等法律效力。</w:t>
      </w:r>
    </w:p>
    <w:p w14:paraId="64E46F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 w:firstLineChars="200"/>
        <w:jc w:val="left"/>
        <w:textAlignment w:val="auto"/>
        <w:rPr>
          <w:rFonts w:hint="eastAsia" w:ascii="宋体" w:hAnsi="宋体" w:eastAsia="宋体" w:cs="宋体"/>
          <w:bCs/>
          <w:color w:val="auto"/>
          <w:kern w:val="0"/>
          <w:sz w:val="24"/>
          <w:szCs w:val="24"/>
          <w:highlight w:val="none"/>
          <w:u w:val="none"/>
          <w:lang w:val="en-US" w:eastAsia="zh-CN" w:bidi="ar"/>
        </w:rPr>
      </w:pPr>
    </w:p>
    <w:p w14:paraId="31CC10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承诺单位（盖章）：</w:t>
      </w:r>
    </w:p>
    <w:p w14:paraId="3139F9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w:t>
      </w: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lang w:val="zh-CN"/>
        </w:rPr>
        <w:t>（签字或盖章）：</w:t>
      </w:r>
    </w:p>
    <w:p w14:paraId="21B9D05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日期：  年  月  日</w:t>
      </w:r>
    </w:p>
    <w:p w14:paraId="08A5305A">
      <w:pPr>
        <w:pStyle w:val="682"/>
        <w:rPr>
          <w:rFonts w:hint="eastAsia" w:ascii="宋体" w:hAnsi="宋体" w:eastAsia="宋体" w:cs="宋体"/>
          <w:color w:val="auto"/>
          <w:sz w:val="24"/>
          <w:szCs w:val="24"/>
          <w:highlight w:val="none"/>
          <w:lang w:val="zh-CN"/>
        </w:rPr>
      </w:pPr>
    </w:p>
    <w:p w14:paraId="61982E4E">
      <w:pPr>
        <w:pageBreakBefore w:val="0"/>
        <w:wordWrap/>
        <w:overflowPunct/>
        <w:bidi w:val="0"/>
        <w:adjustRightInd w:val="0"/>
        <w:snapToGrid w:val="0"/>
        <w:spacing w:beforeAutospacing="0" w:afterAutospacing="0" w:line="360" w:lineRule="auto"/>
        <w:ind w:left="0" w:leftChars="0" w:right="0" w:rightChars="0" w:firstLine="480" w:firstLineChars="200"/>
        <w:jc w:val="center"/>
        <w:rPr>
          <w:color w:val="auto"/>
          <w:sz w:val="24"/>
          <w:highlight w:val="none"/>
        </w:rPr>
      </w:pPr>
    </w:p>
    <w:p w14:paraId="7AC854EA">
      <w:pPr>
        <w:pageBreakBefore w:val="0"/>
        <w:kinsoku w:val="0"/>
        <w:wordWrap/>
        <w:overflowPunct/>
        <w:topLinePunct/>
        <w:bidi w:val="0"/>
        <w:snapToGrid w:val="0"/>
        <w:spacing w:beforeAutospacing="0" w:afterAutospacing="0" w:line="360" w:lineRule="auto"/>
        <w:ind w:left="0" w:leftChars="0" w:right="0" w:rightChars="0" w:firstLine="640" w:firstLineChars="200"/>
        <w:rPr>
          <w:color w:val="auto"/>
          <w:sz w:val="24"/>
          <w:highlight w:val="none"/>
        </w:rPr>
      </w:pPr>
      <w:r>
        <w:rPr>
          <w:color w:val="auto"/>
          <w:kern w:val="0"/>
          <w:sz w:val="32"/>
          <w:szCs w:val="32"/>
          <w:highlight w:val="none"/>
        </w:rPr>
        <w:br w:type="page"/>
      </w:r>
    </w:p>
    <w:p w14:paraId="5558DE42">
      <w:pPr>
        <w:keepNext w:val="0"/>
        <w:keepLines w:val="0"/>
        <w:pageBreakBefore w:val="0"/>
        <w:bidi w:val="0"/>
        <w:snapToGrid w:val="0"/>
        <w:spacing w:beforeAutospacing="0" w:afterAutospacing="0" w:line="440" w:lineRule="exact"/>
        <w:ind w:left="0" w:leftChars="0" w:right="0" w:rightChars="0"/>
        <w:jc w:val="center"/>
        <w:outlineLvl w:val="1"/>
        <w:rPr>
          <w:rFonts w:ascii="宋体" w:hAnsi="宋体" w:cs="宋体"/>
          <w:b/>
          <w:color w:val="auto"/>
          <w:kern w:val="0"/>
          <w:sz w:val="24"/>
          <w:highlight w:val="none"/>
        </w:rPr>
      </w:pPr>
      <w:r>
        <w:rPr>
          <w:rFonts w:hint="eastAsia" w:ascii="宋体" w:hAnsi="宋体"/>
          <w:b/>
          <w:bCs/>
          <w:color w:val="auto"/>
          <w:sz w:val="28"/>
          <w:szCs w:val="28"/>
          <w:highlight w:val="none"/>
          <w:lang w:val="en-US" w:eastAsia="zh-CN"/>
        </w:rPr>
        <w:t>六、</w:t>
      </w:r>
      <w:r>
        <w:rPr>
          <w:rFonts w:hint="eastAsia" w:ascii="宋体" w:hAnsi="宋体"/>
          <w:b/>
          <w:color w:val="auto"/>
          <w:sz w:val="28"/>
          <w:highlight w:val="none"/>
        </w:rPr>
        <w:t>中小企业声明函</w:t>
      </w:r>
    </w:p>
    <w:p w14:paraId="4601D2F8">
      <w:pPr>
        <w:pStyle w:val="199"/>
        <w:keepNext w:val="0"/>
        <w:keepLines w:val="0"/>
        <w:pageBreakBefore w:val="0"/>
        <w:bidi w:val="0"/>
        <w:spacing w:beforeAutospacing="0" w:afterAutospacing="0" w:line="440" w:lineRule="exact"/>
        <w:ind w:left="0" w:leftChars="0" w:right="0" w:rightChars="0" w:firstLine="480"/>
        <w:rPr>
          <w:color w:val="auto"/>
          <w:highlight w:val="none"/>
          <w:lang w:bidi="zh-CN"/>
        </w:rPr>
      </w:pPr>
      <w:r>
        <w:rPr>
          <w:rFonts w:hint="eastAsia"/>
          <w:color w:val="auto"/>
          <w:highlight w:val="none"/>
          <w:lang w:bidi="zh-CN"/>
        </w:rPr>
        <w:t>本公司（联合体）郑重声明，根据《政府采购促进中小企业发展管理办法》（财库﹝2020﹞46 号）的规定，本公司（联合体）参加</w:t>
      </w:r>
      <w:r>
        <w:rPr>
          <w:rFonts w:hint="eastAsia"/>
          <w:color w:val="auto"/>
          <w:highlight w:val="none"/>
          <w:u w:val="single"/>
          <w:lang w:bidi="zh-CN"/>
        </w:rPr>
        <w:t>（单位名称）</w:t>
      </w:r>
      <w:r>
        <w:rPr>
          <w:rFonts w:hint="eastAsia"/>
          <w:color w:val="auto"/>
          <w:highlight w:val="none"/>
          <w:lang w:bidi="zh-CN"/>
        </w:rPr>
        <w:t>的</w:t>
      </w:r>
      <w:r>
        <w:rPr>
          <w:rFonts w:hint="eastAsia"/>
          <w:color w:val="auto"/>
          <w:highlight w:val="none"/>
          <w:u w:val="single"/>
          <w:lang w:bidi="zh-CN"/>
        </w:rPr>
        <w:t>（项目名称）</w:t>
      </w:r>
      <w:r>
        <w:rPr>
          <w:rFonts w:hint="eastAsia"/>
          <w:color w:val="auto"/>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346B0B65">
      <w:pPr>
        <w:pStyle w:val="199"/>
        <w:keepNext w:val="0"/>
        <w:keepLines w:val="0"/>
        <w:pageBreakBefore w:val="0"/>
        <w:bidi w:val="0"/>
        <w:spacing w:beforeAutospacing="0" w:afterAutospacing="0" w:line="440" w:lineRule="exact"/>
        <w:ind w:left="0" w:leftChars="0" w:right="0" w:rightChars="0" w:firstLine="480"/>
        <w:rPr>
          <w:color w:val="auto"/>
          <w:highlight w:val="none"/>
          <w:lang w:bidi="zh-CN"/>
        </w:rPr>
      </w:pPr>
      <w:r>
        <w:rPr>
          <w:rFonts w:hint="eastAsia"/>
          <w:color w:val="auto"/>
          <w:highlight w:val="none"/>
          <w:lang w:bidi="zh-CN"/>
        </w:rPr>
        <w:t>1.</w:t>
      </w:r>
      <w:r>
        <w:rPr>
          <w:rFonts w:hint="eastAsia"/>
          <w:color w:val="auto"/>
          <w:highlight w:val="none"/>
          <w:u w:val="single"/>
          <w:lang w:bidi="zh-CN"/>
        </w:rPr>
        <w:t>（标的名称）</w:t>
      </w:r>
      <w:r>
        <w:rPr>
          <w:rFonts w:hint="eastAsia"/>
          <w:color w:val="auto"/>
          <w:highlight w:val="none"/>
          <w:lang w:bidi="zh-CN"/>
        </w:rPr>
        <w:t>，属于（</w:t>
      </w:r>
      <w:r>
        <w:rPr>
          <w:rFonts w:hint="eastAsia"/>
          <w:color w:val="auto"/>
          <w:highlight w:val="none"/>
          <w:u w:val="single"/>
          <w:lang w:bidi="zh-CN"/>
        </w:rPr>
        <w:t>采购文件中明确的所属行业）</w:t>
      </w:r>
      <w:r>
        <w:rPr>
          <w:rFonts w:hint="eastAsia"/>
          <w:color w:val="auto"/>
          <w:highlight w:val="none"/>
          <w:lang w:bidi="zh-CN"/>
        </w:rPr>
        <w:t>；承建（承接）企业为</w:t>
      </w:r>
      <w:r>
        <w:rPr>
          <w:rFonts w:hint="eastAsia"/>
          <w:color w:val="auto"/>
          <w:highlight w:val="none"/>
          <w:u w:val="single"/>
          <w:lang w:bidi="zh-CN"/>
        </w:rPr>
        <w:t>（企业名称）</w:t>
      </w:r>
      <w:r>
        <w:rPr>
          <w:rFonts w:hint="eastAsia"/>
          <w:color w:val="auto"/>
          <w:highlight w:val="none"/>
          <w:lang w:bidi="zh-CN"/>
        </w:rPr>
        <w:t>，从业人员</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人，营业收入为</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万元，资产总额为</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万元，属于</w:t>
      </w:r>
      <w:r>
        <w:rPr>
          <w:rFonts w:hint="eastAsia"/>
          <w:color w:val="auto"/>
          <w:highlight w:val="none"/>
          <w:u w:val="single"/>
          <w:lang w:bidi="zh-CN"/>
        </w:rPr>
        <w:t>（中型企业、小型企业、微型企业）</w:t>
      </w:r>
      <w:r>
        <w:rPr>
          <w:rFonts w:hint="eastAsia"/>
          <w:color w:val="auto"/>
          <w:highlight w:val="none"/>
          <w:lang w:bidi="zh-CN"/>
        </w:rPr>
        <w:t>；</w:t>
      </w:r>
    </w:p>
    <w:p w14:paraId="009748A4">
      <w:pPr>
        <w:pStyle w:val="199"/>
        <w:keepNext w:val="0"/>
        <w:keepLines w:val="0"/>
        <w:pageBreakBefore w:val="0"/>
        <w:bidi w:val="0"/>
        <w:spacing w:beforeAutospacing="0" w:afterAutospacing="0" w:line="440" w:lineRule="exact"/>
        <w:ind w:left="0" w:leftChars="0" w:right="0" w:rightChars="0" w:firstLine="480"/>
        <w:rPr>
          <w:color w:val="auto"/>
          <w:highlight w:val="none"/>
          <w:lang w:bidi="zh-CN"/>
        </w:rPr>
      </w:pPr>
      <w:r>
        <w:rPr>
          <w:rFonts w:hint="eastAsia"/>
          <w:color w:val="auto"/>
          <w:highlight w:val="none"/>
          <w:lang w:bidi="zh-CN"/>
        </w:rPr>
        <w:t>2.</w:t>
      </w:r>
      <w:r>
        <w:rPr>
          <w:rFonts w:hint="eastAsia"/>
          <w:color w:val="auto"/>
          <w:highlight w:val="none"/>
          <w:u w:val="single"/>
          <w:lang w:bidi="zh-CN"/>
        </w:rPr>
        <w:t>（标的名称）</w:t>
      </w:r>
      <w:r>
        <w:rPr>
          <w:rFonts w:hint="eastAsia"/>
          <w:color w:val="auto"/>
          <w:highlight w:val="none"/>
          <w:lang w:bidi="zh-CN"/>
        </w:rPr>
        <w:t>，属于（</w:t>
      </w:r>
      <w:r>
        <w:rPr>
          <w:rFonts w:hint="eastAsia"/>
          <w:color w:val="auto"/>
          <w:highlight w:val="none"/>
          <w:u w:val="single"/>
          <w:lang w:bidi="zh-CN"/>
        </w:rPr>
        <w:t>采购文件中明确的所属行业）</w:t>
      </w:r>
      <w:r>
        <w:rPr>
          <w:rFonts w:hint="eastAsia"/>
          <w:color w:val="auto"/>
          <w:highlight w:val="none"/>
          <w:lang w:bidi="zh-CN"/>
        </w:rPr>
        <w:t>；承建（承接）企业为</w:t>
      </w:r>
      <w:r>
        <w:rPr>
          <w:rFonts w:hint="eastAsia"/>
          <w:color w:val="auto"/>
          <w:highlight w:val="none"/>
          <w:u w:val="single"/>
          <w:lang w:bidi="zh-CN"/>
        </w:rPr>
        <w:t>（企业名称）</w:t>
      </w:r>
      <w:r>
        <w:rPr>
          <w:rFonts w:hint="eastAsia"/>
          <w:color w:val="auto"/>
          <w:highlight w:val="none"/>
          <w:lang w:bidi="zh-CN"/>
        </w:rPr>
        <w:t>，从业人员</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人，营业收入为</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万元，资产总额为</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万元，属于</w:t>
      </w:r>
      <w:r>
        <w:rPr>
          <w:rFonts w:hint="eastAsia"/>
          <w:color w:val="auto"/>
          <w:highlight w:val="none"/>
          <w:u w:val="single"/>
          <w:lang w:bidi="zh-CN"/>
        </w:rPr>
        <w:t>（中型企业、小型企业、微型企业）</w:t>
      </w:r>
      <w:r>
        <w:rPr>
          <w:rFonts w:hint="eastAsia"/>
          <w:color w:val="auto"/>
          <w:highlight w:val="none"/>
          <w:lang w:bidi="zh-CN"/>
        </w:rPr>
        <w:t>；</w:t>
      </w:r>
    </w:p>
    <w:p w14:paraId="5FF20217">
      <w:pPr>
        <w:pStyle w:val="199"/>
        <w:keepNext w:val="0"/>
        <w:keepLines w:val="0"/>
        <w:pageBreakBefore w:val="0"/>
        <w:bidi w:val="0"/>
        <w:spacing w:beforeAutospacing="0" w:afterAutospacing="0" w:line="440" w:lineRule="exact"/>
        <w:ind w:left="0" w:leftChars="0" w:right="0" w:rightChars="0" w:firstLine="480"/>
        <w:rPr>
          <w:color w:val="auto"/>
          <w:highlight w:val="none"/>
          <w:lang w:bidi="zh-CN"/>
        </w:rPr>
      </w:pPr>
      <w:r>
        <w:rPr>
          <w:rFonts w:hint="eastAsia"/>
          <w:color w:val="auto"/>
          <w:highlight w:val="none"/>
          <w:lang w:bidi="zh-CN"/>
        </w:rPr>
        <w:t>……</w:t>
      </w:r>
    </w:p>
    <w:p w14:paraId="137339D1">
      <w:pPr>
        <w:pStyle w:val="199"/>
        <w:keepNext w:val="0"/>
        <w:keepLines w:val="0"/>
        <w:pageBreakBefore w:val="0"/>
        <w:bidi w:val="0"/>
        <w:spacing w:beforeAutospacing="0" w:afterAutospacing="0" w:line="440" w:lineRule="exact"/>
        <w:ind w:left="0" w:leftChars="0" w:right="0" w:rightChars="0" w:firstLine="480"/>
        <w:rPr>
          <w:color w:val="auto"/>
          <w:highlight w:val="none"/>
          <w:lang w:bidi="zh-CN"/>
        </w:rPr>
      </w:pPr>
      <w:r>
        <w:rPr>
          <w:rFonts w:hint="eastAsia"/>
          <w:color w:val="auto"/>
          <w:highlight w:val="none"/>
          <w:lang w:bidi="zh-CN"/>
        </w:rPr>
        <w:t>以上企业，不属于大企业的分支机构，不存在控股股东为大企业的情形，也不存在与大企业的负责人为同一人的情形。</w:t>
      </w:r>
    </w:p>
    <w:p w14:paraId="0F269B25">
      <w:pPr>
        <w:pStyle w:val="199"/>
        <w:keepNext w:val="0"/>
        <w:keepLines w:val="0"/>
        <w:pageBreakBefore w:val="0"/>
        <w:bidi w:val="0"/>
        <w:spacing w:beforeAutospacing="0" w:afterAutospacing="0" w:line="440" w:lineRule="exact"/>
        <w:ind w:left="0" w:leftChars="0" w:right="0" w:rightChars="0" w:firstLine="480"/>
        <w:rPr>
          <w:color w:val="auto"/>
          <w:highlight w:val="none"/>
          <w:lang w:bidi="zh-CN"/>
        </w:rPr>
      </w:pPr>
      <w:r>
        <w:rPr>
          <w:rFonts w:hint="eastAsia"/>
          <w:color w:val="auto"/>
          <w:highlight w:val="none"/>
          <w:lang w:bidi="zh-CN"/>
        </w:rPr>
        <w:t>本企业对上述声明内容的真实性负责。如有虚假，将依法承担相应责任。</w:t>
      </w:r>
    </w:p>
    <w:p w14:paraId="548F5C20">
      <w:pPr>
        <w:keepNext w:val="0"/>
        <w:keepLines w:val="0"/>
        <w:pageBreakBefore w:val="0"/>
        <w:bidi w:val="0"/>
        <w:spacing w:beforeAutospacing="0" w:afterAutospacing="0" w:line="440" w:lineRule="exact"/>
        <w:ind w:left="0" w:leftChars="0" w:right="0" w:rightChars="0" w:firstLine="480" w:firstLineChars="200"/>
        <w:rPr>
          <w:rFonts w:cs="宋体" w:asciiTheme="majorEastAsia" w:hAnsiTheme="majorEastAsia" w:eastAsiaTheme="majorEastAsia"/>
          <w:color w:val="auto"/>
          <w:sz w:val="24"/>
          <w:highlight w:val="none"/>
        </w:rPr>
      </w:pPr>
    </w:p>
    <w:p w14:paraId="6102FF1C">
      <w:pPr>
        <w:keepNext w:val="0"/>
        <w:keepLines w:val="0"/>
        <w:pageBreakBefore w:val="0"/>
        <w:bidi w:val="0"/>
        <w:spacing w:beforeAutospacing="0" w:afterAutospacing="0" w:line="440" w:lineRule="exact"/>
        <w:ind w:left="0" w:leftChars="0" w:right="0" w:rightChars="0" w:firstLine="480" w:firstLineChars="200"/>
        <w:jc w:val="right"/>
        <w:rPr>
          <w:rFonts w:cs="宋体" w:asciiTheme="majorEastAsia" w:hAnsiTheme="majorEastAsia" w:eastAsiaTheme="majorEastAsia"/>
          <w:color w:val="auto"/>
          <w:sz w:val="24"/>
          <w:highlight w:val="none"/>
        </w:rPr>
      </w:pPr>
    </w:p>
    <w:p w14:paraId="1232808B">
      <w:pPr>
        <w:keepNext w:val="0"/>
        <w:keepLines w:val="0"/>
        <w:pageBreakBefore w:val="0"/>
        <w:bidi w:val="0"/>
        <w:spacing w:beforeAutospacing="0" w:afterAutospacing="0" w:line="440" w:lineRule="exact"/>
        <w:ind w:left="0" w:leftChars="0" w:right="0" w:rightChars="0" w:firstLine="480" w:firstLineChars="200"/>
        <w:jc w:val="righ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企业名称（盖章）：                         </w:t>
      </w:r>
    </w:p>
    <w:p w14:paraId="2E3B3303">
      <w:pPr>
        <w:keepNext w:val="0"/>
        <w:keepLines w:val="0"/>
        <w:pageBreakBefore w:val="0"/>
        <w:bidi w:val="0"/>
        <w:spacing w:beforeAutospacing="0" w:afterAutospacing="0" w:line="440" w:lineRule="exact"/>
        <w:ind w:left="0" w:leftChars="0" w:right="0" w:rightChars="0" w:firstLine="480" w:firstLineChars="200"/>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                                   日 期：</w:t>
      </w:r>
    </w:p>
    <w:p w14:paraId="22AEE7BA">
      <w:pPr>
        <w:keepNext w:val="0"/>
        <w:keepLines w:val="0"/>
        <w:pageBreakBefore w:val="0"/>
        <w:bidi w:val="0"/>
        <w:spacing w:beforeAutospacing="0" w:afterAutospacing="0" w:line="440" w:lineRule="exact"/>
        <w:ind w:left="0" w:leftChars="0" w:right="0" w:rightChars="0" w:firstLine="480" w:firstLineChars="200"/>
        <w:rPr>
          <w:rFonts w:cs="宋体" w:asciiTheme="majorEastAsia" w:hAnsiTheme="majorEastAsia" w:eastAsiaTheme="majorEastAsia"/>
          <w:color w:val="auto"/>
          <w:sz w:val="24"/>
          <w:highlight w:val="none"/>
        </w:rPr>
      </w:pPr>
    </w:p>
    <w:p w14:paraId="114E7B90">
      <w:pPr>
        <w:keepNext w:val="0"/>
        <w:keepLines w:val="0"/>
        <w:pageBreakBefore w:val="0"/>
        <w:bidi w:val="0"/>
        <w:spacing w:beforeAutospacing="0" w:afterAutospacing="0" w:line="440" w:lineRule="exact"/>
        <w:ind w:left="0" w:leftChars="0" w:right="0" w:rightChars="0"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（注：从业人员、营业收入、资产总额填报上一年度数据，无上一年度数据的新成立企业可不填报。）</w:t>
      </w:r>
    </w:p>
    <w:p w14:paraId="135BA4F3">
      <w:pPr>
        <w:keepNext w:val="0"/>
        <w:keepLines w:val="0"/>
        <w:pageBreakBefore w:val="0"/>
        <w:widowControl/>
        <w:bidi w:val="0"/>
        <w:spacing w:beforeAutospacing="0" w:afterAutospacing="0" w:line="440" w:lineRule="exact"/>
        <w:ind w:left="0" w:leftChars="0" w:right="0" w:rightChars="0" w:firstLine="480" w:firstLineChars="200"/>
        <w:jc w:val="left"/>
        <w:rPr>
          <w:rFonts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sz w:val="24"/>
          <w:highlight w:val="none"/>
        </w:rPr>
        <w:t>（备注：供应商如不提供上述声明函，价格将不做相应扣除）</w:t>
      </w:r>
      <w:r>
        <w:rPr>
          <w:rFonts w:hint="eastAsia" w:cs="宋体" w:asciiTheme="majorEastAsia" w:hAnsiTheme="majorEastAsia" w:eastAsiaTheme="majorEastAsia"/>
          <w:color w:val="auto"/>
          <w:kern w:val="0"/>
          <w:sz w:val="24"/>
          <w:highlight w:val="none"/>
        </w:rPr>
        <w:t>。</w:t>
      </w:r>
    </w:p>
    <w:p w14:paraId="56B75533">
      <w:pPr>
        <w:keepNext w:val="0"/>
        <w:keepLines w:val="0"/>
        <w:pageBreakBefore w:val="0"/>
        <w:bidi w:val="0"/>
        <w:snapToGrid w:val="0"/>
        <w:spacing w:beforeAutospacing="0" w:afterAutospacing="0" w:line="440" w:lineRule="exact"/>
        <w:ind w:left="0" w:leftChars="0" w:right="0" w:rightChars="0"/>
        <w:jc w:val="center"/>
        <w:outlineLvl w:val="1"/>
        <w:rPr>
          <w:rStyle w:val="80"/>
          <w:rFonts w:hint="eastAsia" w:ascii="宋体" w:hAnsi="宋体" w:eastAsia="宋体" w:cs="Times New Roman"/>
          <w:color w:val="auto"/>
          <w:sz w:val="28"/>
          <w:szCs w:val="28"/>
          <w:highlight w:val="none"/>
          <w:lang w:eastAsia="zh-CN"/>
        </w:rPr>
      </w:pPr>
      <w:r>
        <w:rPr>
          <w:rFonts w:ascii="宋体" w:hAnsi="宋体"/>
          <w:b/>
          <w:color w:val="auto"/>
          <w:sz w:val="32"/>
          <w:szCs w:val="32"/>
          <w:highlight w:val="none"/>
        </w:rPr>
        <w:br w:type="page"/>
      </w:r>
      <w:r>
        <w:rPr>
          <w:rFonts w:ascii="宋体" w:hAnsi="宋体"/>
          <w:b/>
          <w:color w:val="auto"/>
          <w:sz w:val="28"/>
          <w:highlight w:val="none"/>
        </w:rPr>
        <w:t>残疾人福利性单位声明函</w:t>
      </w:r>
      <w:r>
        <w:rPr>
          <w:rFonts w:hint="eastAsia" w:ascii="宋体" w:hAnsi="宋体"/>
          <w:b/>
          <w:color w:val="auto"/>
          <w:sz w:val="28"/>
          <w:highlight w:val="none"/>
          <w:lang w:eastAsia="zh-CN"/>
        </w:rPr>
        <w:t>（</w:t>
      </w:r>
      <w:r>
        <w:rPr>
          <w:rFonts w:hint="eastAsia" w:ascii="宋体" w:hAnsi="宋体"/>
          <w:b/>
          <w:color w:val="auto"/>
          <w:sz w:val="28"/>
          <w:highlight w:val="none"/>
          <w:lang w:val="en-US" w:eastAsia="zh-CN"/>
        </w:rPr>
        <w:t>如有</w:t>
      </w:r>
      <w:r>
        <w:rPr>
          <w:rFonts w:hint="eastAsia" w:ascii="宋体" w:hAnsi="宋体"/>
          <w:b/>
          <w:color w:val="auto"/>
          <w:sz w:val="28"/>
          <w:highlight w:val="none"/>
          <w:lang w:eastAsia="zh-CN"/>
        </w:rPr>
        <w:t>）</w:t>
      </w:r>
    </w:p>
    <w:p w14:paraId="677873C7">
      <w:pPr>
        <w:keepNext w:val="0"/>
        <w:keepLines w:val="0"/>
        <w:pageBreakBefore w:val="0"/>
        <w:bidi w:val="0"/>
        <w:spacing w:beforeAutospacing="0" w:afterAutospacing="0" w:line="440" w:lineRule="exact"/>
        <w:ind w:left="0" w:leftChars="0" w:right="0" w:rightChars="0"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单位的</w:t>
      </w:r>
      <w:r>
        <w:rPr>
          <w:rFonts w:hint="eastAsia" w:cs="宋体" w:asciiTheme="majorEastAsia" w:hAnsiTheme="majorEastAsia" w:eastAsiaTheme="majorEastAsia"/>
          <w:color w:val="auto"/>
          <w:sz w:val="24"/>
          <w:highlight w:val="none"/>
          <w:u w:val="single"/>
        </w:rPr>
        <w:t xml:space="preserve">     （采购项目名称）      </w:t>
      </w:r>
      <w:r>
        <w:rPr>
          <w:rFonts w:hint="eastAsia" w:cs="宋体" w:asciiTheme="majorEastAsia" w:hAnsiTheme="majorEastAsia" w:eastAsiaTheme="majorEastAsia"/>
          <w:color w:val="auto"/>
          <w:sz w:val="24"/>
          <w:highlight w:val="none"/>
        </w:rPr>
        <w:t>的项目采购活动提供本单位制造的货物（由本单位承担工程/提供服务），或者提供其他残疾人福利性单位制造的货物（不包括使用非残疾人福利性单位注册商标的货物）。</w:t>
      </w:r>
    </w:p>
    <w:p w14:paraId="6CC56FDB">
      <w:pPr>
        <w:keepNext w:val="0"/>
        <w:keepLines w:val="0"/>
        <w:pageBreakBefore w:val="0"/>
        <w:bidi w:val="0"/>
        <w:spacing w:beforeAutospacing="0" w:afterAutospacing="0" w:line="440" w:lineRule="exact"/>
        <w:ind w:left="0" w:leftChars="0" w:right="0" w:rightChars="0"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本单位对上述声明的真实性负责。如有虚假，将依法承担相应责任。</w:t>
      </w:r>
    </w:p>
    <w:p w14:paraId="4DF9DF35">
      <w:pPr>
        <w:keepNext w:val="0"/>
        <w:keepLines w:val="0"/>
        <w:pageBreakBefore w:val="0"/>
        <w:bidi w:val="0"/>
        <w:spacing w:beforeAutospacing="0" w:afterAutospacing="0" w:line="440" w:lineRule="exact"/>
        <w:ind w:left="0" w:leftChars="0" w:right="0" w:rightChars="0" w:firstLine="480" w:firstLineChars="200"/>
        <w:rPr>
          <w:rFonts w:cs="宋体" w:asciiTheme="majorEastAsia" w:hAnsiTheme="majorEastAsia" w:eastAsiaTheme="majorEastAsia"/>
          <w:color w:val="auto"/>
          <w:sz w:val="24"/>
          <w:highlight w:val="none"/>
        </w:rPr>
      </w:pPr>
    </w:p>
    <w:p w14:paraId="4B00C9A0">
      <w:pPr>
        <w:keepNext w:val="0"/>
        <w:keepLines w:val="0"/>
        <w:pageBreakBefore w:val="0"/>
        <w:bidi w:val="0"/>
        <w:spacing w:beforeAutospacing="0" w:afterAutospacing="0" w:line="440" w:lineRule="exact"/>
        <w:ind w:left="0" w:leftChars="0" w:right="0" w:rightChars="0"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（备注：1、供应商如不提供此声明函，价格将不做相应扣除。2、中标人为残疾人福利单位的，此声明函将随成交结果同时公告，接受社会监督）</w:t>
      </w:r>
    </w:p>
    <w:p w14:paraId="7DBDE527">
      <w:pPr>
        <w:keepNext w:val="0"/>
        <w:keepLines w:val="0"/>
        <w:pageBreakBefore w:val="0"/>
        <w:bidi w:val="0"/>
        <w:spacing w:beforeAutospacing="0" w:afterAutospacing="0" w:line="440" w:lineRule="exact"/>
        <w:ind w:left="0" w:leftChars="0" w:right="0" w:rightChars="0" w:firstLine="504" w:firstLineChars="200"/>
        <w:rPr>
          <w:rFonts w:cs="宋体" w:asciiTheme="majorEastAsia" w:hAnsiTheme="majorEastAsia" w:eastAsiaTheme="majorEastAsia"/>
          <w:color w:val="auto"/>
          <w:spacing w:val="6"/>
          <w:sz w:val="24"/>
          <w:highlight w:val="none"/>
        </w:rPr>
      </w:pPr>
    </w:p>
    <w:p w14:paraId="3C1AC469">
      <w:pPr>
        <w:keepNext w:val="0"/>
        <w:keepLines w:val="0"/>
        <w:pageBreakBefore w:val="0"/>
        <w:tabs>
          <w:tab w:val="left" w:pos="4860"/>
        </w:tabs>
        <w:bidi w:val="0"/>
        <w:spacing w:beforeAutospacing="0" w:afterAutospacing="0" w:line="440" w:lineRule="exact"/>
        <w:ind w:left="0" w:leftChars="0" w:right="0" w:rightChars="0" w:firstLine="480" w:firstLineChars="200"/>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                                 </w:t>
      </w:r>
    </w:p>
    <w:p w14:paraId="47EE2ADD">
      <w:pPr>
        <w:keepNext w:val="0"/>
        <w:keepLines w:val="0"/>
        <w:pageBreakBefore w:val="0"/>
        <w:tabs>
          <w:tab w:val="left" w:pos="4860"/>
        </w:tabs>
        <w:bidi w:val="0"/>
        <w:spacing w:beforeAutospacing="0" w:afterAutospacing="0" w:line="440" w:lineRule="exact"/>
        <w:ind w:left="0" w:leftChars="0" w:right="0" w:rightChars="0" w:firstLine="480" w:firstLineChars="200"/>
        <w:jc w:val="center"/>
        <w:rPr>
          <w:rFonts w:cs="宋体" w:asciiTheme="majorEastAsia" w:hAnsiTheme="majorEastAsia" w:eastAsiaTheme="majorEastAsia"/>
          <w:color w:val="auto"/>
          <w:sz w:val="24"/>
          <w:highlight w:val="none"/>
        </w:rPr>
      </w:pPr>
    </w:p>
    <w:p w14:paraId="6BA6ACB0">
      <w:pPr>
        <w:keepNext w:val="0"/>
        <w:keepLines w:val="0"/>
        <w:pageBreakBefore w:val="0"/>
        <w:tabs>
          <w:tab w:val="left" w:pos="4860"/>
        </w:tabs>
        <w:bidi w:val="0"/>
        <w:spacing w:beforeAutospacing="0" w:afterAutospacing="0" w:line="440" w:lineRule="exact"/>
        <w:ind w:left="0" w:leftChars="0" w:right="0" w:rightChars="0" w:firstLine="480" w:firstLineChars="200"/>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               供应商全称（盖章）：</w:t>
      </w:r>
    </w:p>
    <w:p w14:paraId="3E09A34B">
      <w:pPr>
        <w:keepNext w:val="0"/>
        <w:keepLines w:val="0"/>
        <w:pageBreakBefore w:val="0"/>
        <w:tabs>
          <w:tab w:val="left" w:pos="4860"/>
        </w:tabs>
        <w:bidi w:val="0"/>
        <w:spacing w:beforeAutospacing="0" w:afterAutospacing="0" w:line="440" w:lineRule="exact"/>
        <w:ind w:left="0" w:leftChars="0" w:right="0" w:rightChars="0" w:firstLine="480" w:firstLineChars="200"/>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                           日  期：</w:t>
      </w:r>
    </w:p>
    <w:p w14:paraId="5881217A">
      <w:pPr>
        <w:keepNext w:val="0"/>
        <w:keepLines w:val="0"/>
        <w:pageBreakBefore w:val="0"/>
        <w:widowControl/>
        <w:bidi w:val="0"/>
        <w:spacing w:beforeAutospacing="0" w:afterAutospacing="0" w:line="440" w:lineRule="exact"/>
        <w:ind w:left="0" w:leftChars="0" w:right="0" w:rightChars="0"/>
        <w:jc w:val="left"/>
        <w:rPr>
          <w:rFonts w:cs="宋体" w:asciiTheme="majorEastAsia" w:hAnsiTheme="majorEastAsia" w:eastAsiaTheme="majorEastAsia"/>
          <w:color w:val="auto"/>
          <w:kern w:val="0"/>
          <w:sz w:val="24"/>
          <w:highlight w:val="none"/>
        </w:rPr>
      </w:pPr>
      <w:r>
        <w:rPr>
          <w:rFonts w:cs="宋体" w:asciiTheme="majorEastAsia" w:hAnsiTheme="majorEastAsia" w:eastAsiaTheme="majorEastAsia"/>
          <w:color w:val="auto"/>
          <w:kern w:val="0"/>
          <w:sz w:val="24"/>
          <w:highlight w:val="none"/>
        </w:rPr>
        <w:br w:type="page"/>
      </w:r>
    </w:p>
    <w:p w14:paraId="06456CB0">
      <w:pPr>
        <w:keepNext w:val="0"/>
        <w:keepLines w:val="0"/>
        <w:pageBreakBefore w:val="0"/>
        <w:bidi w:val="0"/>
        <w:snapToGrid w:val="0"/>
        <w:spacing w:beforeAutospacing="0" w:afterAutospacing="0" w:line="440" w:lineRule="exact"/>
        <w:ind w:left="0" w:leftChars="0" w:right="0" w:rightChars="0"/>
        <w:jc w:val="center"/>
        <w:outlineLvl w:val="1"/>
        <w:rPr>
          <w:rFonts w:ascii="宋体" w:hAnsi="宋体"/>
          <w:b/>
          <w:color w:val="auto"/>
          <w:sz w:val="28"/>
          <w:highlight w:val="none"/>
        </w:rPr>
      </w:pPr>
      <w:r>
        <w:rPr>
          <w:rFonts w:hint="eastAsia" w:ascii="宋体" w:hAnsi="宋体"/>
          <w:b/>
          <w:color w:val="auto"/>
          <w:sz w:val="28"/>
          <w:highlight w:val="none"/>
        </w:rPr>
        <w:t>监狱企业的证明</w:t>
      </w:r>
    </w:p>
    <w:p w14:paraId="52800805">
      <w:pPr>
        <w:keepNext w:val="0"/>
        <w:keepLines w:val="0"/>
        <w:pageBreakBefore w:val="0"/>
        <w:bidi w:val="0"/>
        <w:snapToGrid w:val="0"/>
        <w:spacing w:beforeAutospacing="0" w:afterAutospacing="0" w:line="440" w:lineRule="exact"/>
        <w:ind w:left="0" w:leftChars="0" w:right="0" w:rightChars="0" w:firstLine="424" w:firstLineChars="177"/>
        <w:jc w:val="center"/>
        <w:rPr>
          <w:color w:val="auto"/>
          <w:sz w:val="24"/>
          <w:highlight w:val="none"/>
        </w:rPr>
      </w:pPr>
      <w:r>
        <w:rPr>
          <w:rFonts w:hint="eastAsia"/>
          <w:color w:val="auto"/>
          <w:sz w:val="24"/>
          <w:highlight w:val="none"/>
        </w:rPr>
        <w:t>（格式自拟）</w:t>
      </w:r>
    </w:p>
    <w:p w14:paraId="441974AC">
      <w:pPr>
        <w:keepNext w:val="0"/>
        <w:keepLines w:val="0"/>
        <w:pageBreakBefore w:val="0"/>
        <w:bidi w:val="0"/>
        <w:snapToGrid w:val="0"/>
        <w:spacing w:beforeAutospacing="0" w:afterAutospacing="0" w:line="440" w:lineRule="exact"/>
        <w:ind w:left="0" w:leftChars="0" w:right="0" w:rightChars="0" w:firstLine="566" w:firstLineChars="236"/>
        <w:rPr>
          <w:color w:val="auto"/>
          <w:sz w:val="24"/>
          <w:highlight w:val="none"/>
        </w:rPr>
      </w:pPr>
      <w:r>
        <w:rPr>
          <w:rFonts w:hint="eastAsia"/>
          <w:color w:val="auto"/>
          <w:sz w:val="24"/>
          <w:highlight w:val="none"/>
        </w:rPr>
        <w:t>根据《财政部司法部关于政府采购支持监狱企业发展有关问题的通知》（财库〔</w:t>
      </w:r>
      <w:r>
        <w:rPr>
          <w:color w:val="auto"/>
          <w:sz w:val="24"/>
          <w:highlight w:val="none"/>
        </w:rPr>
        <w:t>2014</w:t>
      </w:r>
      <w:r>
        <w:rPr>
          <w:rFonts w:hint="eastAsia"/>
          <w:color w:val="auto"/>
          <w:sz w:val="24"/>
          <w:highlight w:val="none"/>
        </w:rPr>
        <w:t>〕</w:t>
      </w:r>
      <w:r>
        <w:rPr>
          <w:color w:val="auto"/>
          <w:sz w:val="24"/>
          <w:highlight w:val="none"/>
        </w:rPr>
        <w:t>68</w:t>
      </w:r>
      <w:r>
        <w:rPr>
          <w:rFonts w:hint="eastAsia"/>
          <w:color w:val="auto"/>
          <w:sz w:val="24"/>
          <w:highlight w:val="none"/>
        </w:rPr>
        <w:t>号），监狱企业参加政府采购活动时，应当提供由省级以上监狱管理局、戒毒管理局（含新疆生产建设兵团）出具的，供应商属于监狱企业的证明文件。</w:t>
      </w:r>
    </w:p>
    <w:p w14:paraId="63B4F762">
      <w:pPr>
        <w:keepNext w:val="0"/>
        <w:keepLines w:val="0"/>
        <w:pageBreakBefore w:val="0"/>
        <w:bidi w:val="0"/>
        <w:spacing w:beforeAutospacing="0" w:afterAutospacing="0" w:line="440" w:lineRule="exact"/>
        <w:ind w:left="0" w:leftChars="0" w:right="0" w:rightChars="0" w:firstLine="480" w:firstLineChars="200"/>
        <w:jc w:val="left"/>
        <w:rPr>
          <w:rFonts w:ascii="宋体" w:hAnsi="宋体"/>
          <w:color w:val="auto"/>
          <w:sz w:val="24"/>
          <w:highlight w:val="none"/>
        </w:rPr>
      </w:pPr>
    </w:p>
    <w:p w14:paraId="1084DA01">
      <w:pPr>
        <w:keepNext w:val="0"/>
        <w:keepLines w:val="0"/>
        <w:pageBreakBefore w:val="0"/>
        <w:bidi w:val="0"/>
        <w:spacing w:beforeAutospacing="0" w:afterAutospacing="0" w:line="440" w:lineRule="exact"/>
        <w:ind w:left="0" w:leftChars="0" w:right="0" w:rightChars="0"/>
        <w:jc w:val="center"/>
        <w:rPr>
          <w:rFonts w:hint="eastAsia" w:ascii="宋体" w:hAnsi="宋体"/>
          <w:b/>
          <w:bCs/>
          <w:color w:val="auto"/>
          <w:sz w:val="28"/>
          <w:szCs w:val="28"/>
          <w:highlight w:val="none"/>
          <w:lang w:val="en-US" w:eastAsia="zh-CN"/>
        </w:rPr>
      </w:pPr>
    </w:p>
    <w:p w14:paraId="05152FBB">
      <w:pPr>
        <w:keepNext w:val="0"/>
        <w:keepLines w:val="0"/>
        <w:pageBreakBefore w:val="0"/>
        <w:bidi w:val="0"/>
        <w:spacing w:beforeAutospacing="0" w:afterAutospacing="0" w:line="440" w:lineRule="exact"/>
        <w:ind w:left="0" w:leftChars="0" w:right="0" w:rightChars="0"/>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br w:type="page"/>
      </w:r>
    </w:p>
    <w:p w14:paraId="4F70FD21">
      <w:pPr>
        <w:keepNext w:val="0"/>
        <w:keepLines w:val="0"/>
        <w:pageBreakBefore w:val="0"/>
        <w:bidi w:val="0"/>
        <w:spacing w:beforeAutospacing="0" w:afterAutospacing="0" w:line="440" w:lineRule="exact"/>
        <w:ind w:left="0" w:leftChars="0" w:right="0" w:rightChars="0"/>
        <w:jc w:val="center"/>
        <w:rPr>
          <w:rFonts w:ascii="宋体"/>
          <w:color w:val="auto"/>
          <w:highlight w:val="none"/>
        </w:rPr>
      </w:pPr>
      <w:r>
        <w:rPr>
          <w:rFonts w:hint="eastAsia" w:ascii="宋体" w:hAnsi="宋体"/>
          <w:b/>
          <w:bCs/>
          <w:color w:val="auto"/>
          <w:sz w:val="28"/>
          <w:szCs w:val="28"/>
          <w:highlight w:val="none"/>
          <w:lang w:val="en-US" w:eastAsia="zh-CN"/>
        </w:rPr>
        <w:t>七</w:t>
      </w:r>
      <w:bookmarkStart w:id="31" w:name="_GoBack"/>
      <w:bookmarkEnd w:id="31"/>
      <w:r>
        <w:rPr>
          <w:rFonts w:hint="eastAsia" w:ascii="宋体" w:hAnsi="宋体"/>
          <w:b/>
          <w:bCs/>
          <w:color w:val="auto"/>
          <w:sz w:val="28"/>
          <w:szCs w:val="28"/>
          <w:highlight w:val="none"/>
        </w:rPr>
        <w:t>、应附的其他材料</w:t>
      </w:r>
    </w:p>
    <w:p w14:paraId="3C074024">
      <w:pPr>
        <w:keepNext w:val="0"/>
        <w:keepLines w:val="0"/>
        <w:pageBreakBefore w:val="0"/>
        <w:tabs>
          <w:tab w:val="left" w:pos="2020"/>
          <w:tab w:val="center" w:pos="4535"/>
        </w:tabs>
        <w:bidi w:val="0"/>
        <w:spacing w:beforeAutospacing="0" w:afterAutospacing="0" w:line="440" w:lineRule="exact"/>
        <w:ind w:left="0" w:leftChars="0" w:right="0" w:rightChars="0" w:firstLine="210" w:firstLineChars="100"/>
        <w:rPr>
          <w:rFonts w:ascii="宋体" w:hAnsi="宋体"/>
          <w:color w:val="auto"/>
          <w:sz w:val="28"/>
          <w:szCs w:val="20"/>
          <w:highlight w:val="none"/>
        </w:rPr>
      </w:pPr>
      <w:r>
        <w:rPr>
          <w:rFonts w:ascii="宋体" w:hAnsi="宋体"/>
          <w:color w:val="auto"/>
          <w:highlight w:val="none"/>
        </w:rPr>
        <w:br w:type="page"/>
      </w:r>
      <w:r>
        <w:rPr>
          <w:rFonts w:hint="eastAsia" w:ascii="宋体" w:hAnsi="宋体"/>
          <w:color w:val="auto"/>
          <w:sz w:val="28"/>
          <w:szCs w:val="28"/>
          <w:highlight w:val="none"/>
        </w:rPr>
        <w:t>第二部分格式：</w:t>
      </w:r>
    </w:p>
    <w:p w14:paraId="6C6F57F1">
      <w:pPr>
        <w:keepNext w:val="0"/>
        <w:keepLines w:val="0"/>
        <w:pageBreakBefore w:val="0"/>
        <w:tabs>
          <w:tab w:val="left" w:pos="2020"/>
          <w:tab w:val="center" w:pos="4535"/>
        </w:tabs>
        <w:bidi w:val="0"/>
        <w:spacing w:beforeAutospacing="0" w:afterAutospacing="0" w:line="440" w:lineRule="exact"/>
        <w:ind w:left="0" w:leftChars="0" w:right="0" w:rightChars="0" w:firstLine="280" w:firstLineChars="100"/>
        <w:rPr>
          <w:rFonts w:ascii="宋体" w:hAnsi="宋体"/>
          <w:color w:val="auto"/>
          <w:sz w:val="28"/>
          <w:szCs w:val="20"/>
          <w:highlight w:val="none"/>
        </w:rPr>
      </w:pPr>
    </w:p>
    <w:p w14:paraId="0FC60DDE">
      <w:pPr>
        <w:keepNext w:val="0"/>
        <w:keepLines w:val="0"/>
        <w:pageBreakBefore w:val="0"/>
        <w:tabs>
          <w:tab w:val="left" w:pos="159"/>
        </w:tabs>
        <w:bidi w:val="0"/>
        <w:spacing w:beforeAutospacing="0" w:afterAutospacing="0" w:line="440" w:lineRule="exact"/>
        <w:ind w:left="0" w:leftChars="0" w:right="0" w:rightChars="0"/>
        <w:rPr>
          <w:rFonts w:ascii="宋体" w:hAnsi="宋体"/>
          <w:color w:val="auto"/>
          <w:sz w:val="28"/>
          <w:szCs w:val="28"/>
          <w:highlight w:val="none"/>
        </w:rPr>
      </w:pPr>
    </w:p>
    <w:p w14:paraId="34DE74FE">
      <w:pPr>
        <w:keepNext w:val="0"/>
        <w:keepLines w:val="0"/>
        <w:pageBreakBefore w:val="0"/>
        <w:bidi w:val="0"/>
        <w:spacing w:beforeAutospacing="0" w:afterAutospacing="0" w:line="440" w:lineRule="exact"/>
        <w:ind w:left="1918" w:leftChars="0" w:right="0" w:rightChars="0" w:hanging="1918" w:hangingChars="533"/>
        <w:rPr>
          <w:rFonts w:ascii="宋体" w:hAnsi="宋体"/>
          <w:color w:val="auto"/>
          <w:szCs w:val="21"/>
          <w:highlight w:val="none"/>
        </w:rPr>
      </w:pPr>
      <w:r>
        <w:rPr>
          <w:rFonts w:hint="eastAsia" w:ascii="宋体" w:hAnsi="宋体"/>
          <w:b/>
          <w:color w:val="auto"/>
          <w:sz w:val="36"/>
          <w:szCs w:val="36"/>
          <w:highlight w:val="none"/>
        </w:rPr>
        <w:t xml:space="preserve"> </w:t>
      </w:r>
      <w:r>
        <w:rPr>
          <w:rFonts w:ascii="宋体" w:hAnsi="宋体"/>
          <w:b/>
          <w:color w:val="auto"/>
          <w:sz w:val="36"/>
          <w:szCs w:val="36"/>
          <w:highlight w:val="none"/>
        </w:rPr>
        <w:t xml:space="preserve">             </w:t>
      </w:r>
      <w:r>
        <w:rPr>
          <w:rFonts w:ascii="宋体" w:hAnsi="宋体"/>
          <w:b/>
          <w:color w:val="auto"/>
          <w:sz w:val="36"/>
          <w:szCs w:val="36"/>
          <w:highlight w:val="none"/>
          <w:u w:val="single"/>
        </w:rPr>
        <w:t xml:space="preserve">   </w:t>
      </w:r>
      <w:r>
        <w:rPr>
          <w:rFonts w:hint="eastAsia" w:ascii="宋体" w:hAnsi="宋体"/>
          <w:b/>
          <w:bCs/>
          <w:color w:val="auto"/>
          <w:spacing w:val="-6"/>
          <w:sz w:val="30"/>
          <w:szCs w:val="30"/>
          <w:highlight w:val="none"/>
          <w:u w:val="single"/>
        </w:rPr>
        <w:t>（项目名称）</w:t>
      </w:r>
      <w:r>
        <w:rPr>
          <w:rFonts w:hint="eastAsia" w:ascii="宋体" w:hAnsi="宋体"/>
          <w:b/>
          <w:color w:val="auto"/>
          <w:sz w:val="30"/>
          <w:szCs w:val="30"/>
          <w:highlight w:val="none"/>
          <w:u w:val="singl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项目</w:t>
      </w:r>
    </w:p>
    <w:p w14:paraId="7D16D5D4">
      <w:pPr>
        <w:keepNext w:val="0"/>
        <w:keepLines w:val="0"/>
        <w:pageBreakBefore w:val="0"/>
        <w:bidi w:val="0"/>
        <w:spacing w:beforeAutospacing="0" w:afterAutospacing="0" w:line="440" w:lineRule="exact"/>
        <w:ind w:left="0" w:leftChars="0" w:right="0" w:rightChars="0"/>
        <w:jc w:val="center"/>
        <w:rPr>
          <w:rFonts w:ascii="宋体" w:hAnsi="宋体"/>
          <w:b/>
          <w:bCs/>
          <w:color w:val="auto"/>
          <w:sz w:val="44"/>
          <w:szCs w:val="44"/>
          <w:highlight w:val="none"/>
        </w:rPr>
      </w:pPr>
    </w:p>
    <w:p w14:paraId="3DEE52BA">
      <w:pPr>
        <w:keepNext w:val="0"/>
        <w:keepLines w:val="0"/>
        <w:pageBreakBefore w:val="0"/>
        <w:bidi w:val="0"/>
        <w:spacing w:beforeAutospacing="0" w:afterAutospacing="0" w:line="440" w:lineRule="exact"/>
        <w:ind w:left="0" w:leftChars="0" w:right="0" w:rightChars="0"/>
        <w:jc w:val="center"/>
        <w:rPr>
          <w:rFonts w:ascii="宋体" w:hAnsi="宋体"/>
          <w:b/>
          <w:bCs/>
          <w:color w:val="auto"/>
          <w:sz w:val="30"/>
          <w:szCs w:val="30"/>
          <w:highlight w:val="none"/>
        </w:rPr>
      </w:pPr>
      <w:r>
        <w:rPr>
          <w:rFonts w:hint="eastAsia" w:ascii="宋体" w:hAnsi="宋体"/>
          <w:b/>
          <w:bCs/>
          <w:color w:val="auto"/>
          <w:sz w:val="30"/>
          <w:szCs w:val="30"/>
          <w:highlight w:val="none"/>
        </w:rPr>
        <w:t>投标文件</w:t>
      </w:r>
    </w:p>
    <w:p w14:paraId="34BEDDF1">
      <w:pPr>
        <w:keepNext w:val="0"/>
        <w:keepLines w:val="0"/>
        <w:pageBreakBefore w:val="0"/>
        <w:bidi w:val="0"/>
        <w:spacing w:beforeAutospacing="0" w:afterAutospacing="0" w:line="440" w:lineRule="exact"/>
        <w:ind w:left="0" w:leftChars="0" w:right="0" w:rightChars="0"/>
        <w:jc w:val="center"/>
        <w:rPr>
          <w:rFonts w:ascii="宋体" w:hAnsi="宋体"/>
          <w:b/>
          <w:bCs/>
          <w:color w:val="auto"/>
          <w:sz w:val="30"/>
          <w:szCs w:val="30"/>
          <w:highlight w:val="none"/>
        </w:rPr>
      </w:pPr>
      <w:r>
        <w:rPr>
          <w:rFonts w:hint="eastAsia" w:ascii="宋体" w:hAnsi="宋体"/>
          <w:b/>
          <w:bCs/>
          <w:color w:val="auto"/>
          <w:sz w:val="30"/>
          <w:szCs w:val="30"/>
          <w:highlight w:val="none"/>
        </w:rPr>
        <w:t>（商务技术文件）</w:t>
      </w:r>
    </w:p>
    <w:p w14:paraId="6A5A698A">
      <w:pPr>
        <w:keepNext w:val="0"/>
        <w:keepLines w:val="0"/>
        <w:pageBreakBefore w:val="0"/>
        <w:bidi w:val="0"/>
        <w:spacing w:beforeAutospacing="0" w:afterAutospacing="0" w:line="440" w:lineRule="exact"/>
        <w:ind w:left="0" w:leftChars="0" w:right="0" w:rightChars="0"/>
        <w:jc w:val="center"/>
        <w:rPr>
          <w:rFonts w:ascii="宋体" w:hAnsi="宋体"/>
          <w:b/>
          <w:bCs/>
          <w:color w:val="auto"/>
          <w:sz w:val="72"/>
          <w:szCs w:val="72"/>
          <w:highlight w:val="none"/>
        </w:rPr>
      </w:pPr>
    </w:p>
    <w:p w14:paraId="713C29B6">
      <w:pPr>
        <w:keepNext w:val="0"/>
        <w:keepLines w:val="0"/>
        <w:pageBreakBefore w:val="0"/>
        <w:bidi w:val="0"/>
        <w:spacing w:beforeAutospacing="0" w:afterAutospacing="0" w:line="440" w:lineRule="exact"/>
        <w:ind w:left="0" w:leftChars="0" w:right="0" w:rightChars="0"/>
        <w:jc w:val="center"/>
        <w:rPr>
          <w:rFonts w:ascii="宋体" w:hAnsi="宋体"/>
          <w:b/>
          <w:bCs/>
          <w:color w:val="auto"/>
          <w:sz w:val="72"/>
          <w:szCs w:val="72"/>
          <w:highlight w:val="none"/>
        </w:rPr>
      </w:pPr>
    </w:p>
    <w:p w14:paraId="3A0E456C">
      <w:pPr>
        <w:keepNext w:val="0"/>
        <w:keepLines w:val="0"/>
        <w:pageBreakBefore w:val="0"/>
        <w:bidi w:val="0"/>
        <w:spacing w:beforeAutospacing="0" w:afterAutospacing="0" w:line="440" w:lineRule="exact"/>
        <w:ind w:left="0" w:leftChars="0" w:right="0" w:rightChars="0"/>
        <w:jc w:val="center"/>
        <w:rPr>
          <w:rFonts w:ascii="宋体" w:hAnsi="宋体"/>
          <w:b/>
          <w:bCs/>
          <w:color w:val="auto"/>
          <w:sz w:val="72"/>
          <w:szCs w:val="72"/>
          <w:highlight w:val="none"/>
        </w:rPr>
      </w:pPr>
    </w:p>
    <w:p w14:paraId="05F96129">
      <w:pPr>
        <w:keepNext w:val="0"/>
        <w:keepLines w:val="0"/>
        <w:pageBreakBefore w:val="0"/>
        <w:tabs>
          <w:tab w:val="left" w:pos="2020"/>
          <w:tab w:val="center" w:pos="4535"/>
        </w:tabs>
        <w:bidi w:val="0"/>
        <w:spacing w:beforeAutospacing="0" w:afterAutospacing="0" w:line="440" w:lineRule="exact"/>
        <w:ind w:left="0" w:leftChars="0" w:right="0" w:rightChars="0" w:firstLine="280" w:firstLineChars="100"/>
        <w:rPr>
          <w:rFonts w:ascii="宋体" w:hAnsi="宋体"/>
          <w:color w:val="auto"/>
          <w:sz w:val="28"/>
          <w:szCs w:val="20"/>
          <w:highlight w:val="none"/>
        </w:rPr>
      </w:pPr>
    </w:p>
    <w:p w14:paraId="4D08F4AA">
      <w:pPr>
        <w:keepNext w:val="0"/>
        <w:keepLines w:val="0"/>
        <w:pageBreakBefore w:val="0"/>
        <w:tabs>
          <w:tab w:val="left" w:pos="2020"/>
          <w:tab w:val="center" w:pos="4535"/>
        </w:tabs>
        <w:bidi w:val="0"/>
        <w:spacing w:beforeAutospacing="0" w:afterAutospacing="0" w:line="440" w:lineRule="exact"/>
        <w:ind w:left="0" w:leftChars="0" w:right="0" w:rightChars="0" w:firstLine="280" w:firstLineChars="100"/>
        <w:rPr>
          <w:rFonts w:ascii="宋体" w:hAnsi="宋体"/>
          <w:color w:val="auto"/>
          <w:sz w:val="28"/>
          <w:szCs w:val="20"/>
          <w:highlight w:val="none"/>
        </w:rPr>
      </w:pPr>
    </w:p>
    <w:p w14:paraId="09230A86">
      <w:pPr>
        <w:keepNext w:val="0"/>
        <w:keepLines w:val="0"/>
        <w:pageBreakBefore w:val="0"/>
        <w:bidi w:val="0"/>
        <w:spacing w:beforeAutospacing="0" w:afterAutospacing="0" w:line="440" w:lineRule="exact"/>
        <w:ind w:left="0" w:leftChars="0" w:right="0" w:rightChars="0" w:firstLine="600" w:firstLineChars="200"/>
        <w:rPr>
          <w:rFonts w:ascii="宋体" w:hAnsi="宋体"/>
          <w:b/>
          <w:color w:val="auto"/>
          <w:sz w:val="30"/>
          <w:szCs w:val="30"/>
          <w:highlight w:val="none"/>
        </w:rPr>
      </w:pPr>
      <w:r>
        <w:rPr>
          <w:rFonts w:hint="eastAsia" w:ascii="宋体" w:hAnsi="宋体"/>
          <w:b/>
          <w:color w:val="auto"/>
          <w:sz w:val="30"/>
          <w:szCs w:val="30"/>
          <w:highlight w:val="none"/>
        </w:rPr>
        <w:t>供应商（盖公章）：</w:t>
      </w:r>
      <w:r>
        <w:rPr>
          <w:rFonts w:hint="eastAsia" w:ascii="宋体" w:hAnsi="宋体"/>
          <w:b/>
          <w:color w:val="auto"/>
          <w:sz w:val="30"/>
          <w:szCs w:val="30"/>
          <w:highlight w:val="none"/>
          <w:u w:val="single"/>
        </w:rPr>
        <w:t xml:space="preserve">                                    </w:t>
      </w:r>
    </w:p>
    <w:p w14:paraId="70DF652A">
      <w:pPr>
        <w:keepNext w:val="0"/>
        <w:keepLines w:val="0"/>
        <w:pageBreakBefore w:val="0"/>
        <w:bidi w:val="0"/>
        <w:spacing w:beforeAutospacing="0" w:afterAutospacing="0" w:line="440" w:lineRule="exact"/>
        <w:ind w:left="1149" w:leftChars="0" w:right="0" w:rightChars="0" w:hanging="1149" w:hangingChars="383"/>
        <w:rPr>
          <w:rFonts w:ascii="宋体" w:hAnsi="宋体"/>
          <w:b/>
          <w:color w:val="auto"/>
          <w:sz w:val="30"/>
          <w:szCs w:val="30"/>
          <w:highlight w:val="none"/>
        </w:rPr>
      </w:pPr>
    </w:p>
    <w:p w14:paraId="3FD3DCE1">
      <w:pPr>
        <w:keepNext w:val="0"/>
        <w:keepLines w:val="0"/>
        <w:pageBreakBefore w:val="0"/>
        <w:bidi w:val="0"/>
        <w:spacing w:beforeAutospacing="0" w:afterAutospacing="0" w:line="440" w:lineRule="exact"/>
        <w:ind w:left="0" w:leftChars="0" w:right="0" w:rightChars="0"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法定代表人（或委托授权代表）签字（或盖章）：</w:t>
      </w:r>
      <w:r>
        <w:rPr>
          <w:rFonts w:hint="eastAsia" w:ascii="宋体" w:hAnsi="宋体"/>
          <w:b/>
          <w:color w:val="auto"/>
          <w:sz w:val="30"/>
          <w:szCs w:val="30"/>
          <w:highlight w:val="none"/>
          <w:u w:val="single"/>
        </w:rPr>
        <w:t xml:space="preserve">                    </w:t>
      </w:r>
    </w:p>
    <w:p w14:paraId="06224542">
      <w:pPr>
        <w:keepNext w:val="0"/>
        <w:keepLines w:val="0"/>
        <w:pageBreakBefore w:val="0"/>
        <w:bidi w:val="0"/>
        <w:spacing w:beforeAutospacing="0" w:afterAutospacing="0" w:line="440" w:lineRule="exact"/>
        <w:ind w:left="0" w:leftChars="0" w:right="0" w:rightChars="0" w:firstLine="594" w:firstLineChars="198"/>
        <w:rPr>
          <w:rFonts w:ascii="宋体" w:hAnsi="宋体"/>
          <w:b/>
          <w:color w:val="auto"/>
          <w:sz w:val="30"/>
          <w:szCs w:val="30"/>
          <w:highlight w:val="none"/>
        </w:rPr>
      </w:pPr>
    </w:p>
    <w:p w14:paraId="674766BA">
      <w:pPr>
        <w:keepNext w:val="0"/>
        <w:keepLines w:val="0"/>
        <w:pageBreakBefore w:val="0"/>
        <w:bidi w:val="0"/>
        <w:spacing w:beforeAutospacing="0" w:afterAutospacing="0" w:line="440" w:lineRule="exact"/>
        <w:ind w:left="0" w:leftChars="0" w:right="0" w:rightChars="0"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日    期：</w:t>
      </w:r>
      <w:r>
        <w:rPr>
          <w:rFonts w:hint="eastAsia" w:ascii="宋体" w:hAnsi="宋体"/>
          <w:b/>
          <w:color w:val="auto"/>
          <w:sz w:val="30"/>
          <w:szCs w:val="30"/>
          <w:highlight w:val="none"/>
          <w:u w:val="single"/>
        </w:rPr>
        <w:t xml:space="preserve">                                    </w:t>
      </w:r>
    </w:p>
    <w:p w14:paraId="283EAD91">
      <w:pPr>
        <w:pStyle w:val="63"/>
        <w:keepNext w:val="0"/>
        <w:keepLines w:val="0"/>
        <w:pageBreakBefore w:val="0"/>
        <w:bidi w:val="0"/>
        <w:spacing w:beforeAutospacing="0" w:after="0" w:afterLines="0" w:afterAutospacing="0" w:line="440" w:lineRule="exact"/>
        <w:ind w:left="0" w:leftChars="0" w:right="0" w:rightChars="0"/>
        <w:rPr>
          <w:color w:val="auto"/>
          <w:highlight w:val="none"/>
        </w:rPr>
      </w:pPr>
      <w:r>
        <w:rPr>
          <w:color w:val="auto"/>
          <w:highlight w:val="none"/>
        </w:rPr>
        <w:br w:type="page"/>
      </w:r>
    </w:p>
    <w:p w14:paraId="50492BDE">
      <w:pPr>
        <w:keepNext w:val="0"/>
        <w:keepLines w:val="0"/>
        <w:pageBreakBefore w:val="0"/>
        <w:bidi w:val="0"/>
        <w:spacing w:beforeAutospacing="0" w:afterAutospacing="0" w:line="440" w:lineRule="exact"/>
        <w:ind w:left="0" w:leftChars="0" w:right="0" w:rightChars="0"/>
        <w:jc w:val="center"/>
        <w:rPr>
          <w:rFonts w:hint="eastAsia" w:ascii="宋体" w:hAnsi="宋体"/>
          <w:b/>
          <w:bCs/>
          <w:color w:val="auto"/>
          <w:sz w:val="28"/>
          <w:szCs w:val="28"/>
          <w:highlight w:val="none"/>
        </w:rPr>
      </w:pPr>
      <w:bookmarkStart w:id="25" w:name="_Toc50449309"/>
      <w:bookmarkStart w:id="26" w:name="_Toc8649"/>
      <w:bookmarkStart w:id="27" w:name="_Toc398111726"/>
      <w:r>
        <w:rPr>
          <w:rFonts w:hint="eastAsia" w:ascii="宋体" w:hAnsi="宋体"/>
          <w:b/>
          <w:bCs/>
          <w:color w:val="auto"/>
          <w:sz w:val="28"/>
          <w:szCs w:val="28"/>
          <w:highlight w:val="none"/>
        </w:rPr>
        <w:t>拟派人员一览表</w:t>
      </w:r>
      <w:bookmarkEnd w:id="25"/>
      <w:bookmarkEnd w:id="26"/>
      <w:bookmarkEnd w:id="27"/>
    </w:p>
    <w:tbl>
      <w:tblPr>
        <w:tblStyle w:val="65"/>
        <w:tblW w:w="8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860"/>
        <w:gridCol w:w="737"/>
        <w:gridCol w:w="775"/>
        <w:gridCol w:w="1266"/>
        <w:gridCol w:w="1276"/>
        <w:gridCol w:w="1417"/>
        <w:gridCol w:w="709"/>
      </w:tblGrid>
      <w:tr w14:paraId="67230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vAlign w:val="center"/>
          </w:tcPr>
          <w:p w14:paraId="32D4F5C9">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r>
              <w:rPr>
                <w:rFonts w:hint="eastAsia" w:ascii="宋体" w:hAnsi="宋体"/>
                <w:color w:val="auto"/>
                <w:szCs w:val="21"/>
                <w:highlight w:val="none"/>
              </w:rPr>
              <w:t>拟任岗位</w:t>
            </w:r>
          </w:p>
        </w:tc>
        <w:tc>
          <w:tcPr>
            <w:tcW w:w="860" w:type="dxa"/>
            <w:vMerge w:val="restart"/>
            <w:vAlign w:val="center"/>
          </w:tcPr>
          <w:p w14:paraId="4BCE0A79">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r>
              <w:rPr>
                <w:rFonts w:hint="eastAsia" w:ascii="宋体" w:hAnsi="宋体"/>
                <w:color w:val="auto"/>
                <w:szCs w:val="21"/>
                <w:highlight w:val="none"/>
              </w:rPr>
              <w:t>姓名</w:t>
            </w:r>
          </w:p>
        </w:tc>
        <w:tc>
          <w:tcPr>
            <w:tcW w:w="737" w:type="dxa"/>
            <w:vMerge w:val="restart"/>
            <w:vAlign w:val="center"/>
          </w:tcPr>
          <w:p w14:paraId="541CEFEA">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r>
              <w:rPr>
                <w:rFonts w:hint="eastAsia" w:ascii="宋体" w:hAnsi="宋体"/>
                <w:color w:val="auto"/>
                <w:szCs w:val="21"/>
                <w:highlight w:val="none"/>
              </w:rPr>
              <w:t>年龄</w:t>
            </w:r>
          </w:p>
        </w:tc>
        <w:tc>
          <w:tcPr>
            <w:tcW w:w="775" w:type="dxa"/>
            <w:vMerge w:val="restart"/>
            <w:vAlign w:val="center"/>
          </w:tcPr>
          <w:p w14:paraId="6AD59670">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r>
              <w:rPr>
                <w:rFonts w:hint="eastAsia" w:ascii="宋体" w:hAnsi="宋体"/>
                <w:color w:val="auto"/>
                <w:szCs w:val="21"/>
                <w:highlight w:val="none"/>
              </w:rPr>
              <w:t>职称</w:t>
            </w:r>
          </w:p>
        </w:tc>
        <w:tc>
          <w:tcPr>
            <w:tcW w:w="1266" w:type="dxa"/>
            <w:vMerge w:val="restart"/>
            <w:vAlign w:val="center"/>
          </w:tcPr>
          <w:p w14:paraId="57431A3A">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r>
              <w:rPr>
                <w:rFonts w:hint="eastAsia" w:ascii="宋体" w:hAnsi="宋体"/>
                <w:color w:val="auto"/>
                <w:szCs w:val="21"/>
                <w:highlight w:val="none"/>
              </w:rPr>
              <w:t>工作年限</w:t>
            </w:r>
          </w:p>
        </w:tc>
        <w:tc>
          <w:tcPr>
            <w:tcW w:w="3402" w:type="dxa"/>
            <w:gridSpan w:val="3"/>
            <w:vAlign w:val="center"/>
          </w:tcPr>
          <w:p w14:paraId="636F89BD">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r>
              <w:rPr>
                <w:rFonts w:hint="eastAsia" w:ascii="宋体" w:hAnsi="宋体"/>
                <w:color w:val="auto"/>
                <w:szCs w:val="21"/>
                <w:highlight w:val="none"/>
              </w:rPr>
              <w:t>执业或职业资格证书</w:t>
            </w:r>
          </w:p>
        </w:tc>
      </w:tr>
      <w:tr w14:paraId="5261B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14:paraId="6278123C">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860" w:type="dxa"/>
            <w:vMerge w:val="continue"/>
            <w:vAlign w:val="center"/>
          </w:tcPr>
          <w:p w14:paraId="5DD58BED">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37" w:type="dxa"/>
            <w:vMerge w:val="continue"/>
            <w:vAlign w:val="center"/>
          </w:tcPr>
          <w:p w14:paraId="06CBD0F9">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75" w:type="dxa"/>
            <w:vMerge w:val="continue"/>
            <w:vAlign w:val="center"/>
          </w:tcPr>
          <w:p w14:paraId="48658EAB">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66" w:type="dxa"/>
            <w:vMerge w:val="continue"/>
            <w:vAlign w:val="center"/>
          </w:tcPr>
          <w:p w14:paraId="19E8A41A">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76" w:type="dxa"/>
            <w:vAlign w:val="center"/>
          </w:tcPr>
          <w:p w14:paraId="78F16A2B">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r>
              <w:rPr>
                <w:rFonts w:hint="eastAsia" w:ascii="宋体" w:hAnsi="宋体"/>
                <w:color w:val="auto"/>
                <w:szCs w:val="21"/>
                <w:highlight w:val="none"/>
              </w:rPr>
              <w:t>证书名称</w:t>
            </w:r>
          </w:p>
        </w:tc>
        <w:tc>
          <w:tcPr>
            <w:tcW w:w="1417" w:type="dxa"/>
            <w:vAlign w:val="center"/>
          </w:tcPr>
          <w:p w14:paraId="59F554C2">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r>
              <w:rPr>
                <w:rFonts w:hint="eastAsia" w:ascii="宋体" w:hAnsi="宋体"/>
                <w:color w:val="auto"/>
                <w:szCs w:val="21"/>
                <w:highlight w:val="none"/>
              </w:rPr>
              <w:t>证书编号</w:t>
            </w:r>
          </w:p>
        </w:tc>
        <w:tc>
          <w:tcPr>
            <w:tcW w:w="709" w:type="dxa"/>
            <w:vAlign w:val="center"/>
          </w:tcPr>
          <w:p w14:paraId="782B65AA">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r>
              <w:rPr>
                <w:rFonts w:hint="eastAsia" w:ascii="宋体" w:hAnsi="宋体"/>
                <w:color w:val="auto"/>
                <w:szCs w:val="21"/>
                <w:highlight w:val="none"/>
              </w:rPr>
              <w:t>专业</w:t>
            </w:r>
          </w:p>
        </w:tc>
      </w:tr>
      <w:tr w14:paraId="66E6A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68F1161B">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860" w:type="dxa"/>
            <w:vAlign w:val="center"/>
          </w:tcPr>
          <w:p w14:paraId="013063C8">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37" w:type="dxa"/>
            <w:vAlign w:val="center"/>
          </w:tcPr>
          <w:p w14:paraId="463BA326">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75" w:type="dxa"/>
            <w:vAlign w:val="center"/>
          </w:tcPr>
          <w:p w14:paraId="54D651D0">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66" w:type="dxa"/>
            <w:vAlign w:val="center"/>
          </w:tcPr>
          <w:p w14:paraId="619EDD19">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76" w:type="dxa"/>
            <w:vAlign w:val="center"/>
          </w:tcPr>
          <w:p w14:paraId="736CE84D">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417" w:type="dxa"/>
            <w:vAlign w:val="center"/>
          </w:tcPr>
          <w:p w14:paraId="223053F7">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09" w:type="dxa"/>
            <w:vAlign w:val="center"/>
          </w:tcPr>
          <w:p w14:paraId="4767EEE0">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r>
      <w:tr w14:paraId="1C6BB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16549BBC">
            <w:pPr>
              <w:keepNext w:val="0"/>
              <w:keepLines w:val="0"/>
              <w:pageBreakBefore w:val="0"/>
              <w:bidi w:val="0"/>
              <w:spacing w:beforeAutospacing="0" w:afterAutospacing="0" w:line="440" w:lineRule="exact"/>
              <w:ind w:left="0" w:leftChars="0" w:right="0" w:rightChars="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技术负责人</w:t>
            </w:r>
          </w:p>
        </w:tc>
        <w:tc>
          <w:tcPr>
            <w:tcW w:w="860" w:type="dxa"/>
            <w:vAlign w:val="center"/>
          </w:tcPr>
          <w:p w14:paraId="2C5A6888">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37" w:type="dxa"/>
            <w:vAlign w:val="center"/>
          </w:tcPr>
          <w:p w14:paraId="442B0D45">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75" w:type="dxa"/>
            <w:vAlign w:val="center"/>
          </w:tcPr>
          <w:p w14:paraId="6DD13E17">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66" w:type="dxa"/>
            <w:vAlign w:val="center"/>
          </w:tcPr>
          <w:p w14:paraId="75EFA205">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76" w:type="dxa"/>
            <w:vAlign w:val="center"/>
          </w:tcPr>
          <w:p w14:paraId="34E8981C">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417" w:type="dxa"/>
            <w:vAlign w:val="center"/>
          </w:tcPr>
          <w:p w14:paraId="7B08E203">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09" w:type="dxa"/>
            <w:vAlign w:val="center"/>
          </w:tcPr>
          <w:p w14:paraId="4666D376">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r>
      <w:tr w14:paraId="3207D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restart"/>
            <w:vAlign w:val="center"/>
          </w:tcPr>
          <w:p w14:paraId="4E5FC648">
            <w:pPr>
              <w:keepNext w:val="0"/>
              <w:keepLines w:val="0"/>
              <w:pageBreakBefore w:val="0"/>
              <w:bidi w:val="0"/>
              <w:spacing w:beforeAutospacing="0" w:afterAutospacing="0" w:line="440" w:lineRule="exact"/>
              <w:ind w:left="0" w:leftChars="0" w:right="0" w:rightChars="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技术人员</w:t>
            </w:r>
          </w:p>
        </w:tc>
        <w:tc>
          <w:tcPr>
            <w:tcW w:w="860" w:type="dxa"/>
            <w:tcBorders>
              <w:bottom w:val="single" w:color="auto" w:sz="4" w:space="0"/>
            </w:tcBorders>
            <w:vAlign w:val="center"/>
          </w:tcPr>
          <w:p w14:paraId="08B003CE">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37" w:type="dxa"/>
            <w:tcBorders>
              <w:bottom w:val="single" w:color="auto" w:sz="4" w:space="0"/>
            </w:tcBorders>
            <w:vAlign w:val="center"/>
          </w:tcPr>
          <w:p w14:paraId="6A6EF17C">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75" w:type="dxa"/>
            <w:tcBorders>
              <w:bottom w:val="single" w:color="auto" w:sz="4" w:space="0"/>
            </w:tcBorders>
            <w:vAlign w:val="center"/>
          </w:tcPr>
          <w:p w14:paraId="317A55DB">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66" w:type="dxa"/>
            <w:tcBorders>
              <w:bottom w:val="single" w:color="auto" w:sz="4" w:space="0"/>
            </w:tcBorders>
            <w:vAlign w:val="center"/>
          </w:tcPr>
          <w:p w14:paraId="04768CC7">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76" w:type="dxa"/>
            <w:tcBorders>
              <w:bottom w:val="single" w:color="auto" w:sz="4" w:space="0"/>
            </w:tcBorders>
            <w:vAlign w:val="center"/>
          </w:tcPr>
          <w:p w14:paraId="70610119">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417" w:type="dxa"/>
            <w:tcBorders>
              <w:bottom w:val="single" w:color="auto" w:sz="4" w:space="0"/>
            </w:tcBorders>
            <w:vAlign w:val="center"/>
          </w:tcPr>
          <w:p w14:paraId="1D29AD57">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09" w:type="dxa"/>
            <w:tcBorders>
              <w:bottom w:val="single" w:color="auto" w:sz="4" w:space="0"/>
            </w:tcBorders>
            <w:vAlign w:val="center"/>
          </w:tcPr>
          <w:p w14:paraId="20EAA70A">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r>
      <w:tr w14:paraId="0C3B5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385A3166">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46AEE146">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75255AC3">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F78E043">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63258B67">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5FC02F9A">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315B5F36">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4B54C642">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r>
      <w:tr w14:paraId="446F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4B5FD82D">
            <w:pPr>
              <w:keepNext w:val="0"/>
              <w:keepLines w:val="0"/>
              <w:pageBreakBefore w:val="0"/>
              <w:bidi w:val="0"/>
              <w:spacing w:beforeAutospacing="0" w:afterAutospacing="0" w:line="440" w:lineRule="exact"/>
              <w:ind w:left="0" w:leftChars="0" w:right="0" w:rightChars="0"/>
              <w:jc w:val="center"/>
              <w:rPr>
                <w:color w:val="auto"/>
                <w:szCs w:val="21"/>
                <w:highlight w:val="none"/>
              </w:rPr>
            </w:pPr>
          </w:p>
          <w:p w14:paraId="48D6B538">
            <w:pPr>
              <w:pStyle w:val="64"/>
              <w:keepNext w:val="0"/>
              <w:keepLines w:val="0"/>
              <w:pageBreakBefore w:val="0"/>
              <w:bidi w:val="0"/>
              <w:spacing w:beforeAutospacing="0" w:after="0" w:afterAutospacing="0" w:line="440" w:lineRule="exact"/>
              <w:ind w:left="0" w:leftChars="0" w:right="0" w:rightChars="0"/>
              <w:rPr>
                <w:color w:val="auto"/>
                <w:sz w:val="21"/>
                <w:szCs w:val="21"/>
                <w:highlight w:val="none"/>
              </w:rPr>
            </w:pPr>
          </w:p>
        </w:tc>
        <w:tc>
          <w:tcPr>
            <w:tcW w:w="860" w:type="dxa"/>
            <w:tcBorders>
              <w:top w:val="single" w:color="auto" w:sz="4" w:space="0"/>
              <w:bottom w:val="single" w:color="auto" w:sz="4" w:space="0"/>
            </w:tcBorders>
            <w:vAlign w:val="center"/>
          </w:tcPr>
          <w:p w14:paraId="695C0643">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08AA8A2B">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68402D37">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23746836">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7A534305">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2F5CDE97">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4C6B23B7">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r>
      <w:tr w14:paraId="28215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75644F34">
            <w:pPr>
              <w:pStyle w:val="64"/>
              <w:keepNext w:val="0"/>
              <w:keepLines w:val="0"/>
              <w:pageBreakBefore w:val="0"/>
              <w:bidi w:val="0"/>
              <w:spacing w:beforeAutospacing="0" w:after="0" w:afterAutospacing="0" w:line="440" w:lineRule="exact"/>
              <w:ind w:left="0" w:leftChars="0" w:right="0" w:rightChars="0"/>
              <w:rPr>
                <w:color w:val="auto"/>
                <w:sz w:val="21"/>
                <w:szCs w:val="21"/>
                <w:highlight w:val="none"/>
              </w:rPr>
            </w:pPr>
          </w:p>
        </w:tc>
        <w:tc>
          <w:tcPr>
            <w:tcW w:w="860" w:type="dxa"/>
            <w:tcBorders>
              <w:top w:val="single" w:color="auto" w:sz="4" w:space="0"/>
              <w:bottom w:val="single" w:color="auto" w:sz="4" w:space="0"/>
            </w:tcBorders>
            <w:vAlign w:val="center"/>
          </w:tcPr>
          <w:p w14:paraId="3B496F90">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7347883C">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D898AB3">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476BFCBE">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6906D7B8">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57CE5441">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4F70E257">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r>
      <w:tr w14:paraId="03C64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208086C0">
            <w:pPr>
              <w:pStyle w:val="64"/>
              <w:keepNext w:val="0"/>
              <w:keepLines w:val="0"/>
              <w:pageBreakBefore w:val="0"/>
              <w:bidi w:val="0"/>
              <w:spacing w:beforeAutospacing="0" w:after="0" w:afterAutospacing="0" w:line="440" w:lineRule="exact"/>
              <w:ind w:left="0" w:leftChars="0" w:right="0" w:rightChars="0"/>
              <w:rPr>
                <w:color w:val="auto"/>
                <w:sz w:val="21"/>
                <w:szCs w:val="21"/>
                <w:highlight w:val="none"/>
              </w:rPr>
            </w:pPr>
          </w:p>
        </w:tc>
        <w:tc>
          <w:tcPr>
            <w:tcW w:w="860" w:type="dxa"/>
            <w:tcBorders>
              <w:top w:val="single" w:color="auto" w:sz="4" w:space="0"/>
              <w:bottom w:val="single" w:color="auto" w:sz="4" w:space="0"/>
            </w:tcBorders>
            <w:vAlign w:val="center"/>
          </w:tcPr>
          <w:p w14:paraId="644BBCB6">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31D983DF">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92E1FF2">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3432EEB4">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0E77653F">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23753D5B">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691D16E4">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r>
      <w:tr w14:paraId="12CE6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7F97CB1E">
            <w:pPr>
              <w:pStyle w:val="64"/>
              <w:keepNext w:val="0"/>
              <w:keepLines w:val="0"/>
              <w:pageBreakBefore w:val="0"/>
              <w:bidi w:val="0"/>
              <w:spacing w:beforeAutospacing="0" w:after="0" w:afterAutospacing="0" w:line="440" w:lineRule="exact"/>
              <w:ind w:left="0" w:leftChars="0" w:right="0" w:rightChars="0"/>
              <w:rPr>
                <w:color w:val="auto"/>
                <w:sz w:val="21"/>
                <w:szCs w:val="21"/>
                <w:highlight w:val="none"/>
              </w:rPr>
            </w:pPr>
          </w:p>
        </w:tc>
        <w:tc>
          <w:tcPr>
            <w:tcW w:w="860" w:type="dxa"/>
            <w:tcBorders>
              <w:top w:val="single" w:color="auto" w:sz="4" w:space="0"/>
              <w:bottom w:val="single" w:color="auto" w:sz="4" w:space="0"/>
            </w:tcBorders>
            <w:vAlign w:val="center"/>
          </w:tcPr>
          <w:p w14:paraId="7AFCBE33">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2F47E8D5">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79E172C">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567847B1">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2B995132">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6A559C6D">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17E007AE">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r>
      <w:tr w14:paraId="463E3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2C47B45D">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57CC38EE">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3D01CA42">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5A590159">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1AA7FC7C">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6488DB1D">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76D2E4D0">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1F4AA6A0">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r>
      <w:tr w14:paraId="1BC89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716091A0">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7B433573">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4D4F83DF">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718F3066">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67796417">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5B74736C">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3D8D9DF8">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07390F77">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r>
      <w:tr w14:paraId="2DB6F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34719304">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64795DD9">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4D0879C0">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1D0645BD">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339FEB9C">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19F6C582">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636ED36E">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5974F4AF">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r>
      <w:tr w14:paraId="32BBE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38F49C4F">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4996CA23">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6982F006">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0703458">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5A0B6726">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02027CA3">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1E11EB2D">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397A72F7">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r>
      <w:tr w14:paraId="7DDB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58151467">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15DEE3FB">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35D4B28F">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73771F1E">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3D4EC8A9">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53960055">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2E547A88">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29ED7121">
            <w:pPr>
              <w:keepNext w:val="0"/>
              <w:keepLines w:val="0"/>
              <w:pageBreakBefore w:val="0"/>
              <w:bidi w:val="0"/>
              <w:spacing w:beforeAutospacing="0" w:afterAutospacing="0" w:line="440" w:lineRule="exact"/>
              <w:ind w:left="0" w:leftChars="0" w:right="0" w:rightChars="0"/>
              <w:jc w:val="center"/>
              <w:rPr>
                <w:rFonts w:hint="eastAsia" w:ascii="宋体" w:hAnsi="宋体"/>
                <w:color w:val="auto"/>
                <w:szCs w:val="21"/>
                <w:highlight w:val="none"/>
              </w:rPr>
            </w:pPr>
          </w:p>
        </w:tc>
      </w:tr>
    </w:tbl>
    <w:p w14:paraId="7E3431F9">
      <w:pPr>
        <w:keepNext w:val="0"/>
        <w:keepLines w:val="0"/>
        <w:pageBreakBefore w:val="0"/>
        <w:bidi w:val="0"/>
        <w:spacing w:beforeAutospacing="0" w:afterAutospacing="0" w:line="440" w:lineRule="exact"/>
        <w:ind w:left="0" w:leftChars="0" w:right="0" w:rightChars="0"/>
        <w:jc w:val="center"/>
        <w:rPr>
          <w:rFonts w:hint="eastAsia" w:ascii="宋体" w:hAnsi="宋体" w:eastAsia="宋体" w:cs="Times New Roman"/>
          <w:b/>
          <w:color w:val="auto"/>
          <w:kern w:val="2"/>
          <w:sz w:val="30"/>
          <w:szCs w:val="30"/>
          <w:highlight w:val="none"/>
          <w:lang w:val="en-US" w:eastAsia="zh-CN" w:bidi="ar-SA"/>
        </w:rPr>
      </w:pPr>
      <w:r>
        <w:rPr>
          <w:rFonts w:hint="eastAsia" w:ascii="宋体" w:hAnsi="宋体" w:eastAsia="宋体" w:cs="Times New Roman"/>
          <w:b/>
          <w:color w:val="auto"/>
          <w:kern w:val="2"/>
          <w:sz w:val="30"/>
          <w:szCs w:val="30"/>
          <w:highlight w:val="none"/>
          <w:lang w:val="en-US" w:eastAsia="zh-CN" w:bidi="ar-SA"/>
        </w:rPr>
        <w:br w:type="page"/>
      </w:r>
    </w:p>
    <w:p w14:paraId="42637517">
      <w:pPr>
        <w:pStyle w:val="63"/>
        <w:keepNext w:val="0"/>
        <w:keepLines w:val="0"/>
        <w:pageBreakBefore w:val="0"/>
        <w:bidi w:val="0"/>
        <w:spacing w:beforeAutospacing="0" w:after="0" w:afterLines="0" w:afterAutospacing="0" w:line="440" w:lineRule="exact"/>
        <w:ind w:left="0" w:leftChars="0" w:right="0" w:rightChars="0"/>
        <w:rPr>
          <w:rFonts w:hint="eastAsia" w:ascii="宋体" w:hAnsi="宋体" w:eastAsia="宋体" w:cs="Times New Roman"/>
          <w:b/>
          <w:color w:val="auto"/>
          <w:kern w:val="2"/>
          <w:sz w:val="30"/>
          <w:szCs w:val="30"/>
          <w:highlight w:val="none"/>
          <w:lang w:val="en-US" w:eastAsia="zh-CN" w:bidi="ar-SA"/>
        </w:rPr>
      </w:pPr>
      <w:r>
        <w:rPr>
          <w:rFonts w:hint="eastAsia" w:ascii="宋体" w:hAnsi="宋体" w:eastAsia="宋体" w:cs="Times New Roman"/>
          <w:b/>
          <w:color w:val="auto"/>
          <w:kern w:val="2"/>
          <w:sz w:val="30"/>
          <w:szCs w:val="30"/>
          <w:highlight w:val="none"/>
          <w:lang w:val="en-US" w:eastAsia="zh-CN" w:bidi="ar-SA"/>
        </w:rPr>
        <w:t>商务技术评分需要提供的材料（按评分顺序提供并自行拟定目录）</w:t>
      </w:r>
    </w:p>
    <w:p w14:paraId="61E0EAB8">
      <w:pPr>
        <w:keepNext w:val="0"/>
        <w:keepLines w:val="0"/>
        <w:pageBreakBefore w:val="0"/>
        <w:widowControl/>
        <w:bidi w:val="0"/>
        <w:spacing w:beforeAutospacing="0" w:afterAutospacing="0" w:line="440" w:lineRule="exact"/>
        <w:ind w:left="0" w:leftChars="0" w:right="0" w:rightChars="0"/>
        <w:jc w:val="left"/>
        <w:rPr>
          <w:rFonts w:ascii="宋体" w:hAnsi="宋体"/>
          <w:b/>
          <w:color w:val="auto"/>
          <w:sz w:val="36"/>
          <w:szCs w:val="36"/>
          <w:highlight w:val="none"/>
        </w:rPr>
      </w:pPr>
      <w:bookmarkStart w:id="28" w:name="_Toc425960677"/>
      <w:bookmarkStart w:id="29" w:name="_Toc420058377"/>
      <w:r>
        <w:rPr>
          <w:rFonts w:ascii="宋体" w:hAnsi="宋体"/>
          <w:b/>
          <w:color w:val="auto"/>
          <w:sz w:val="36"/>
          <w:szCs w:val="36"/>
          <w:highlight w:val="none"/>
        </w:rPr>
        <w:br w:type="page"/>
      </w:r>
    </w:p>
    <w:p w14:paraId="682B6132">
      <w:pPr>
        <w:keepNext w:val="0"/>
        <w:keepLines w:val="0"/>
        <w:pageBreakBefore w:val="0"/>
        <w:tabs>
          <w:tab w:val="left" w:pos="1965"/>
        </w:tabs>
        <w:bidi w:val="0"/>
        <w:spacing w:beforeAutospacing="0" w:afterAutospacing="0" w:line="440" w:lineRule="exact"/>
        <w:ind w:left="0" w:leftChars="0" w:right="0" w:rightChars="0"/>
        <w:rPr>
          <w:rFonts w:ascii="宋体" w:hAnsi="宋体"/>
          <w:color w:val="auto"/>
          <w:sz w:val="28"/>
          <w:szCs w:val="28"/>
          <w:highlight w:val="none"/>
        </w:rPr>
      </w:pPr>
      <w:r>
        <w:rPr>
          <w:rFonts w:hint="eastAsia" w:ascii="宋体" w:hAnsi="宋体"/>
          <w:color w:val="auto"/>
          <w:sz w:val="28"/>
          <w:szCs w:val="28"/>
          <w:highlight w:val="none"/>
        </w:rPr>
        <w:t>第三部分格式：</w:t>
      </w:r>
    </w:p>
    <w:p w14:paraId="48521E02">
      <w:pPr>
        <w:keepNext w:val="0"/>
        <w:keepLines w:val="0"/>
        <w:pageBreakBefore w:val="0"/>
        <w:tabs>
          <w:tab w:val="left" w:pos="2020"/>
          <w:tab w:val="center" w:pos="4535"/>
        </w:tabs>
        <w:bidi w:val="0"/>
        <w:spacing w:beforeAutospacing="0" w:afterAutospacing="0" w:line="440" w:lineRule="exact"/>
        <w:ind w:left="0" w:leftChars="0" w:right="0" w:rightChars="0" w:firstLine="280" w:firstLineChars="100"/>
        <w:rPr>
          <w:rFonts w:ascii="宋体" w:hAnsi="宋体"/>
          <w:color w:val="auto"/>
          <w:sz w:val="28"/>
          <w:szCs w:val="20"/>
          <w:highlight w:val="none"/>
        </w:rPr>
      </w:pPr>
    </w:p>
    <w:p w14:paraId="4FFBAC02">
      <w:pPr>
        <w:keepNext w:val="0"/>
        <w:keepLines w:val="0"/>
        <w:pageBreakBefore w:val="0"/>
        <w:tabs>
          <w:tab w:val="left" w:pos="2020"/>
          <w:tab w:val="center" w:pos="4535"/>
        </w:tabs>
        <w:bidi w:val="0"/>
        <w:spacing w:beforeAutospacing="0" w:afterAutospacing="0" w:line="440" w:lineRule="exact"/>
        <w:ind w:left="0" w:leftChars="0" w:right="0" w:rightChars="0" w:firstLine="280" w:firstLineChars="100"/>
        <w:rPr>
          <w:rFonts w:ascii="宋体" w:hAnsi="宋体"/>
          <w:color w:val="auto"/>
          <w:sz w:val="28"/>
          <w:szCs w:val="20"/>
          <w:highlight w:val="none"/>
        </w:rPr>
      </w:pPr>
    </w:p>
    <w:p w14:paraId="650D4166">
      <w:pPr>
        <w:keepNext w:val="0"/>
        <w:keepLines w:val="0"/>
        <w:pageBreakBefore w:val="0"/>
        <w:tabs>
          <w:tab w:val="left" w:pos="159"/>
        </w:tabs>
        <w:bidi w:val="0"/>
        <w:spacing w:beforeAutospacing="0" w:afterAutospacing="0" w:line="440" w:lineRule="exact"/>
        <w:ind w:left="0" w:leftChars="0" w:right="0" w:rightChars="0"/>
        <w:rPr>
          <w:rFonts w:ascii="宋体" w:hAnsi="宋体"/>
          <w:color w:val="auto"/>
          <w:sz w:val="28"/>
          <w:szCs w:val="28"/>
          <w:highlight w:val="none"/>
        </w:rPr>
      </w:pPr>
    </w:p>
    <w:p w14:paraId="57D1011D">
      <w:pPr>
        <w:keepNext w:val="0"/>
        <w:keepLines w:val="0"/>
        <w:pageBreakBefore w:val="0"/>
        <w:bidi w:val="0"/>
        <w:spacing w:beforeAutospacing="0" w:afterAutospacing="0" w:line="440" w:lineRule="exact"/>
        <w:ind w:left="1918" w:leftChars="0" w:right="0" w:rightChars="0" w:hanging="1918" w:hangingChars="533"/>
        <w:rPr>
          <w:rFonts w:ascii="宋体" w:hAnsi="宋体"/>
          <w:color w:val="auto"/>
          <w:szCs w:val="21"/>
          <w:highlight w:val="none"/>
        </w:rPr>
      </w:pPr>
      <w:r>
        <w:rPr>
          <w:rFonts w:hint="eastAsia" w:ascii="宋体" w:hAnsi="宋体"/>
          <w:b/>
          <w:color w:val="auto"/>
          <w:sz w:val="36"/>
          <w:szCs w:val="36"/>
          <w:highlight w:val="none"/>
        </w:rPr>
        <w:t xml:space="preserve"> </w:t>
      </w:r>
      <w:r>
        <w:rPr>
          <w:rFonts w:ascii="宋体" w:hAnsi="宋体"/>
          <w:b/>
          <w:color w:val="auto"/>
          <w:sz w:val="36"/>
          <w:szCs w:val="36"/>
          <w:highlight w:val="none"/>
        </w:rPr>
        <w:t xml:space="preserve">           </w:t>
      </w:r>
      <w:r>
        <w:rPr>
          <w:rFonts w:ascii="宋体" w:hAnsi="宋体"/>
          <w:b/>
          <w:color w:val="auto"/>
          <w:sz w:val="36"/>
          <w:szCs w:val="36"/>
          <w:highlight w:val="none"/>
          <w:u w:val="single"/>
        </w:rPr>
        <w:t xml:space="preserve">     </w:t>
      </w:r>
      <w:r>
        <w:rPr>
          <w:rFonts w:hint="eastAsia" w:ascii="宋体" w:hAnsi="宋体"/>
          <w:b/>
          <w:bCs/>
          <w:color w:val="auto"/>
          <w:spacing w:val="-6"/>
          <w:sz w:val="30"/>
          <w:szCs w:val="30"/>
          <w:highlight w:val="none"/>
          <w:u w:val="single"/>
        </w:rPr>
        <w:t>（项目名称）</w:t>
      </w:r>
      <w:r>
        <w:rPr>
          <w:rFonts w:hint="eastAsia" w:ascii="宋体" w:hAnsi="宋体"/>
          <w:b/>
          <w:color w:val="auto"/>
          <w:sz w:val="30"/>
          <w:szCs w:val="30"/>
          <w:highlight w:val="none"/>
          <w:u w:val="singl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项目</w:t>
      </w:r>
    </w:p>
    <w:p w14:paraId="06FDFDBB">
      <w:pPr>
        <w:keepNext w:val="0"/>
        <w:keepLines w:val="0"/>
        <w:pageBreakBefore w:val="0"/>
        <w:bidi w:val="0"/>
        <w:spacing w:beforeAutospacing="0" w:afterAutospacing="0" w:line="440" w:lineRule="exact"/>
        <w:ind w:left="0" w:leftChars="0" w:right="0" w:rightChars="0"/>
        <w:jc w:val="center"/>
        <w:rPr>
          <w:rFonts w:ascii="宋体" w:hAnsi="宋体"/>
          <w:b/>
          <w:bCs/>
          <w:color w:val="auto"/>
          <w:sz w:val="44"/>
          <w:szCs w:val="44"/>
          <w:highlight w:val="none"/>
        </w:rPr>
      </w:pPr>
    </w:p>
    <w:p w14:paraId="4AF914E4">
      <w:pPr>
        <w:keepNext w:val="0"/>
        <w:keepLines w:val="0"/>
        <w:pageBreakBefore w:val="0"/>
        <w:bidi w:val="0"/>
        <w:spacing w:beforeAutospacing="0" w:afterAutospacing="0" w:line="440" w:lineRule="exact"/>
        <w:ind w:left="0" w:leftChars="0" w:right="0" w:rightChars="0"/>
        <w:jc w:val="center"/>
        <w:rPr>
          <w:rFonts w:ascii="宋体" w:hAnsi="宋体"/>
          <w:b/>
          <w:bCs/>
          <w:color w:val="auto"/>
          <w:sz w:val="30"/>
          <w:szCs w:val="30"/>
          <w:highlight w:val="none"/>
        </w:rPr>
      </w:pPr>
      <w:r>
        <w:rPr>
          <w:rFonts w:hint="eastAsia" w:ascii="宋体" w:hAnsi="宋体"/>
          <w:b/>
          <w:bCs/>
          <w:color w:val="auto"/>
          <w:sz w:val="30"/>
          <w:szCs w:val="30"/>
          <w:highlight w:val="none"/>
        </w:rPr>
        <w:t>投标文件</w:t>
      </w:r>
    </w:p>
    <w:p w14:paraId="4B300D02">
      <w:pPr>
        <w:keepNext w:val="0"/>
        <w:keepLines w:val="0"/>
        <w:pageBreakBefore w:val="0"/>
        <w:bidi w:val="0"/>
        <w:spacing w:beforeAutospacing="0" w:afterAutospacing="0" w:line="440" w:lineRule="exact"/>
        <w:ind w:left="0" w:leftChars="0" w:right="0" w:rightChars="0"/>
        <w:jc w:val="center"/>
        <w:rPr>
          <w:rFonts w:ascii="宋体" w:hAnsi="宋体"/>
          <w:b/>
          <w:bCs/>
          <w:color w:val="auto"/>
          <w:sz w:val="30"/>
          <w:szCs w:val="30"/>
          <w:highlight w:val="none"/>
        </w:rPr>
      </w:pPr>
      <w:r>
        <w:rPr>
          <w:rFonts w:hint="eastAsia" w:ascii="宋体" w:hAnsi="宋体"/>
          <w:b/>
          <w:bCs/>
          <w:color w:val="auto"/>
          <w:sz w:val="30"/>
          <w:szCs w:val="30"/>
          <w:highlight w:val="none"/>
        </w:rPr>
        <w:t>（价格文件）</w:t>
      </w:r>
    </w:p>
    <w:p w14:paraId="1D53C20C">
      <w:pPr>
        <w:keepNext w:val="0"/>
        <w:keepLines w:val="0"/>
        <w:pageBreakBefore w:val="0"/>
        <w:bidi w:val="0"/>
        <w:spacing w:beforeAutospacing="0" w:afterAutospacing="0" w:line="440" w:lineRule="exact"/>
        <w:ind w:left="0" w:leftChars="0" w:right="0" w:rightChars="0"/>
        <w:jc w:val="center"/>
        <w:rPr>
          <w:rFonts w:ascii="宋体" w:hAnsi="宋体"/>
          <w:b/>
          <w:bCs/>
          <w:color w:val="auto"/>
          <w:sz w:val="72"/>
          <w:szCs w:val="72"/>
          <w:highlight w:val="none"/>
        </w:rPr>
      </w:pPr>
    </w:p>
    <w:p w14:paraId="34F47AA7">
      <w:pPr>
        <w:keepNext w:val="0"/>
        <w:keepLines w:val="0"/>
        <w:pageBreakBefore w:val="0"/>
        <w:bidi w:val="0"/>
        <w:spacing w:beforeAutospacing="0" w:afterAutospacing="0" w:line="440" w:lineRule="exact"/>
        <w:ind w:left="0" w:leftChars="0" w:right="0" w:rightChars="0"/>
        <w:jc w:val="center"/>
        <w:rPr>
          <w:rFonts w:ascii="宋体" w:hAnsi="宋体"/>
          <w:b/>
          <w:bCs/>
          <w:color w:val="auto"/>
          <w:sz w:val="72"/>
          <w:szCs w:val="72"/>
          <w:highlight w:val="none"/>
        </w:rPr>
      </w:pPr>
    </w:p>
    <w:p w14:paraId="2BF97135">
      <w:pPr>
        <w:keepNext w:val="0"/>
        <w:keepLines w:val="0"/>
        <w:pageBreakBefore w:val="0"/>
        <w:bidi w:val="0"/>
        <w:spacing w:beforeAutospacing="0" w:afterAutospacing="0" w:line="440" w:lineRule="exact"/>
        <w:ind w:left="0" w:leftChars="0" w:right="0" w:rightChars="0"/>
        <w:jc w:val="center"/>
        <w:rPr>
          <w:rFonts w:ascii="宋体" w:hAnsi="宋体"/>
          <w:b/>
          <w:bCs/>
          <w:color w:val="auto"/>
          <w:sz w:val="72"/>
          <w:szCs w:val="72"/>
          <w:highlight w:val="none"/>
        </w:rPr>
      </w:pPr>
    </w:p>
    <w:p w14:paraId="0A0CBD33">
      <w:pPr>
        <w:keepNext w:val="0"/>
        <w:keepLines w:val="0"/>
        <w:pageBreakBefore w:val="0"/>
        <w:tabs>
          <w:tab w:val="left" w:pos="2020"/>
          <w:tab w:val="center" w:pos="4535"/>
        </w:tabs>
        <w:bidi w:val="0"/>
        <w:spacing w:beforeAutospacing="0" w:afterAutospacing="0" w:line="440" w:lineRule="exact"/>
        <w:ind w:left="0" w:leftChars="0" w:right="0" w:rightChars="0" w:firstLine="280" w:firstLineChars="100"/>
        <w:rPr>
          <w:rFonts w:ascii="宋体" w:hAnsi="宋体"/>
          <w:color w:val="auto"/>
          <w:sz w:val="28"/>
          <w:szCs w:val="20"/>
          <w:highlight w:val="none"/>
        </w:rPr>
      </w:pPr>
    </w:p>
    <w:p w14:paraId="06D08F7E">
      <w:pPr>
        <w:keepNext w:val="0"/>
        <w:keepLines w:val="0"/>
        <w:pageBreakBefore w:val="0"/>
        <w:tabs>
          <w:tab w:val="left" w:pos="2020"/>
          <w:tab w:val="center" w:pos="4535"/>
        </w:tabs>
        <w:bidi w:val="0"/>
        <w:spacing w:beforeAutospacing="0" w:afterAutospacing="0" w:line="440" w:lineRule="exact"/>
        <w:ind w:left="0" w:leftChars="0" w:right="0" w:rightChars="0" w:firstLine="280" w:firstLineChars="100"/>
        <w:rPr>
          <w:rFonts w:ascii="宋体" w:hAnsi="宋体"/>
          <w:color w:val="auto"/>
          <w:sz w:val="28"/>
          <w:szCs w:val="20"/>
          <w:highlight w:val="none"/>
        </w:rPr>
      </w:pPr>
    </w:p>
    <w:p w14:paraId="385CBCEE">
      <w:pPr>
        <w:keepNext w:val="0"/>
        <w:keepLines w:val="0"/>
        <w:pageBreakBefore w:val="0"/>
        <w:bidi w:val="0"/>
        <w:spacing w:beforeAutospacing="0" w:afterAutospacing="0" w:line="440" w:lineRule="exact"/>
        <w:ind w:left="0" w:leftChars="0" w:right="0" w:rightChars="0" w:firstLine="600" w:firstLineChars="200"/>
        <w:rPr>
          <w:rFonts w:ascii="宋体" w:hAnsi="宋体"/>
          <w:b/>
          <w:color w:val="auto"/>
          <w:sz w:val="30"/>
          <w:szCs w:val="30"/>
          <w:highlight w:val="none"/>
        </w:rPr>
      </w:pPr>
      <w:r>
        <w:rPr>
          <w:rFonts w:hint="eastAsia" w:ascii="宋体" w:hAnsi="宋体"/>
          <w:b/>
          <w:color w:val="auto"/>
          <w:sz w:val="30"/>
          <w:szCs w:val="30"/>
          <w:highlight w:val="none"/>
        </w:rPr>
        <w:t>供应商（盖公章）：</w:t>
      </w:r>
      <w:r>
        <w:rPr>
          <w:rFonts w:hint="eastAsia" w:ascii="宋体" w:hAnsi="宋体"/>
          <w:b/>
          <w:color w:val="auto"/>
          <w:sz w:val="30"/>
          <w:szCs w:val="30"/>
          <w:highlight w:val="none"/>
          <w:u w:val="single"/>
        </w:rPr>
        <w:t xml:space="preserve">                                    </w:t>
      </w:r>
    </w:p>
    <w:p w14:paraId="390100C3">
      <w:pPr>
        <w:keepNext w:val="0"/>
        <w:keepLines w:val="0"/>
        <w:pageBreakBefore w:val="0"/>
        <w:bidi w:val="0"/>
        <w:spacing w:beforeAutospacing="0" w:afterAutospacing="0" w:line="440" w:lineRule="exact"/>
        <w:ind w:left="1149" w:leftChars="0" w:right="0" w:rightChars="0" w:hanging="1149" w:hangingChars="383"/>
        <w:rPr>
          <w:rFonts w:ascii="宋体" w:hAnsi="宋体"/>
          <w:b/>
          <w:color w:val="auto"/>
          <w:sz w:val="30"/>
          <w:szCs w:val="30"/>
          <w:highlight w:val="none"/>
        </w:rPr>
      </w:pPr>
    </w:p>
    <w:p w14:paraId="0DFB0FB8">
      <w:pPr>
        <w:keepNext w:val="0"/>
        <w:keepLines w:val="0"/>
        <w:pageBreakBefore w:val="0"/>
        <w:bidi w:val="0"/>
        <w:spacing w:beforeAutospacing="0" w:afterAutospacing="0" w:line="440" w:lineRule="exact"/>
        <w:ind w:left="0" w:leftChars="0" w:right="0" w:rightChars="0"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法定代表人（或委托授权代表）签字</w:t>
      </w:r>
      <w:bookmarkStart w:id="30" w:name="_Hlk81344726"/>
      <w:r>
        <w:rPr>
          <w:rFonts w:hint="eastAsia" w:ascii="宋体" w:hAnsi="宋体"/>
          <w:b/>
          <w:color w:val="auto"/>
          <w:sz w:val="30"/>
          <w:szCs w:val="30"/>
          <w:highlight w:val="none"/>
        </w:rPr>
        <w:t>（或盖章）</w:t>
      </w:r>
      <w:bookmarkEnd w:id="30"/>
      <w:r>
        <w:rPr>
          <w:rFonts w:hint="eastAsia" w:ascii="宋体" w:hAnsi="宋体"/>
          <w:b/>
          <w:color w:val="auto"/>
          <w:sz w:val="30"/>
          <w:szCs w:val="30"/>
          <w:highlight w:val="none"/>
        </w:rPr>
        <w:t>：</w:t>
      </w:r>
      <w:r>
        <w:rPr>
          <w:rFonts w:hint="eastAsia" w:ascii="宋体" w:hAnsi="宋体"/>
          <w:b/>
          <w:color w:val="auto"/>
          <w:sz w:val="30"/>
          <w:szCs w:val="30"/>
          <w:highlight w:val="none"/>
          <w:u w:val="single"/>
        </w:rPr>
        <w:t xml:space="preserve">                    </w:t>
      </w:r>
    </w:p>
    <w:p w14:paraId="77070683">
      <w:pPr>
        <w:keepNext w:val="0"/>
        <w:keepLines w:val="0"/>
        <w:pageBreakBefore w:val="0"/>
        <w:bidi w:val="0"/>
        <w:spacing w:beforeAutospacing="0" w:afterAutospacing="0" w:line="440" w:lineRule="exact"/>
        <w:ind w:left="0" w:leftChars="0" w:right="0" w:rightChars="0" w:firstLine="594" w:firstLineChars="198"/>
        <w:rPr>
          <w:rFonts w:ascii="宋体" w:hAnsi="宋体"/>
          <w:b/>
          <w:color w:val="auto"/>
          <w:sz w:val="30"/>
          <w:szCs w:val="30"/>
          <w:highlight w:val="none"/>
        </w:rPr>
      </w:pPr>
    </w:p>
    <w:p w14:paraId="3DC473F9">
      <w:pPr>
        <w:keepNext w:val="0"/>
        <w:keepLines w:val="0"/>
        <w:pageBreakBefore w:val="0"/>
        <w:bidi w:val="0"/>
        <w:spacing w:beforeAutospacing="0" w:afterAutospacing="0" w:line="440" w:lineRule="exact"/>
        <w:ind w:left="0" w:leftChars="0" w:right="0" w:rightChars="0"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日    期：</w:t>
      </w:r>
      <w:r>
        <w:rPr>
          <w:rFonts w:hint="eastAsia" w:ascii="宋体" w:hAnsi="宋体"/>
          <w:b/>
          <w:color w:val="auto"/>
          <w:sz w:val="30"/>
          <w:szCs w:val="30"/>
          <w:highlight w:val="none"/>
          <w:u w:val="single"/>
        </w:rPr>
        <w:t xml:space="preserve">                                    </w:t>
      </w:r>
    </w:p>
    <w:p w14:paraId="6D0EF97D">
      <w:pPr>
        <w:keepNext w:val="0"/>
        <w:keepLines w:val="0"/>
        <w:pageBreakBefore w:val="0"/>
        <w:widowControl/>
        <w:bidi w:val="0"/>
        <w:adjustRightInd w:val="0"/>
        <w:snapToGrid w:val="0"/>
        <w:spacing w:beforeAutospacing="0" w:afterAutospacing="0" w:line="440" w:lineRule="exact"/>
        <w:ind w:left="0" w:leftChars="0" w:right="0" w:rightChars="0" w:firstLine="480"/>
        <w:jc w:val="center"/>
        <w:textAlignment w:val="center"/>
        <w:rPr>
          <w:rFonts w:ascii="宋体" w:hAnsi="宋体"/>
          <w:b/>
          <w:bCs/>
          <w:color w:val="auto"/>
          <w:sz w:val="24"/>
          <w:highlight w:val="none"/>
        </w:rPr>
      </w:pPr>
    </w:p>
    <w:p w14:paraId="7F0D15AB">
      <w:pPr>
        <w:keepNext w:val="0"/>
        <w:keepLines w:val="0"/>
        <w:pageBreakBefore w:val="0"/>
        <w:bidi w:val="0"/>
        <w:spacing w:beforeAutospacing="0" w:afterAutospacing="0" w:line="440" w:lineRule="exact"/>
        <w:ind w:left="1492" w:leftChars="0" w:right="0" w:rightChars="0" w:hanging="1492" w:hangingChars="533"/>
        <w:rPr>
          <w:rStyle w:val="80"/>
          <w:rFonts w:ascii="宋体" w:hAnsi="宋体" w:cs="Times New Roman"/>
          <w:color w:val="auto"/>
          <w:sz w:val="28"/>
          <w:szCs w:val="28"/>
          <w:highlight w:val="none"/>
        </w:rPr>
      </w:pPr>
    </w:p>
    <w:p w14:paraId="1AE53C45">
      <w:pPr>
        <w:keepNext w:val="0"/>
        <w:keepLines w:val="0"/>
        <w:pageBreakBefore w:val="0"/>
        <w:widowControl/>
        <w:bidi w:val="0"/>
        <w:spacing w:beforeAutospacing="0" w:afterAutospacing="0" w:line="440" w:lineRule="exact"/>
        <w:ind w:left="0" w:leftChars="0" w:right="0" w:rightChars="0"/>
        <w:jc w:val="left"/>
        <w:rPr>
          <w:rStyle w:val="80"/>
          <w:rFonts w:ascii="宋体" w:hAnsi="宋体" w:cs="宋体"/>
          <w:color w:val="auto"/>
          <w:sz w:val="24"/>
          <w:szCs w:val="24"/>
          <w:highlight w:val="none"/>
        </w:rPr>
      </w:pPr>
      <w:r>
        <w:rPr>
          <w:rStyle w:val="80"/>
          <w:rFonts w:ascii="宋体" w:hAnsi="宋体" w:cs="宋体"/>
          <w:color w:val="auto"/>
          <w:sz w:val="24"/>
          <w:szCs w:val="24"/>
          <w:highlight w:val="none"/>
        </w:rPr>
        <w:br w:type="page"/>
      </w:r>
    </w:p>
    <w:p w14:paraId="74045179">
      <w:pPr>
        <w:keepNext w:val="0"/>
        <w:keepLines w:val="0"/>
        <w:pageBreakBefore w:val="0"/>
        <w:bidi w:val="0"/>
        <w:snapToGrid w:val="0"/>
        <w:spacing w:beforeAutospacing="0" w:afterAutospacing="0" w:line="440" w:lineRule="exact"/>
        <w:ind w:left="0" w:leftChars="0" w:right="0" w:rightChars="0"/>
        <w:jc w:val="center"/>
        <w:outlineLvl w:val="1"/>
        <w:rPr>
          <w:rFonts w:ascii="宋体" w:hAnsi="宋体"/>
          <w:b/>
          <w:color w:val="auto"/>
          <w:sz w:val="28"/>
          <w:highlight w:val="none"/>
        </w:rPr>
      </w:pPr>
      <w:r>
        <w:rPr>
          <w:rFonts w:hint="eastAsia" w:ascii="宋体" w:hAnsi="宋体"/>
          <w:b/>
          <w:color w:val="auto"/>
          <w:sz w:val="28"/>
          <w:highlight w:val="none"/>
        </w:rPr>
        <w:t>一</w:t>
      </w:r>
      <w:r>
        <w:rPr>
          <w:rFonts w:ascii="宋体" w:hAnsi="宋体"/>
          <w:b/>
          <w:color w:val="auto"/>
          <w:sz w:val="28"/>
          <w:highlight w:val="none"/>
        </w:rPr>
        <w:t>、</w:t>
      </w:r>
      <w:bookmarkEnd w:id="28"/>
      <w:bookmarkEnd w:id="29"/>
      <w:r>
        <w:rPr>
          <w:rFonts w:ascii="宋体" w:hAnsi="宋体"/>
          <w:b/>
          <w:color w:val="auto"/>
          <w:sz w:val="28"/>
          <w:highlight w:val="none"/>
        </w:rPr>
        <w:t>开标一览表</w:t>
      </w:r>
    </w:p>
    <w:p w14:paraId="1143BA5A">
      <w:pPr>
        <w:pStyle w:val="34"/>
        <w:keepNext w:val="0"/>
        <w:keepLines w:val="0"/>
        <w:pageBreakBefore w:val="0"/>
        <w:bidi w:val="0"/>
        <w:spacing w:beforeAutospacing="0" w:afterAutospacing="0" w:line="440" w:lineRule="exact"/>
        <w:ind w:left="0" w:leftChars="0" w:right="0" w:rightChars="0"/>
        <w:rPr>
          <w:rFonts w:hAnsi="宋体"/>
          <w:color w:val="auto"/>
          <w:highlight w:val="none"/>
          <w:u w:val="single"/>
        </w:rPr>
      </w:pPr>
    </w:p>
    <w:p w14:paraId="740D4571">
      <w:pPr>
        <w:keepNext w:val="0"/>
        <w:keepLines w:val="0"/>
        <w:pageBreakBefore w:val="0"/>
        <w:bidi w:val="0"/>
        <w:spacing w:beforeAutospacing="0" w:afterAutospacing="0" w:line="440" w:lineRule="exact"/>
        <w:ind w:left="0" w:leftChars="0" w:right="0" w:rightChars="0" w:firstLine="480" w:firstLineChars="200"/>
        <w:rPr>
          <w:rFonts w:ascii="宋体" w:hAnsi="宋体"/>
          <w:color w:val="auto"/>
          <w:sz w:val="24"/>
          <w:highlight w:val="none"/>
        </w:rPr>
      </w:pPr>
    </w:p>
    <w:tbl>
      <w:tblPr>
        <w:tblStyle w:val="6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7"/>
        <w:gridCol w:w="6861"/>
      </w:tblGrid>
      <w:tr w14:paraId="7E2A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396" w:type="pct"/>
            <w:vAlign w:val="center"/>
          </w:tcPr>
          <w:p w14:paraId="71D953DE">
            <w:pPr>
              <w:keepNext w:val="0"/>
              <w:keepLines w:val="0"/>
              <w:pageBreakBefore w:val="0"/>
              <w:bidi w:val="0"/>
              <w:adjustRightInd w:val="0"/>
              <w:snapToGrid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 xml:space="preserve"> 投标货物、服务名称</w:t>
            </w:r>
          </w:p>
        </w:tc>
        <w:tc>
          <w:tcPr>
            <w:tcW w:w="3604" w:type="pct"/>
            <w:vAlign w:val="center"/>
          </w:tcPr>
          <w:p w14:paraId="2CAFC5B5">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 xml:space="preserve">                      投标总报价</w:t>
            </w:r>
          </w:p>
        </w:tc>
      </w:tr>
      <w:tr w14:paraId="0D67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6" w:type="pct"/>
            <w:vAlign w:val="center"/>
          </w:tcPr>
          <w:p w14:paraId="55B1E14A">
            <w:pPr>
              <w:keepNext w:val="0"/>
              <w:keepLines w:val="0"/>
              <w:pageBreakBefore w:val="0"/>
              <w:bidi w:val="0"/>
              <w:adjustRightInd w:val="0"/>
              <w:snapToGrid w:val="0"/>
              <w:spacing w:beforeAutospacing="0" w:afterAutospacing="0" w:line="440" w:lineRule="exact"/>
              <w:ind w:left="0" w:leftChars="0" w:right="0" w:rightChars="0"/>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南通老节制闸安全检测项目</w:t>
            </w:r>
          </w:p>
        </w:tc>
        <w:tc>
          <w:tcPr>
            <w:tcW w:w="3604" w:type="pct"/>
            <w:vAlign w:val="center"/>
          </w:tcPr>
          <w:p w14:paraId="41CE1AC4">
            <w:pPr>
              <w:keepNext w:val="0"/>
              <w:keepLines w:val="0"/>
              <w:pageBreakBefore w:val="0"/>
              <w:bidi w:val="0"/>
              <w:adjustRightInd w:val="0"/>
              <w:snapToGrid w:val="0"/>
              <w:spacing w:beforeAutospacing="0" w:afterAutospacing="0" w:line="440" w:lineRule="exact"/>
              <w:ind w:left="0" w:leftChars="0" w:right="0" w:rightChars="0"/>
              <w:rPr>
                <w:rFonts w:ascii="宋体" w:hAnsi="宋体"/>
                <w:color w:val="auto"/>
                <w:sz w:val="24"/>
                <w:highlight w:val="none"/>
              </w:rPr>
            </w:pPr>
            <w:r>
              <w:rPr>
                <w:rFonts w:ascii="宋体" w:hAnsi="宋体"/>
                <w:bCs/>
                <w:color w:val="auto"/>
                <w:sz w:val="24"/>
                <w:highlight w:val="none"/>
              </w:rPr>
              <w:t>合计</w:t>
            </w:r>
            <w:r>
              <w:rPr>
                <w:rFonts w:ascii="宋体" w:hAnsi="宋体"/>
                <w:color w:val="auto"/>
                <w:sz w:val="24"/>
                <w:highlight w:val="none"/>
              </w:rPr>
              <w:t>：大写：</w:t>
            </w:r>
            <w:r>
              <w:rPr>
                <w:rFonts w:ascii="宋体" w:hAnsi="宋体"/>
                <w:color w:val="auto"/>
                <w:sz w:val="24"/>
                <w:highlight w:val="none"/>
                <w:u w:val="single"/>
              </w:rPr>
              <w:t xml:space="preserve">                            </w:t>
            </w:r>
            <w:r>
              <w:rPr>
                <w:rFonts w:ascii="宋体" w:hAnsi="宋体"/>
                <w:color w:val="auto"/>
                <w:sz w:val="24"/>
                <w:highlight w:val="none"/>
              </w:rPr>
              <w:t>，</w:t>
            </w:r>
          </w:p>
          <w:p w14:paraId="596C9957">
            <w:pPr>
              <w:keepNext w:val="0"/>
              <w:keepLines w:val="0"/>
              <w:pageBreakBefore w:val="0"/>
              <w:bidi w:val="0"/>
              <w:adjustRightInd w:val="0"/>
              <w:snapToGrid w:val="0"/>
              <w:spacing w:beforeAutospacing="0" w:afterAutospacing="0" w:line="440" w:lineRule="exact"/>
              <w:ind w:left="0" w:leftChars="0" w:right="0" w:rightChars="0" w:firstLine="720" w:firstLineChars="300"/>
              <w:rPr>
                <w:rFonts w:ascii="宋体" w:hAnsi="宋体"/>
                <w:color w:val="auto"/>
                <w:highlight w:val="none"/>
                <w:u w:val="single"/>
              </w:rPr>
            </w:pPr>
            <w:r>
              <w:rPr>
                <w:rFonts w:ascii="宋体" w:hAnsi="宋体"/>
                <w:color w:val="auto"/>
                <w:kern w:val="0"/>
                <w:sz w:val="24"/>
                <w:highlight w:val="none"/>
              </w:rPr>
              <w:t>小写：</w:t>
            </w:r>
            <w:r>
              <w:rPr>
                <w:rFonts w:ascii="宋体" w:hAnsi="宋体"/>
                <w:color w:val="auto"/>
                <w:kern w:val="0"/>
                <w:sz w:val="24"/>
                <w:highlight w:val="none"/>
                <w:u w:val="single"/>
              </w:rPr>
              <w:t xml:space="preserve">              </w:t>
            </w:r>
            <w:r>
              <w:rPr>
                <w:rFonts w:ascii="宋体" w:hAnsi="宋体"/>
                <w:color w:val="auto"/>
                <w:kern w:val="0"/>
                <w:sz w:val="24"/>
                <w:highlight w:val="none"/>
              </w:rPr>
              <w:t>元（人民币）</w:t>
            </w:r>
          </w:p>
        </w:tc>
      </w:tr>
    </w:tbl>
    <w:p w14:paraId="45B9442C">
      <w:pPr>
        <w:keepNext w:val="0"/>
        <w:keepLines w:val="0"/>
        <w:pageBreakBefore w:val="0"/>
        <w:bidi w:val="0"/>
        <w:snapToGrid w:val="0"/>
        <w:spacing w:beforeAutospacing="0" w:afterAutospacing="0" w:line="440" w:lineRule="exact"/>
        <w:ind w:left="0" w:leftChars="0" w:right="0" w:rightChars="0" w:firstLine="2400" w:firstLineChars="1000"/>
        <w:jc w:val="right"/>
        <w:rPr>
          <w:rFonts w:ascii="宋体" w:hAnsi="宋体"/>
          <w:color w:val="auto"/>
          <w:sz w:val="24"/>
          <w:highlight w:val="none"/>
        </w:rPr>
      </w:pPr>
    </w:p>
    <w:p w14:paraId="77D351EC">
      <w:pPr>
        <w:keepNext w:val="0"/>
        <w:keepLines w:val="0"/>
        <w:pageBreakBefore w:val="0"/>
        <w:bidi w:val="0"/>
        <w:spacing w:beforeAutospacing="0" w:afterAutospacing="0" w:line="440" w:lineRule="exact"/>
        <w:ind w:left="0" w:leftChars="0" w:right="0" w:rightChars="0" w:firstLine="3840" w:firstLineChars="1600"/>
        <w:rPr>
          <w:rFonts w:ascii="宋体" w:hAnsi="宋体"/>
          <w:color w:val="auto"/>
          <w:sz w:val="24"/>
          <w:highlight w:val="none"/>
        </w:rPr>
      </w:pPr>
      <w:r>
        <w:rPr>
          <w:rFonts w:ascii="宋体" w:hAnsi="宋体"/>
          <w:color w:val="auto"/>
          <w:sz w:val="24"/>
          <w:highlight w:val="none"/>
        </w:rPr>
        <w:t>投标人全称（加盖公章）：</w:t>
      </w:r>
    </w:p>
    <w:p w14:paraId="7D6A48F0">
      <w:pPr>
        <w:keepNext w:val="0"/>
        <w:keepLines w:val="0"/>
        <w:pageBreakBefore w:val="0"/>
        <w:bidi w:val="0"/>
        <w:snapToGrid w:val="0"/>
        <w:spacing w:beforeAutospacing="0" w:afterAutospacing="0" w:line="440" w:lineRule="exact"/>
        <w:ind w:left="0" w:leftChars="0" w:right="0" w:rightChars="0" w:firstLine="2400" w:firstLineChars="1000"/>
        <w:jc w:val="right"/>
        <w:rPr>
          <w:rFonts w:ascii="宋体" w:hAnsi="宋体"/>
          <w:color w:val="auto"/>
          <w:sz w:val="24"/>
          <w:highlight w:val="none"/>
        </w:rPr>
      </w:pPr>
    </w:p>
    <w:p w14:paraId="20B5F55E">
      <w:pPr>
        <w:keepNext w:val="0"/>
        <w:keepLines w:val="0"/>
        <w:pageBreakBefore w:val="0"/>
        <w:bidi w:val="0"/>
        <w:snapToGrid w:val="0"/>
        <w:spacing w:beforeAutospacing="0" w:afterAutospacing="0" w:line="440" w:lineRule="exact"/>
        <w:ind w:left="0" w:leftChars="0" w:right="0" w:rightChars="0" w:firstLine="2400" w:firstLineChars="1000"/>
        <w:jc w:val="right"/>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37F2F657">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p>
    <w:p w14:paraId="2EBE882A">
      <w:pPr>
        <w:keepNext w:val="0"/>
        <w:keepLines w:val="0"/>
        <w:pageBreakBefore w:val="0"/>
        <w:bidi w:val="0"/>
        <w:spacing w:beforeAutospacing="0" w:afterAutospacing="0" w:line="440" w:lineRule="exact"/>
        <w:ind w:left="0" w:leftChars="0" w:right="0" w:rightChars="0" w:firstLine="480"/>
        <w:rPr>
          <w:rFonts w:ascii="宋体" w:hAnsi="宋体"/>
          <w:color w:val="auto"/>
          <w:sz w:val="24"/>
          <w:highlight w:val="none"/>
        </w:rPr>
      </w:pPr>
      <w:r>
        <w:rPr>
          <w:rFonts w:ascii="宋体" w:hAnsi="宋体"/>
          <w:color w:val="auto"/>
          <w:sz w:val="24"/>
          <w:highlight w:val="none"/>
        </w:rPr>
        <w:t xml:space="preserve">                                      日期：  </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6CF0745A">
      <w:pPr>
        <w:keepNext w:val="0"/>
        <w:keepLines w:val="0"/>
        <w:pageBreakBefore w:val="0"/>
        <w:bidi w:val="0"/>
        <w:spacing w:beforeAutospacing="0" w:afterAutospacing="0" w:line="440" w:lineRule="exact"/>
        <w:ind w:left="0" w:leftChars="0" w:right="0" w:rightChars="0" w:firstLine="480"/>
        <w:rPr>
          <w:rFonts w:ascii="宋体" w:hAnsi="宋体"/>
          <w:color w:val="auto"/>
          <w:sz w:val="24"/>
          <w:highlight w:val="none"/>
        </w:rPr>
      </w:pPr>
      <w:r>
        <w:rPr>
          <w:rFonts w:ascii="宋体" w:hAnsi="宋体"/>
          <w:color w:val="auto"/>
          <w:sz w:val="24"/>
          <w:highlight w:val="none"/>
        </w:rPr>
        <w:t>填写说明：</w:t>
      </w:r>
    </w:p>
    <w:p w14:paraId="2A14094F">
      <w:pPr>
        <w:keepNext w:val="0"/>
        <w:keepLines w:val="0"/>
        <w:pageBreakBefore w:val="0"/>
        <w:bidi w:val="0"/>
        <w:spacing w:beforeAutospacing="0" w:afterAutospacing="0" w:line="440" w:lineRule="exact"/>
        <w:ind w:left="0" w:leftChars="0" w:right="0" w:rightChars="0" w:firstLine="480" w:firstLineChars="200"/>
        <w:rPr>
          <w:rFonts w:ascii="宋体" w:hAnsi="宋体"/>
          <w:bCs/>
          <w:iCs/>
          <w:color w:val="auto"/>
          <w:sz w:val="24"/>
          <w:highlight w:val="none"/>
        </w:rPr>
      </w:pPr>
      <w:r>
        <w:rPr>
          <w:rFonts w:ascii="宋体" w:hAnsi="宋体"/>
          <w:bCs/>
          <w:iCs/>
          <w:color w:val="auto"/>
          <w:sz w:val="24"/>
          <w:highlight w:val="none"/>
        </w:rPr>
        <w:t>1、</w:t>
      </w:r>
      <w:r>
        <w:rPr>
          <w:rFonts w:hint="eastAsia" w:ascii="宋体" w:hAnsi="宋体"/>
          <w:bCs/>
          <w:iCs/>
          <w:color w:val="auto"/>
          <w:sz w:val="24"/>
          <w:highlight w:val="none"/>
        </w:rPr>
        <w:t>开标一览表中不得填报有选择性报价方案，采购人仅接受一个价格。</w:t>
      </w:r>
    </w:p>
    <w:p w14:paraId="635D03C2">
      <w:pPr>
        <w:keepNext w:val="0"/>
        <w:keepLines w:val="0"/>
        <w:pageBreakBefore w:val="0"/>
        <w:bidi w:val="0"/>
        <w:spacing w:beforeAutospacing="0" w:afterAutospacing="0" w:line="440" w:lineRule="exact"/>
        <w:ind w:left="0" w:leftChars="0" w:right="0" w:rightChars="0" w:firstLine="480" w:firstLineChars="200"/>
        <w:rPr>
          <w:rFonts w:ascii="宋体" w:hAnsi="宋体"/>
          <w:bCs/>
          <w:color w:val="auto"/>
          <w:sz w:val="24"/>
          <w:szCs w:val="21"/>
          <w:highlight w:val="none"/>
        </w:rPr>
      </w:pPr>
      <w:r>
        <w:rPr>
          <w:rFonts w:ascii="宋体" w:hAnsi="宋体"/>
          <w:color w:val="auto"/>
          <w:sz w:val="24"/>
          <w:highlight w:val="none"/>
        </w:rPr>
        <w:t>2、</w:t>
      </w:r>
      <w:r>
        <w:rPr>
          <w:rFonts w:ascii="宋体" w:hAnsi="宋体"/>
          <w:bCs/>
          <w:iCs/>
          <w:color w:val="auto"/>
          <w:sz w:val="24"/>
          <w:highlight w:val="none"/>
        </w:rPr>
        <w:t>开标一览表和分项报价表必须加盖投标单位公章</w:t>
      </w:r>
      <w:r>
        <w:rPr>
          <w:rFonts w:ascii="宋体" w:hAnsi="宋体"/>
          <w:color w:val="auto"/>
          <w:sz w:val="24"/>
          <w:highlight w:val="none"/>
        </w:rPr>
        <w:t>。</w:t>
      </w:r>
    </w:p>
    <w:p w14:paraId="1F136B7C">
      <w:pPr>
        <w:keepNext w:val="0"/>
        <w:keepLines w:val="0"/>
        <w:pageBreakBefore w:val="0"/>
        <w:bidi w:val="0"/>
        <w:spacing w:beforeAutospacing="0" w:afterAutospacing="0" w:line="440" w:lineRule="exact"/>
        <w:ind w:left="0" w:leftChars="0" w:right="0" w:rightChars="0"/>
        <w:rPr>
          <w:rFonts w:ascii="宋体" w:hAnsi="宋体"/>
          <w:color w:val="auto"/>
          <w:sz w:val="24"/>
          <w:highlight w:val="none"/>
        </w:rPr>
      </w:pPr>
      <w:r>
        <w:rPr>
          <w:rFonts w:ascii="宋体" w:hAnsi="宋体"/>
          <w:color w:val="auto"/>
          <w:sz w:val="24"/>
          <w:highlight w:val="none"/>
        </w:rPr>
        <w:t xml:space="preserve">    </w:t>
      </w:r>
    </w:p>
    <w:p w14:paraId="1E129EAB">
      <w:pPr>
        <w:keepNext w:val="0"/>
        <w:keepLines w:val="0"/>
        <w:pageBreakBefore w:val="0"/>
        <w:bidi w:val="0"/>
        <w:snapToGrid w:val="0"/>
        <w:spacing w:beforeAutospacing="0" w:afterAutospacing="0" w:line="440" w:lineRule="exact"/>
        <w:ind w:left="0" w:leftChars="0" w:right="0" w:rightChars="0"/>
        <w:jc w:val="center"/>
        <w:outlineLvl w:val="1"/>
        <w:rPr>
          <w:rFonts w:hint="eastAsia" w:ascii="宋体" w:hAnsi="宋体"/>
          <w:b/>
          <w:bCs/>
          <w:color w:val="auto"/>
          <w:sz w:val="28"/>
          <w:szCs w:val="28"/>
          <w:highlight w:val="none"/>
        </w:rPr>
      </w:pPr>
      <w:r>
        <w:rPr>
          <w:rFonts w:ascii="宋体" w:hAnsi="宋体"/>
          <w:b/>
          <w:color w:val="auto"/>
          <w:sz w:val="24"/>
          <w:highlight w:val="none"/>
        </w:rPr>
        <w:br w:type="page"/>
      </w:r>
      <w:r>
        <w:rPr>
          <w:rFonts w:hint="eastAsia" w:ascii="宋体" w:hAnsi="宋体"/>
          <w:b/>
          <w:color w:val="auto"/>
          <w:sz w:val="28"/>
          <w:highlight w:val="none"/>
        </w:rPr>
        <w:t>二</w:t>
      </w:r>
      <w:r>
        <w:rPr>
          <w:rFonts w:ascii="宋体" w:hAnsi="宋体"/>
          <w:b/>
          <w:color w:val="auto"/>
          <w:sz w:val="28"/>
          <w:highlight w:val="none"/>
        </w:rPr>
        <w:t>、分项报价明细表</w:t>
      </w:r>
    </w:p>
    <w:p w14:paraId="4E4FF341">
      <w:pPr>
        <w:keepNext w:val="0"/>
        <w:keepLines w:val="0"/>
        <w:pageBreakBefore w:val="0"/>
        <w:bidi w:val="0"/>
        <w:spacing w:beforeAutospacing="0" w:afterAutospacing="0" w:line="440" w:lineRule="exact"/>
        <w:ind w:left="0" w:leftChars="0" w:right="0" w:rightChars="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eastAsia="zh-CN"/>
        </w:rPr>
        <w:t>南通老节制闸安全检测项目</w:t>
      </w:r>
    </w:p>
    <w:p w14:paraId="74DC66AC">
      <w:pPr>
        <w:keepNext w:val="0"/>
        <w:keepLines w:val="0"/>
        <w:pageBreakBefore w:val="0"/>
        <w:widowControl w:val="0"/>
        <w:kinsoku/>
        <w:wordWrap/>
        <w:overflowPunct/>
        <w:topLinePunct w:val="0"/>
        <w:autoSpaceDE/>
        <w:autoSpaceDN/>
        <w:bidi w:val="0"/>
        <w:adjustRightInd/>
        <w:snapToGrid/>
        <w:spacing w:line="440" w:lineRule="exact"/>
        <w:ind w:left="0" w:leftChars="0" w:firstLineChars="200"/>
        <w:jc w:val="center"/>
        <w:textAlignment w:val="auto"/>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南通节制闸</w:t>
      </w:r>
      <w:r>
        <w:rPr>
          <w:rFonts w:hint="eastAsia" w:ascii="宋体" w:hAnsi="宋体" w:cs="宋体"/>
          <w:b/>
          <w:bCs/>
          <w:color w:val="auto"/>
          <w:sz w:val="24"/>
          <w:szCs w:val="24"/>
          <w:highlight w:val="none"/>
          <w:lang w:val="en-US" w:eastAsia="zh-CN"/>
        </w:rPr>
        <w:t>构件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荷载、结构验算清单</w:t>
      </w:r>
    </w:p>
    <w:tbl>
      <w:tblPr>
        <w:tblStyle w:val="65"/>
        <w:tblW w:w="5042" w:type="pct"/>
        <w:tblInd w:w="0" w:type="dxa"/>
        <w:tblLayout w:type="fixed"/>
        <w:tblCellMar>
          <w:top w:w="0" w:type="dxa"/>
          <w:left w:w="0" w:type="dxa"/>
          <w:bottom w:w="0" w:type="dxa"/>
          <w:right w:w="0" w:type="dxa"/>
        </w:tblCellMar>
      </w:tblPr>
      <w:tblGrid>
        <w:gridCol w:w="674"/>
        <w:gridCol w:w="733"/>
        <w:gridCol w:w="746"/>
        <w:gridCol w:w="2472"/>
        <w:gridCol w:w="475"/>
        <w:gridCol w:w="507"/>
        <w:gridCol w:w="946"/>
        <w:gridCol w:w="814"/>
        <w:gridCol w:w="2023"/>
      </w:tblGrid>
      <w:tr w14:paraId="4520A85A">
        <w:tblPrEx>
          <w:tblCellMar>
            <w:top w:w="0" w:type="dxa"/>
            <w:left w:w="0" w:type="dxa"/>
            <w:bottom w:w="0" w:type="dxa"/>
            <w:right w:w="0" w:type="dxa"/>
          </w:tblCellMar>
        </w:tblPrEx>
        <w:trPr>
          <w:trHeight w:val="545" w:hRule="atLeast"/>
          <w:tblHeader/>
        </w:trPr>
        <w:tc>
          <w:tcPr>
            <w:tcW w:w="358" w:type="pct"/>
            <w:tcBorders>
              <w:top w:val="single" w:color="000000" w:sz="4" w:space="0"/>
              <w:left w:val="single" w:color="000000" w:sz="4" w:space="0"/>
              <w:bottom w:val="single" w:color="000000" w:sz="4" w:space="0"/>
              <w:right w:val="single" w:color="000000" w:sz="4" w:space="0"/>
            </w:tcBorders>
            <w:noWrap/>
            <w:vAlign w:val="center"/>
          </w:tcPr>
          <w:p w14:paraId="5B2A95C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787" w:type="pct"/>
            <w:gridSpan w:val="2"/>
            <w:tcBorders>
              <w:top w:val="single" w:color="000000" w:sz="4" w:space="0"/>
              <w:left w:val="single" w:color="000000" w:sz="4" w:space="0"/>
              <w:bottom w:val="single" w:color="000000" w:sz="4" w:space="0"/>
              <w:right w:val="single" w:color="000000" w:sz="4" w:space="0"/>
            </w:tcBorders>
            <w:noWrap/>
            <w:vAlign w:val="center"/>
          </w:tcPr>
          <w:p w14:paraId="78C4533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项目</w:t>
            </w:r>
          </w:p>
        </w:tc>
        <w:tc>
          <w:tcPr>
            <w:tcW w:w="1316" w:type="pct"/>
            <w:tcBorders>
              <w:top w:val="single" w:color="000000" w:sz="4" w:space="0"/>
              <w:left w:val="single" w:color="000000" w:sz="4" w:space="0"/>
              <w:bottom w:val="single" w:color="000000" w:sz="4" w:space="0"/>
              <w:right w:val="single" w:color="000000" w:sz="4" w:space="0"/>
            </w:tcBorders>
            <w:noWrap/>
            <w:vAlign w:val="center"/>
          </w:tcPr>
          <w:p w14:paraId="3D1225E9">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工作内容</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43AB701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数量</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4CBE63E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单位</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5CFD57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单价（元）</w:t>
            </w: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A6FDD1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总价（元）</w:t>
            </w:r>
          </w:p>
        </w:tc>
        <w:tc>
          <w:tcPr>
            <w:tcW w:w="1077" w:type="pct"/>
            <w:tcBorders>
              <w:top w:val="single" w:color="000000" w:sz="4" w:space="0"/>
              <w:left w:val="single" w:color="000000" w:sz="4" w:space="0"/>
              <w:bottom w:val="single" w:color="000000" w:sz="4" w:space="0"/>
              <w:right w:val="single" w:color="000000" w:sz="4" w:space="0"/>
            </w:tcBorders>
            <w:noWrap/>
            <w:vAlign w:val="center"/>
          </w:tcPr>
          <w:p w14:paraId="199EC51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41C4F45C">
        <w:tblPrEx>
          <w:tblCellMar>
            <w:top w:w="0" w:type="dxa"/>
            <w:left w:w="0" w:type="dxa"/>
            <w:bottom w:w="0" w:type="dxa"/>
            <w:right w:w="0" w:type="dxa"/>
          </w:tblCellMar>
        </w:tblPrEx>
        <w:trPr>
          <w:trHeight w:val="656" w:hRule="atLeast"/>
        </w:trPr>
        <w:tc>
          <w:tcPr>
            <w:tcW w:w="358" w:type="pct"/>
            <w:vMerge w:val="restart"/>
            <w:tcBorders>
              <w:top w:val="single" w:color="000000" w:sz="4" w:space="0"/>
              <w:left w:val="single" w:color="000000" w:sz="4" w:space="0"/>
              <w:right w:val="single" w:color="000000" w:sz="4" w:space="0"/>
            </w:tcBorders>
            <w:noWrap/>
            <w:vAlign w:val="center"/>
          </w:tcPr>
          <w:p w14:paraId="2394A8B9">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eastAsia="zh-CN" w:bidi="ar"/>
              </w:rPr>
              <w:t>一</w:t>
            </w:r>
          </w:p>
        </w:tc>
        <w:tc>
          <w:tcPr>
            <w:tcW w:w="390" w:type="pct"/>
            <w:vMerge w:val="restart"/>
            <w:tcBorders>
              <w:top w:val="single" w:color="000000" w:sz="4" w:space="0"/>
              <w:left w:val="single" w:color="000000" w:sz="4" w:space="0"/>
              <w:right w:val="single" w:color="auto" w:sz="4" w:space="0"/>
            </w:tcBorders>
            <w:noWrap/>
            <w:vAlign w:val="center"/>
          </w:tcPr>
          <w:p w14:paraId="0FB1FBE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eastAsia="zh-CN" w:bidi="ar"/>
              </w:rPr>
              <w:t>外观</w:t>
            </w:r>
            <w:r>
              <w:rPr>
                <w:rFonts w:hint="eastAsia" w:ascii="宋体" w:hAnsi="宋体" w:cs="宋体"/>
                <w:b/>
                <w:bCs/>
                <w:color w:val="auto"/>
                <w:kern w:val="0"/>
                <w:sz w:val="24"/>
                <w:szCs w:val="24"/>
                <w:highlight w:val="none"/>
                <w:lang w:val="en-US" w:eastAsia="zh-CN" w:bidi="ar"/>
              </w:rPr>
              <w:t>检查</w:t>
            </w:r>
          </w:p>
        </w:tc>
        <w:tc>
          <w:tcPr>
            <w:tcW w:w="397" w:type="pct"/>
            <w:tcBorders>
              <w:top w:val="single" w:color="000000" w:sz="4" w:space="0"/>
              <w:left w:val="single" w:color="auto" w:sz="4" w:space="0"/>
              <w:bottom w:val="single" w:color="auto" w:sz="4" w:space="0"/>
              <w:right w:val="single" w:color="000000" w:sz="4" w:space="0"/>
            </w:tcBorders>
            <w:noWrap/>
            <w:vAlign w:val="center"/>
          </w:tcPr>
          <w:p w14:paraId="06DBE6B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1316" w:type="pct"/>
            <w:tcBorders>
              <w:top w:val="single" w:color="000000" w:sz="4" w:space="0"/>
              <w:left w:val="single" w:color="000000" w:sz="4" w:space="0"/>
              <w:bottom w:val="single" w:color="000000" w:sz="4" w:space="0"/>
              <w:right w:val="single" w:color="000000" w:sz="4" w:space="0"/>
            </w:tcBorders>
            <w:noWrap/>
            <w:vAlign w:val="center"/>
          </w:tcPr>
          <w:p w14:paraId="0CFB4A7F">
            <w:pPr>
              <w:keepNext w:val="0"/>
              <w:keepLines w:val="0"/>
              <w:pageBreakBefore w:val="0"/>
              <w:widowControl/>
              <w:kinsoku/>
              <w:wordWrap/>
              <w:overflowPunct/>
              <w:topLinePunct w:val="0"/>
              <w:autoSpaceDE/>
              <w:autoSpaceDN/>
              <w:bidi w:val="0"/>
              <w:adjustRightInd/>
              <w:snapToGrid/>
              <w:spacing w:line="440" w:lineRule="exact"/>
              <w:ind w:left="0" w:leftChars="0"/>
              <w:jc w:val="left"/>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eastAsia="zh-CN" w:bidi="ar"/>
              </w:rPr>
              <w:t>水闸</w:t>
            </w:r>
            <w:r>
              <w:rPr>
                <w:rFonts w:hint="eastAsia" w:ascii="宋体" w:hAnsi="宋体" w:eastAsia="宋体" w:cs="宋体"/>
                <w:color w:val="auto"/>
                <w:kern w:val="0"/>
                <w:sz w:val="24"/>
                <w:szCs w:val="24"/>
                <w:highlight w:val="none"/>
                <w:lang w:bidi="ar"/>
              </w:rPr>
              <w:t>工程主体结构（水上部分）外观缺陷普查，包括砌石岸墙、砌石护坡、闸墩、桥墩、盖梁、预制梁板、支座、桥面系（桥面铺装、伸缩缝、栏杆、排水系统）及附属设施等</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0DEDA8C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2C72742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项</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50E76A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8000A4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p>
        </w:tc>
        <w:tc>
          <w:tcPr>
            <w:tcW w:w="1077" w:type="pct"/>
            <w:tcBorders>
              <w:top w:val="single" w:color="000000" w:sz="4" w:space="0"/>
              <w:left w:val="single" w:color="000000" w:sz="4" w:space="0"/>
              <w:bottom w:val="single" w:color="000000" w:sz="4" w:space="0"/>
              <w:right w:val="single" w:color="000000" w:sz="4" w:space="0"/>
            </w:tcBorders>
            <w:noWrap/>
            <w:vAlign w:val="center"/>
          </w:tcPr>
          <w:p w14:paraId="3E0F84E0">
            <w:pPr>
              <w:keepNext w:val="0"/>
              <w:keepLines w:val="0"/>
              <w:pageBreakBefore w:val="0"/>
              <w:widowControl/>
              <w:kinsoku/>
              <w:wordWrap/>
              <w:overflowPunct/>
              <w:topLinePunct w:val="0"/>
              <w:autoSpaceDE/>
              <w:autoSpaceDN/>
              <w:bidi w:val="0"/>
              <w:adjustRightInd/>
              <w:snapToGrid/>
              <w:spacing w:line="440" w:lineRule="exact"/>
              <w:ind w:left="0" w:leftChars="0"/>
              <w:rPr>
                <w:rFonts w:hint="eastAsia" w:ascii="宋体" w:hAnsi="宋体" w:eastAsia="宋体" w:cs="宋体"/>
                <w:b/>
                <w:bCs/>
                <w:color w:val="auto"/>
                <w:kern w:val="0"/>
                <w:sz w:val="24"/>
                <w:szCs w:val="24"/>
                <w:highlight w:val="none"/>
                <w:lang w:bidi="ar"/>
              </w:rPr>
            </w:pPr>
          </w:p>
        </w:tc>
      </w:tr>
      <w:tr w14:paraId="5B891DA1">
        <w:tblPrEx>
          <w:tblCellMar>
            <w:top w:w="0" w:type="dxa"/>
            <w:left w:w="0" w:type="dxa"/>
            <w:bottom w:w="0" w:type="dxa"/>
            <w:right w:w="0" w:type="dxa"/>
          </w:tblCellMar>
        </w:tblPrEx>
        <w:trPr>
          <w:trHeight w:val="454" w:hRule="atLeast"/>
        </w:trPr>
        <w:tc>
          <w:tcPr>
            <w:tcW w:w="358" w:type="pct"/>
            <w:vMerge w:val="continue"/>
            <w:tcBorders>
              <w:left w:val="single" w:color="000000" w:sz="4" w:space="0"/>
              <w:bottom w:val="single" w:color="000000" w:sz="4" w:space="0"/>
              <w:right w:val="single" w:color="000000" w:sz="4" w:space="0"/>
            </w:tcBorders>
            <w:noWrap/>
            <w:vAlign w:val="center"/>
          </w:tcPr>
          <w:p w14:paraId="669897B9">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eastAsia="zh-CN" w:bidi="ar"/>
              </w:rPr>
            </w:pPr>
          </w:p>
        </w:tc>
        <w:tc>
          <w:tcPr>
            <w:tcW w:w="390" w:type="pct"/>
            <w:vMerge w:val="continue"/>
            <w:tcBorders>
              <w:left w:val="single" w:color="000000" w:sz="4" w:space="0"/>
              <w:bottom w:val="single" w:color="000000" w:sz="4" w:space="0"/>
              <w:right w:val="single" w:color="auto" w:sz="4" w:space="0"/>
            </w:tcBorders>
            <w:noWrap/>
            <w:vAlign w:val="center"/>
          </w:tcPr>
          <w:p w14:paraId="6C98B57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p>
        </w:tc>
        <w:tc>
          <w:tcPr>
            <w:tcW w:w="397" w:type="pct"/>
            <w:tcBorders>
              <w:top w:val="single" w:color="auto" w:sz="4" w:space="0"/>
              <w:left w:val="single" w:color="auto" w:sz="4" w:space="0"/>
              <w:bottom w:val="single" w:color="000000" w:sz="4" w:space="0"/>
              <w:right w:val="single" w:color="000000" w:sz="4" w:space="0"/>
            </w:tcBorders>
            <w:noWrap/>
            <w:vAlign w:val="center"/>
          </w:tcPr>
          <w:p w14:paraId="5F452CD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w:t>
            </w:r>
          </w:p>
        </w:tc>
        <w:tc>
          <w:tcPr>
            <w:tcW w:w="1316" w:type="pct"/>
            <w:tcBorders>
              <w:top w:val="single" w:color="000000" w:sz="4" w:space="0"/>
              <w:left w:val="single" w:color="000000" w:sz="4" w:space="0"/>
              <w:bottom w:val="single" w:color="000000" w:sz="4" w:space="0"/>
              <w:right w:val="single" w:color="000000" w:sz="4" w:space="0"/>
            </w:tcBorders>
            <w:noWrap/>
            <w:vAlign w:val="center"/>
          </w:tcPr>
          <w:p w14:paraId="103F373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水下摸探</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6A42777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23</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6CD7D03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孔</w:t>
            </w:r>
          </w:p>
        </w:tc>
        <w:tc>
          <w:tcPr>
            <w:tcW w:w="503" w:type="pct"/>
            <w:tcBorders>
              <w:top w:val="single" w:color="000000" w:sz="4" w:space="0"/>
              <w:left w:val="single" w:color="000000" w:sz="4" w:space="0"/>
              <w:bottom w:val="single" w:color="auto" w:sz="4" w:space="0"/>
              <w:right w:val="single" w:color="000000" w:sz="4" w:space="0"/>
            </w:tcBorders>
            <w:noWrap/>
            <w:vAlign w:val="center"/>
          </w:tcPr>
          <w:p w14:paraId="663B175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p>
        </w:tc>
        <w:tc>
          <w:tcPr>
            <w:tcW w:w="433" w:type="pct"/>
            <w:tcBorders>
              <w:top w:val="single" w:color="000000" w:sz="4" w:space="0"/>
              <w:left w:val="single" w:color="000000" w:sz="4" w:space="0"/>
              <w:bottom w:val="single" w:color="auto" w:sz="4" w:space="0"/>
              <w:right w:val="single" w:color="000000" w:sz="4" w:space="0"/>
            </w:tcBorders>
            <w:noWrap/>
            <w:vAlign w:val="center"/>
          </w:tcPr>
          <w:p w14:paraId="5C3EC0B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p>
        </w:tc>
        <w:tc>
          <w:tcPr>
            <w:tcW w:w="1077" w:type="pct"/>
            <w:tcBorders>
              <w:top w:val="single" w:color="000000" w:sz="4" w:space="0"/>
              <w:left w:val="single" w:color="000000" w:sz="4" w:space="0"/>
              <w:bottom w:val="single" w:color="auto" w:sz="4" w:space="0"/>
              <w:right w:val="single" w:color="000000" w:sz="4" w:space="0"/>
            </w:tcBorders>
            <w:noWrap/>
            <w:vAlign w:val="center"/>
          </w:tcPr>
          <w:p w14:paraId="239EDFC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2"/>
                <w:sz w:val="24"/>
                <w:szCs w:val="24"/>
                <w:highlight w:val="none"/>
                <w:lang w:val="en-US" w:eastAsia="zh-CN" w:bidi="ar-SA"/>
              </w:rPr>
              <w:t>范围为：老节制闸上游防冲槽~老节制闸下游连接段与通吕闸上游连接段的交界处，内容为：上下游护坦、消力池、翼墙、闸室等结构水下部分损坏、变形情况；各结构墙体伸缩缝、止水完好情况等。</w:t>
            </w:r>
          </w:p>
        </w:tc>
      </w:tr>
      <w:tr w14:paraId="0E16F07C">
        <w:tblPrEx>
          <w:tblCellMar>
            <w:top w:w="0" w:type="dxa"/>
            <w:left w:w="0" w:type="dxa"/>
            <w:bottom w:w="0" w:type="dxa"/>
            <w:right w:w="0" w:type="dxa"/>
          </w:tblCellMar>
        </w:tblPrEx>
        <w:trPr>
          <w:trHeight w:val="454" w:hRule="atLeast"/>
        </w:trPr>
        <w:tc>
          <w:tcPr>
            <w:tcW w:w="358" w:type="pct"/>
            <w:vMerge w:val="restart"/>
            <w:tcBorders>
              <w:top w:val="single" w:color="000000" w:sz="4" w:space="0"/>
              <w:left w:val="single" w:color="000000" w:sz="4" w:space="0"/>
              <w:right w:val="single" w:color="000000" w:sz="4" w:space="0"/>
            </w:tcBorders>
            <w:noWrap/>
            <w:vAlign w:val="center"/>
          </w:tcPr>
          <w:p w14:paraId="5856BF6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w:t>
            </w:r>
          </w:p>
        </w:tc>
        <w:tc>
          <w:tcPr>
            <w:tcW w:w="390" w:type="pct"/>
            <w:vMerge w:val="restart"/>
            <w:tcBorders>
              <w:top w:val="single" w:color="000000" w:sz="4" w:space="0"/>
              <w:left w:val="single" w:color="000000" w:sz="4" w:space="0"/>
              <w:right w:val="single" w:color="000000" w:sz="4" w:space="0"/>
            </w:tcBorders>
            <w:noWrap/>
            <w:vAlign w:val="center"/>
          </w:tcPr>
          <w:p w14:paraId="67F243C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eastAsia="zh-CN" w:bidi="ar"/>
              </w:rPr>
              <w:t>构件检测</w:t>
            </w: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454E95C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316" w:type="pct"/>
            <w:tcBorders>
              <w:top w:val="single" w:color="000000" w:sz="4" w:space="0"/>
              <w:left w:val="single" w:color="000000" w:sz="4" w:space="0"/>
              <w:bottom w:val="single" w:color="000000" w:sz="4" w:space="0"/>
              <w:right w:val="single" w:color="000000" w:sz="4" w:space="0"/>
            </w:tcBorders>
            <w:vAlign w:val="center"/>
          </w:tcPr>
          <w:p w14:paraId="28FBCAD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钻芯法检测砼强度</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4215891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1</w:t>
            </w:r>
          </w:p>
        </w:tc>
        <w:tc>
          <w:tcPr>
            <w:tcW w:w="270" w:type="pct"/>
            <w:tcBorders>
              <w:top w:val="single" w:color="000000" w:sz="4" w:space="0"/>
              <w:left w:val="single" w:color="000000" w:sz="4" w:space="0"/>
              <w:bottom w:val="single" w:color="000000" w:sz="4" w:space="0"/>
              <w:right w:val="single" w:color="auto" w:sz="4" w:space="0"/>
            </w:tcBorders>
            <w:noWrap/>
            <w:vAlign w:val="center"/>
          </w:tcPr>
          <w:p w14:paraId="2A46F1B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项</w:t>
            </w:r>
          </w:p>
        </w:tc>
        <w:tc>
          <w:tcPr>
            <w:tcW w:w="503" w:type="pct"/>
            <w:tcBorders>
              <w:top w:val="single" w:color="auto" w:sz="4" w:space="0"/>
              <w:left w:val="single" w:color="auto" w:sz="4" w:space="0"/>
              <w:bottom w:val="single" w:color="auto" w:sz="4" w:space="0"/>
              <w:right w:val="single" w:color="auto" w:sz="4" w:space="0"/>
            </w:tcBorders>
            <w:noWrap/>
            <w:vAlign w:val="center"/>
          </w:tcPr>
          <w:p w14:paraId="06B3EBD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3532965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1077" w:type="pct"/>
            <w:tcBorders>
              <w:top w:val="single" w:color="auto" w:sz="4" w:space="0"/>
              <w:left w:val="single" w:color="auto" w:sz="4" w:space="0"/>
              <w:bottom w:val="single" w:color="auto" w:sz="4" w:space="0"/>
              <w:right w:val="single" w:color="auto" w:sz="4" w:space="0"/>
            </w:tcBorders>
            <w:noWrap/>
            <w:vAlign w:val="center"/>
          </w:tcPr>
          <w:p w14:paraId="2C07B93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5孔。其中：梁板强度采用回弹法（或超声回弹法）；桥柱、闸墩和排架采用钻芯法检测。</w:t>
            </w:r>
          </w:p>
        </w:tc>
      </w:tr>
      <w:tr w14:paraId="39548E83">
        <w:tblPrEx>
          <w:tblCellMar>
            <w:top w:w="0" w:type="dxa"/>
            <w:left w:w="0" w:type="dxa"/>
            <w:bottom w:w="0" w:type="dxa"/>
            <w:right w:w="0" w:type="dxa"/>
          </w:tblCellMar>
        </w:tblPrEx>
        <w:trPr>
          <w:trHeight w:val="454" w:hRule="atLeast"/>
        </w:trPr>
        <w:tc>
          <w:tcPr>
            <w:tcW w:w="358" w:type="pct"/>
            <w:vMerge w:val="continue"/>
            <w:tcBorders>
              <w:left w:val="single" w:color="000000" w:sz="4" w:space="0"/>
              <w:right w:val="single" w:color="000000" w:sz="4" w:space="0"/>
            </w:tcBorders>
            <w:noWrap/>
            <w:vAlign w:val="center"/>
          </w:tcPr>
          <w:p w14:paraId="32AAF17B">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90" w:type="pct"/>
            <w:vMerge w:val="continue"/>
            <w:tcBorders>
              <w:left w:val="single" w:color="000000" w:sz="4" w:space="0"/>
              <w:right w:val="single" w:color="000000" w:sz="4" w:space="0"/>
            </w:tcBorders>
            <w:noWrap/>
            <w:vAlign w:val="center"/>
          </w:tcPr>
          <w:p w14:paraId="1D1194D8">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2FC207E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316" w:type="pct"/>
            <w:tcBorders>
              <w:top w:val="single" w:color="000000" w:sz="4" w:space="0"/>
              <w:left w:val="single" w:color="000000" w:sz="4" w:space="0"/>
              <w:bottom w:val="single" w:color="000000" w:sz="4" w:space="0"/>
              <w:right w:val="single" w:color="000000" w:sz="4" w:space="0"/>
            </w:tcBorders>
            <w:vAlign w:val="center"/>
          </w:tcPr>
          <w:p w14:paraId="5DE064E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回弹法（超声回弹法）</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1D50D4D7">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270" w:type="pct"/>
            <w:tcBorders>
              <w:top w:val="single" w:color="000000" w:sz="4" w:space="0"/>
              <w:left w:val="single" w:color="000000" w:sz="4" w:space="0"/>
              <w:bottom w:val="single" w:color="000000" w:sz="4" w:space="0"/>
              <w:right w:val="single" w:color="auto" w:sz="4" w:space="0"/>
            </w:tcBorders>
            <w:noWrap/>
            <w:vAlign w:val="center"/>
          </w:tcPr>
          <w:p w14:paraId="4F6C063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项</w:t>
            </w:r>
          </w:p>
        </w:tc>
        <w:tc>
          <w:tcPr>
            <w:tcW w:w="503" w:type="pct"/>
            <w:tcBorders>
              <w:top w:val="single" w:color="auto" w:sz="4" w:space="0"/>
              <w:left w:val="single" w:color="auto" w:sz="4" w:space="0"/>
              <w:bottom w:val="single" w:color="auto" w:sz="4" w:space="0"/>
              <w:right w:val="single" w:color="auto" w:sz="4" w:space="0"/>
            </w:tcBorders>
            <w:noWrap/>
            <w:vAlign w:val="center"/>
          </w:tcPr>
          <w:p w14:paraId="0DEF463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16AF076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1077" w:type="pct"/>
            <w:tcBorders>
              <w:top w:val="single" w:color="auto" w:sz="4" w:space="0"/>
              <w:left w:val="single" w:color="auto" w:sz="4" w:space="0"/>
              <w:bottom w:val="single" w:color="auto" w:sz="4" w:space="0"/>
              <w:right w:val="single" w:color="auto" w:sz="4" w:space="0"/>
            </w:tcBorders>
            <w:noWrap/>
            <w:vAlign w:val="center"/>
          </w:tcPr>
          <w:p w14:paraId="3F05C3A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w:t>
            </w:r>
          </w:p>
        </w:tc>
      </w:tr>
      <w:tr w14:paraId="13343EE0">
        <w:tblPrEx>
          <w:tblCellMar>
            <w:top w:w="0" w:type="dxa"/>
            <w:left w:w="0" w:type="dxa"/>
            <w:bottom w:w="0" w:type="dxa"/>
            <w:right w:w="0" w:type="dxa"/>
          </w:tblCellMar>
        </w:tblPrEx>
        <w:trPr>
          <w:trHeight w:val="454" w:hRule="atLeast"/>
        </w:trPr>
        <w:tc>
          <w:tcPr>
            <w:tcW w:w="358" w:type="pct"/>
            <w:vMerge w:val="continue"/>
            <w:tcBorders>
              <w:left w:val="single" w:color="000000" w:sz="4" w:space="0"/>
              <w:right w:val="single" w:color="000000" w:sz="4" w:space="0"/>
            </w:tcBorders>
            <w:noWrap/>
            <w:vAlign w:val="center"/>
          </w:tcPr>
          <w:p w14:paraId="0656530D">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lang w:eastAsia="zh-CN"/>
              </w:rPr>
            </w:pPr>
          </w:p>
        </w:tc>
        <w:tc>
          <w:tcPr>
            <w:tcW w:w="390" w:type="pct"/>
            <w:vMerge w:val="continue"/>
            <w:tcBorders>
              <w:left w:val="single" w:color="000000" w:sz="4" w:space="0"/>
              <w:right w:val="single" w:color="000000" w:sz="4" w:space="0"/>
            </w:tcBorders>
            <w:noWrap/>
            <w:vAlign w:val="center"/>
          </w:tcPr>
          <w:p w14:paraId="6B9624DE">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20E13D2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1316" w:type="pct"/>
            <w:tcBorders>
              <w:top w:val="single" w:color="000000" w:sz="4" w:space="0"/>
              <w:left w:val="single" w:color="000000" w:sz="4" w:space="0"/>
              <w:bottom w:val="single" w:color="000000" w:sz="4" w:space="0"/>
              <w:right w:val="single" w:color="000000" w:sz="4" w:space="0"/>
            </w:tcBorders>
            <w:noWrap/>
            <w:vAlign w:val="center"/>
          </w:tcPr>
          <w:p w14:paraId="43A1F42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砼外观及碳化深度检测</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6FBD2147">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270" w:type="pct"/>
            <w:tcBorders>
              <w:top w:val="single" w:color="000000" w:sz="4" w:space="0"/>
              <w:left w:val="single" w:color="000000" w:sz="4" w:space="0"/>
              <w:bottom w:val="single" w:color="000000" w:sz="4" w:space="0"/>
              <w:right w:val="single" w:color="auto" w:sz="4" w:space="0"/>
            </w:tcBorders>
            <w:noWrap/>
            <w:vAlign w:val="center"/>
          </w:tcPr>
          <w:p w14:paraId="6630E47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项</w:t>
            </w:r>
          </w:p>
        </w:tc>
        <w:tc>
          <w:tcPr>
            <w:tcW w:w="503" w:type="pct"/>
            <w:tcBorders>
              <w:top w:val="single" w:color="auto" w:sz="4" w:space="0"/>
              <w:left w:val="single" w:color="auto" w:sz="4" w:space="0"/>
              <w:bottom w:val="single" w:color="auto" w:sz="4" w:space="0"/>
              <w:right w:val="single" w:color="auto" w:sz="4" w:space="0"/>
            </w:tcBorders>
            <w:noWrap/>
            <w:vAlign w:val="center"/>
          </w:tcPr>
          <w:p w14:paraId="4905126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6857C77F">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1077" w:type="pct"/>
            <w:tcBorders>
              <w:top w:val="single" w:color="auto" w:sz="4" w:space="0"/>
              <w:left w:val="single" w:color="auto" w:sz="4" w:space="0"/>
              <w:bottom w:val="single" w:color="auto" w:sz="4" w:space="0"/>
              <w:right w:val="single" w:color="auto" w:sz="4" w:space="0"/>
            </w:tcBorders>
            <w:noWrap/>
            <w:vAlign w:val="center"/>
          </w:tcPr>
          <w:p w14:paraId="7667BAF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w:t>
            </w:r>
          </w:p>
        </w:tc>
      </w:tr>
      <w:tr w14:paraId="1DBC6C39">
        <w:tblPrEx>
          <w:tblCellMar>
            <w:top w:w="0" w:type="dxa"/>
            <w:left w:w="0" w:type="dxa"/>
            <w:bottom w:w="0" w:type="dxa"/>
            <w:right w:w="0" w:type="dxa"/>
          </w:tblCellMar>
        </w:tblPrEx>
        <w:trPr>
          <w:trHeight w:val="454" w:hRule="atLeast"/>
        </w:trPr>
        <w:tc>
          <w:tcPr>
            <w:tcW w:w="358" w:type="pct"/>
            <w:vMerge w:val="continue"/>
            <w:tcBorders>
              <w:left w:val="single" w:color="000000" w:sz="4" w:space="0"/>
              <w:right w:val="single" w:color="000000" w:sz="4" w:space="0"/>
            </w:tcBorders>
            <w:noWrap/>
            <w:vAlign w:val="center"/>
          </w:tcPr>
          <w:p w14:paraId="20A090DD">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lang w:eastAsia="zh-CN"/>
              </w:rPr>
            </w:pPr>
          </w:p>
        </w:tc>
        <w:tc>
          <w:tcPr>
            <w:tcW w:w="390" w:type="pct"/>
            <w:vMerge w:val="continue"/>
            <w:tcBorders>
              <w:left w:val="single" w:color="000000" w:sz="4" w:space="0"/>
              <w:right w:val="single" w:color="000000" w:sz="4" w:space="0"/>
            </w:tcBorders>
            <w:noWrap/>
            <w:vAlign w:val="center"/>
          </w:tcPr>
          <w:p w14:paraId="5C049C3E">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122979D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1316" w:type="pct"/>
            <w:tcBorders>
              <w:top w:val="single" w:color="000000" w:sz="4" w:space="0"/>
              <w:left w:val="single" w:color="000000" w:sz="4" w:space="0"/>
              <w:bottom w:val="single" w:color="000000" w:sz="4" w:space="0"/>
              <w:right w:val="single" w:color="000000" w:sz="4" w:space="0"/>
            </w:tcBorders>
            <w:noWrap/>
            <w:vAlign w:val="center"/>
          </w:tcPr>
          <w:p w14:paraId="6646501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砼保护层厚度检测</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355074B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270" w:type="pct"/>
            <w:tcBorders>
              <w:top w:val="single" w:color="000000" w:sz="4" w:space="0"/>
              <w:left w:val="single" w:color="000000" w:sz="4" w:space="0"/>
              <w:bottom w:val="single" w:color="000000" w:sz="4" w:space="0"/>
              <w:right w:val="single" w:color="auto" w:sz="4" w:space="0"/>
            </w:tcBorders>
            <w:noWrap/>
            <w:vAlign w:val="center"/>
          </w:tcPr>
          <w:p w14:paraId="207CE1C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项</w:t>
            </w:r>
          </w:p>
        </w:tc>
        <w:tc>
          <w:tcPr>
            <w:tcW w:w="503" w:type="pct"/>
            <w:tcBorders>
              <w:top w:val="single" w:color="auto" w:sz="4" w:space="0"/>
              <w:left w:val="single" w:color="auto" w:sz="4" w:space="0"/>
              <w:bottom w:val="single" w:color="auto" w:sz="4" w:space="0"/>
              <w:right w:val="single" w:color="auto" w:sz="4" w:space="0"/>
            </w:tcBorders>
            <w:noWrap/>
            <w:vAlign w:val="center"/>
          </w:tcPr>
          <w:p w14:paraId="0A00E98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1AD3F55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1077" w:type="pct"/>
            <w:tcBorders>
              <w:top w:val="single" w:color="auto" w:sz="4" w:space="0"/>
              <w:left w:val="single" w:color="auto" w:sz="4" w:space="0"/>
              <w:bottom w:val="single" w:color="auto" w:sz="4" w:space="0"/>
              <w:right w:val="single" w:color="auto" w:sz="4" w:space="0"/>
            </w:tcBorders>
            <w:noWrap/>
            <w:vAlign w:val="center"/>
          </w:tcPr>
          <w:p w14:paraId="7F03104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w:t>
            </w:r>
          </w:p>
        </w:tc>
      </w:tr>
      <w:tr w14:paraId="3361A9A8">
        <w:tblPrEx>
          <w:tblCellMar>
            <w:top w:w="0" w:type="dxa"/>
            <w:left w:w="0" w:type="dxa"/>
            <w:bottom w:w="0" w:type="dxa"/>
            <w:right w:w="0" w:type="dxa"/>
          </w:tblCellMar>
        </w:tblPrEx>
        <w:trPr>
          <w:trHeight w:val="454" w:hRule="atLeast"/>
        </w:trPr>
        <w:tc>
          <w:tcPr>
            <w:tcW w:w="358" w:type="pct"/>
            <w:vMerge w:val="continue"/>
            <w:tcBorders>
              <w:left w:val="single" w:color="000000" w:sz="4" w:space="0"/>
              <w:right w:val="single" w:color="000000" w:sz="4" w:space="0"/>
            </w:tcBorders>
            <w:noWrap/>
            <w:vAlign w:val="center"/>
          </w:tcPr>
          <w:p w14:paraId="0B75DEB1">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90" w:type="pct"/>
            <w:vMerge w:val="continue"/>
            <w:tcBorders>
              <w:left w:val="single" w:color="000000" w:sz="4" w:space="0"/>
              <w:right w:val="single" w:color="000000" w:sz="4" w:space="0"/>
            </w:tcBorders>
            <w:noWrap/>
            <w:vAlign w:val="center"/>
          </w:tcPr>
          <w:p w14:paraId="77F10FF8">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465F3DB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1316" w:type="pct"/>
            <w:tcBorders>
              <w:top w:val="single" w:color="000000" w:sz="4" w:space="0"/>
              <w:left w:val="single" w:color="000000" w:sz="4" w:space="0"/>
              <w:bottom w:val="single" w:color="000000" w:sz="4" w:space="0"/>
              <w:right w:val="single" w:color="000000" w:sz="4" w:space="0"/>
            </w:tcBorders>
            <w:noWrap/>
            <w:vAlign w:val="center"/>
          </w:tcPr>
          <w:p w14:paraId="52DCA05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砼裂缝检测</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6835E51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270" w:type="pct"/>
            <w:tcBorders>
              <w:top w:val="single" w:color="000000" w:sz="4" w:space="0"/>
              <w:left w:val="single" w:color="000000" w:sz="4" w:space="0"/>
              <w:bottom w:val="single" w:color="000000" w:sz="4" w:space="0"/>
              <w:right w:val="single" w:color="auto" w:sz="4" w:space="0"/>
            </w:tcBorders>
            <w:noWrap/>
            <w:vAlign w:val="center"/>
          </w:tcPr>
          <w:p w14:paraId="343B4DA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项</w:t>
            </w:r>
          </w:p>
        </w:tc>
        <w:tc>
          <w:tcPr>
            <w:tcW w:w="503" w:type="pct"/>
            <w:tcBorders>
              <w:top w:val="single" w:color="auto" w:sz="4" w:space="0"/>
              <w:left w:val="single" w:color="auto" w:sz="4" w:space="0"/>
              <w:bottom w:val="single" w:color="auto" w:sz="4" w:space="0"/>
              <w:right w:val="single" w:color="auto" w:sz="4" w:space="0"/>
            </w:tcBorders>
            <w:noWrap/>
            <w:vAlign w:val="center"/>
          </w:tcPr>
          <w:p w14:paraId="09205D5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7894F3B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1077" w:type="pct"/>
            <w:tcBorders>
              <w:top w:val="single" w:color="auto" w:sz="4" w:space="0"/>
              <w:left w:val="single" w:color="auto" w:sz="4" w:space="0"/>
              <w:bottom w:val="single" w:color="auto" w:sz="4" w:space="0"/>
              <w:right w:val="single" w:color="auto" w:sz="4" w:space="0"/>
            </w:tcBorders>
            <w:noWrap/>
            <w:vAlign w:val="center"/>
          </w:tcPr>
          <w:p w14:paraId="1F2310D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主跨梁板，检测</w:t>
            </w:r>
            <w:r>
              <w:rPr>
                <w:rFonts w:hint="eastAsia" w:ascii="宋体" w:hAnsi="宋体" w:eastAsia="宋体" w:cs="宋体"/>
                <w:color w:val="auto"/>
                <w:kern w:val="0"/>
                <w:sz w:val="24"/>
                <w:szCs w:val="24"/>
                <w:highlight w:val="none"/>
                <w:lang w:val="en-US" w:eastAsia="zh-CN" w:bidi="ar"/>
              </w:rPr>
              <w:t>6孔</w:t>
            </w:r>
          </w:p>
        </w:tc>
      </w:tr>
      <w:tr w14:paraId="604575E0">
        <w:tblPrEx>
          <w:tblCellMar>
            <w:top w:w="0" w:type="dxa"/>
            <w:left w:w="0" w:type="dxa"/>
            <w:bottom w:w="0" w:type="dxa"/>
            <w:right w:w="0" w:type="dxa"/>
          </w:tblCellMar>
        </w:tblPrEx>
        <w:trPr>
          <w:trHeight w:val="774" w:hRule="atLeast"/>
        </w:trPr>
        <w:tc>
          <w:tcPr>
            <w:tcW w:w="358" w:type="pct"/>
            <w:vMerge w:val="continue"/>
            <w:tcBorders>
              <w:left w:val="single" w:color="000000" w:sz="4" w:space="0"/>
              <w:right w:val="single" w:color="000000" w:sz="4" w:space="0"/>
            </w:tcBorders>
            <w:noWrap/>
            <w:vAlign w:val="center"/>
          </w:tcPr>
          <w:p w14:paraId="479CC00B">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90" w:type="pct"/>
            <w:vMerge w:val="continue"/>
            <w:tcBorders>
              <w:left w:val="single" w:color="000000" w:sz="4" w:space="0"/>
              <w:right w:val="single" w:color="000000" w:sz="4" w:space="0"/>
            </w:tcBorders>
            <w:noWrap/>
            <w:vAlign w:val="center"/>
          </w:tcPr>
          <w:p w14:paraId="237BC4F7">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97" w:type="pct"/>
            <w:tcBorders>
              <w:top w:val="single" w:color="000000" w:sz="4" w:space="0"/>
              <w:left w:val="single" w:color="000000" w:sz="4" w:space="0"/>
              <w:bottom w:val="single" w:color="auto" w:sz="4" w:space="0"/>
              <w:right w:val="single" w:color="000000" w:sz="4" w:space="0"/>
            </w:tcBorders>
            <w:noWrap/>
            <w:vAlign w:val="center"/>
          </w:tcPr>
          <w:p w14:paraId="2CC74C9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1316" w:type="pct"/>
            <w:tcBorders>
              <w:top w:val="single" w:color="000000" w:sz="4" w:space="0"/>
              <w:left w:val="single" w:color="000000" w:sz="4" w:space="0"/>
              <w:bottom w:val="single" w:color="000000" w:sz="4" w:space="0"/>
              <w:right w:val="single" w:color="000000" w:sz="4" w:space="0"/>
            </w:tcBorders>
            <w:noWrap/>
            <w:vAlign w:val="center"/>
          </w:tcPr>
          <w:p w14:paraId="139DB699">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挠度检测</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7150F0D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270" w:type="pct"/>
            <w:tcBorders>
              <w:top w:val="single" w:color="000000" w:sz="4" w:space="0"/>
              <w:left w:val="single" w:color="000000" w:sz="4" w:space="0"/>
              <w:bottom w:val="single" w:color="000000" w:sz="4" w:space="0"/>
              <w:right w:val="single" w:color="auto" w:sz="4" w:space="0"/>
            </w:tcBorders>
            <w:noWrap/>
            <w:vAlign w:val="center"/>
          </w:tcPr>
          <w:p w14:paraId="57ACCCA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bidi="ar"/>
              </w:rPr>
              <w:t>项</w:t>
            </w:r>
          </w:p>
        </w:tc>
        <w:tc>
          <w:tcPr>
            <w:tcW w:w="503" w:type="pct"/>
            <w:tcBorders>
              <w:top w:val="single" w:color="auto" w:sz="4" w:space="0"/>
              <w:left w:val="single" w:color="auto" w:sz="4" w:space="0"/>
              <w:bottom w:val="single" w:color="auto" w:sz="4" w:space="0"/>
              <w:right w:val="single" w:color="auto" w:sz="4" w:space="0"/>
            </w:tcBorders>
            <w:noWrap/>
            <w:vAlign w:val="center"/>
          </w:tcPr>
          <w:p w14:paraId="6DF07BE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433" w:type="pct"/>
            <w:tcBorders>
              <w:top w:val="single" w:color="auto" w:sz="4" w:space="0"/>
              <w:left w:val="single" w:color="auto" w:sz="4" w:space="0"/>
              <w:bottom w:val="single" w:color="auto" w:sz="4" w:space="0"/>
              <w:right w:val="single" w:color="auto" w:sz="4" w:space="0"/>
            </w:tcBorders>
            <w:noWrap/>
            <w:vAlign w:val="center"/>
          </w:tcPr>
          <w:p w14:paraId="1D7A632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1077" w:type="pct"/>
            <w:tcBorders>
              <w:top w:val="single" w:color="auto" w:sz="4" w:space="0"/>
              <w:left w:val="single" w:color="auto" w:sz="4" w:space="0"/>
              <w:bottom w:val="single" w:color="auto" w:sz="4" w:space="0"/>
              <w:right w:val="single" w:color="auto" w:sz="4" w:space="0"/>
            </w:tcBorders>
            <w:noWrap/>
            <w:vAlign w:val="center"/>
          </w:tcPr>
          <w:p w14:paraId="71F23874">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梁板、桥柱、盖梁、闸墩和排架，检测</w:t>
            </w:r>
            <w:r>
              <w:rPr>
                <w:rFonts w:hint="eastAsia" w:ascii="宋体" w:hAnsi="宋体" w:eastAsia="宋体" w:cs="宋体"/>
                <w:color w:val="auto"/>
                <w:kern w:val="0"/>
                <w:sz w:val="24"/>
                <w:szCs w:val="24"/>
                <w:highlight w:val="none"/>
                <w:lang w:val="en-US" w:eastAsia="zh-CN" w:bidi="ar"/>
              </w:rPr>
              <w:t>5孔。其中：梁板强度采用回弹法（或超声回弹法）；桥柱、闸墩和排架采用钻芯法检测。</w:t>
            </w:r>
          </w:p>
        </w:tc>
      </w:tr>
      <w:tr w14:paraId="5846AC69">
        <w:tblPrEx>
          <w:tblCellMar>
            <w:top w:w="0" w:type="dxa"/>
            <w:left w:w="0" w:type="dxa"/>
            <w:bottom w:w="0" w:type="dxa"/>
            <w:right w:w="0" w:type="dxa"/>
          </w:tblCellMar>
        </w:tblPrEx>
        <w:trPr>
          <w:trHeight w:val="454" w:hRule="atLeast"/>
        </w:trPr>
        <w:tc>
          <w:tcPr>
            <w:tcW w:w="358" w:type="pct"/>
            <w:vMerge w:val="continue"/>
            <w:tcBorders>
              <w:left w:val="single" w:color="000000" w:sz="4" w:space="0"/>
              <w:bottom w:val="single" w:color="auto" w:sz="4" w:space="0"/>
              <w:right w:val="single" w:color="000000" w:sz="4" w:space="0"/>
            </w:tcBorders>
            <w:noWrap/>
            <w:vAlign w:val="center"/>
          </w:tcPr>
          <w:p w14:paraId="3DD0DE05">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90" w:type="pct"/>
            <w:vMerge w:val="continue"/>
            <w:tcBorders>
              <w:left w:val="single" w:color="000000" w:sz="4" w:space="0"/>
              <w:bottom w:val="single" w:color="auto" w:sz="4" w:space="0"/>
              <w:right w:val="single" w:color="000000" w:sz="4" w:space="0"/>
            </w:tcBorders>
            <w:noWrap/>
            <w:vAlign w:val="center"/>
          </w:tcPr>
          <w:p w14:paraId="5B2DC85C">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97" w:type="pct"/>
            <w:tcBorders>
              <w:top w:val="single" w:color="000000" w:sz="4" w:space="0"/>
              <w:left w:val="single" w:color="000000" w:sz="4" w:space="0"/>
              <w:bottom w:val="single" w:color="auto" w:sz="4" w:space="0"/>
              <w:right w:val="single" w:color="000000" w:sz="4" w:space="0"/>
            </w:tcBorders>
            <w:noWrap/>
            <w:vAlign w:val="center"/>
          </w:tcPr>
          <w:p w14:paraId="40403C89">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0B9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船只租赁</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FE2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1</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EF97">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项</w:t>
            </w:r>
          </w:p>
        </w:tc>
        <w:tc>
          <w:tcPr>
            <w:tcW w:w="503" w:type="pct"/>
            <w:tcBorders>
              <w:top w:val="single" w:color="auto" w:sz="4" w:space="0"/>
              <w:left w:val="single" w:color="000000" w:sz="4" w:space="0"/>
              <w:bottom w:val="single" w:color="000000" w:sz="4" w:space="0"/>
              <w:right w:val="single" w:color="000000" w:sz="4" w:space="0"/>
            </w:tcBorders>
            <w:noWrap/>
            <w:vAlign w:val="center"/>
          </w:tcPr>
          <w:p w14:paraId="0D4B2A2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433" w:type="pct"/>
            <w:tcBorders>
              <w:top w:val="single" w:color="auto" w:sz="4" w:space="0"/>
              <w:left w:val="single" w:color="000000" w:sz="4" w:space="0"/>
              <w:bottom w:val="single" w:color="000000" w:sz="4" w:space="0"/>
              <w:right w:val="single" w:color="000000" w:sz="4" w:space="0"/>
            </w:tcBorders>
            <w:noWrap/>
            <w:vAlign w:val="center"/>
          </w:tcPr>
          <w:p w14:paraId="49E1D79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1077" w:type="pct"/>
            <w:tcBorders>
              <w:top w:val="single" w:color="auto" w:sz="4" w:space="0"/>
              <w:left w:val="single" w:color="000000" w:sz="4" w:space="0"/>
              <w:bottom w:val="single" w:color="000000" w:sz="4" w:space="0"/>
              <w:right w:val="single" w:color="000000" w:sz="4" w:space="0"/>
            </w:tcBorders>
            <w:noWrap/>
            <w:vAlign w:val="center"/>
          </w:tcPr>
          <w:p w14:paraId="37A6653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p>
        </w:tc>
      </w:tr>
      <w:tr w14:paraId="3424F469">
        <w:tblPrEx>
          <w:tblCellMar>
            <w:top w:w="0" w:type="dxa"/>
            <w:left w:w="0" w:type="dxa"/>
            <w:bottom w:w="0" w:type="dxa"/>
            <w:right w:w="0" w:type="dxa"/>
          </w:tblCellMar>
        </w:tblPrEx>
        <w:trPr>
          <w:trHeight w:val="454" w:hRule="atLeast"/>
        </w:trPr>
        <w:tc>
          <w:tcPr>
            <w:tcW w:w="358" w:type="pct"/>
            <w:vMerge w:val="restart"/>
            <w:tcBorders>
              <w:top w:val="single" w:color="auto" w:sz="4" w:space="0"/>
              <w:left w:val="single" w:color="000000" w:sz="4" w:space="0"/>
              <w:right w:val="single" w:color="000000" w:sz="4" w:space="0"/>
            </w:tcBorders>
            <w:noWrap/>
            <w:vAlign w:val="center"/>
          </w:tcPr>
          <w:p w14:paraId="2F16D661">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三</w:t>
            </w:r>
          </w:p>
        </w:tc>
        <w:tc>
          <w:tcPr>
            <w:tcW w:w="390" w:type="pct"/>
            <w:vMerge w:val="restart"/>
            <w:tcBorders>
              <w:top w:val="single" w:color="auto" w:sz="4" w:space="0"/>
              <w:left w:val="single" w:color="000000" w:sz="4" w:space="0"/>
              <w:right w:val="single" w:color="000000" w:sz="4" w:space="0"/>
            </w:tcBorders>
            <w:noWrap/>
            <w:vAlign w:val="center"/>
          </w:tcPr>
          <w:p w14:paraId="563B0595">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lang w:eastAsia="zh-CN" w:bidi="ar"/>
              </w:rPr>
              <w:t>荷载试验</w:t>
            </w:r>
          </w:p>
        </w:tc>
        <w:tc>
          <w:tcPr>
            <w:tcW w:w="397" w:type="pct"/>
            <w:tcBorders>
              <w:top w:val="single" w:color="auto" w:sz="4" w:space="0"/>
              <w:left w:val="single" w:color="000000" w:sz="4" w:space="0"/>
              <w:bottom w:val="single" w:color="000000" w:sz="4" w:space="0"/>
              <w:right w:val="single" w:color="000000" w:sz="4" w:space="0"/>
            </w:tcBorders>
            <w:noWrap/>
            <w:vAlign w:val="center"/>
          </w:tcPr>
          <w:p w14:paraId="4C32E5C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1</w:t>
            </w:r>
          </w:p>
        </w:tc>
        <w:tc>
          <w:tcPr>
            <w:tcW w:w="1316" w:type="pct"/>
            <w:tcBorders>
              <w:top w:val="single" w:color="000000" w:sz="4" w:space="0"/>
              <w:left w:val="single" w:color="000000" w:sz="4" w:space="0"/>
              <w:bottom w:val="single" w:color="000000" w:sz="4" w:space="0"/>
              <w:right w:val="single" w:color="000000" w:sz="4" w:space="0"/>
            </w:tcBorders>
            <w:noWrap/>
            <w:vAlign w:val="center"/>
          </w:tcPr>
          <w:p w14:paraId="2D00364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桥梁动载检测</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5338AC47">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1</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75AFBA5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项</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53DD89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100C5D0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1077" w:type="pct"/>
            <w:tcBorders>
              <w:top w:val="single" w:color="000000" w:sz="4" w:space="0"/>
              <w:left w:val="single" w:color="000000" w:sz="4" w:space="0"/>
              <w:bottom w:val="single" w:color="000000" w:sz="4" w:space="0"/>
              <w:right w:val="single" w:color="000000" w:sz="4" w:space="0"/>
            </w:tcBorders>
            <w:noWrap/>
            <w:vAlign w:val="center"/>
          </w:tcPr>
          <w:p w14:paraId="60D3090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cs="宋体"/>
                <w:color w:val="auto"/>
                <w:sz w:val="24"/>
                <w:szCs w:val="24"/>
                <w:highlight w:val="none"/>
                <w:lang w:val="en-US" w:eastAsia="zh-CN"/>
              </w:rPr>
              <w:t>《城市桥梁养护技术标准》（CJJ99-2017）、《城市桥梁检测与评定技术规范》（CJJT/233-2015)</w:t>
            </w:r>
          </w:p>
        </w:tc>
      </w:tr>
      <w:tr w14:paraId="5DC502AB">
        <w:tblPrEx>
          <w:tblCellMar>
            <w:top w:w="0" w:type="dxa"/>
            <w:left w:w="0" w:type="dxa"/>
            <w:bottom w:w="0" w:type="dxa"/>
            <w:right w:w="0" w:type="dxa"/>
          </w:tblCellMar>
        </w:tblPrEx>
        <w:trPr>
          <w:trHeight w:val="454" w:hRule="exact"/>
        </w:trPr>
        <w:tc>
          <w:tcPr>
            <w:tcW w:w="358" w:type="pct"/>
            <w:vMerge w:val="continue"/>
            <w:tcBorders>
              <w:top w:val="single" w:color="000000" w:sz="4" w:space="0"/>
              <w:left w:val="single" w:color="000000" w:sz="4" w:space="0"/>
              <w:bottom w:val="single" w:color="000000" w:sz="4" w:space="0"/>
              <w:right w:val="single" w:color="000000" w:sz="4" w:space="0"/>
            </w:tcBorders>
            <w:noWrap/>
            <w:vAlign w:val="center"/>
          </w:tcPr>
          <w:p w14:paraId="451A02CD">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90" w:type="pct"/>
            <w:vMerge w:val="continue"/>
            <w:tcBorders>
              <w:top w:val="single" w:color="000000" w:sz="4" w:space="0"/>
              <w:left w:val="single" w:color="000000" w:sz="4" w:space="0"/>
              <w:bottom w:val="single" w:color="000000" w:sz="4" w:space="0"/>
              <w:right w:val="single" w:color="000000" w:sz="4" w:space="0"/>
            </w:tcBorders>
            <w:noWrap/>
            <w:vAlign w:val="center"/>
          </w:tcPr>
          <w:p w14:paraId="12F85D1F">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555B4E16">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CE2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桥梁检测车使用</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93D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1</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B0F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项</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480D9DD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3FEAF43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1077" w:type="pct"/>
            <w:tcBorders>
              <w:top w:val="single" w:color="000000" w:sz="4" w:space="0"/>
              <w:left w:val="single" w:color="000000" w:sz="4" w:space="0"/>
              <w:bottom w:val="single" w:color="000000" w:sz="4" w:space="0"/>
              <w:right w:val="single" w:color="000000" w:sz="4" w:space="0"/>
            </w:tcBorders>
            <w:noWrap/>
            <w:vAlign w:val="center"/>
          </w:tcPr>
          <w:p w14:paraId="59BF223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p>
        </w:tc>
      </w:tr>
      <w:tr w14:paraId="4FB2696A">
        <w:tblPrEx>
          <w:tblCellMar>
            <w:top w:w="0" w:type="dxa"/>
            <w:left w:w="0" w:type="dxa"/>
            <w:bottom w:w="0" w:type="dxa"/>
            <w:right w:w="0" w:type="dxa"/>
          </w:tblCellMar>
        </w:tblPrEx>
        <w:trPr>
          <w:trHeight w:val="454" w:hRule="exact"/>
        </w:trPr>
        <w:tc>
          <w:tcPr>
            <w:tcW w:w="358" w:type="pct"/>
            <w:vMerge w:val="continue"/>
            <w:tcBorders>
              <w:top w:val="single" w:color="000000" w:sz="4" w:space="0"/>
              <w:left w:val="single" w:color="000000" w:sz="4" w:space="0"/>
              <w:bottom w:val="single" w:color="000000" w:sz="4" w:space="0"/>
              <w:right w:val="single" w:color="000000" w:sz="4" w:space="0"/>
            </w:tcBorders>
            <w:noWrap/>
            <w:vAlign w:val="center"/>
          </w:tcPr>
          <w:p w14:paraId="28E8CFB5">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b/>
                <w:bCs/>
                <w:color w:val="auto"/>
                <w:sz w:val="24"/>
                <w:szCs w:val="24"/>
                <w:highlight w:val="none"/>
                <w:lang w:eastAsia="zh-CN"/>
              </w:rPr>
            </w:pPr>
          </w:p>
        </w:tc>
        <w:tc>
          <w:tcPr>
            <w:tcW w:w="390" w:type="pct"/>
            <w:vMerge w:val="continue"/>
            <w:tcBorders>
              <w:top w:val="single" w:color="000000" w:sz="4" w:space="0"/>
              <w:left w:val="single" w:color="000000" w:sz="4" w:space="0"/>
              <w:bottom w:val="single" w:color="000000" w:sz="4" w:space="0"/>
              <w:right w:val="single" w:color="000000" w:sz="4" w:space="0"/>
            </w:tcBorders>
            <w:noWrap/>
            <w:vAlign w:val="center"/>
          </w:tcPr>
          <w:p w14:paraId="3C6539DE">
            <w:pPr>
              <w:keepNext w:val="0"/>
              <w:keepLines w:val="0"/>
              <w:pageBreakBefore w:val="0"/>
              <w:kinsoku/>
              <w:wordWrap/>
              <w:overflowPunct/>
              <w:topLinePunct w:val="0"/>
              <w:autoSpaceDE/>
              <w:autoSpaceDN/>
              <w:bidi w:val="0"/>
              <w:adjustRightInd/>
              <w:snapToGrid/>
              <w:spacing w:line="440" w:lineRule="exact"/>
              <w:ind w:left="0" w:leftChars="0"/>
              <w:jc w:val="center"/>
              <w:rPr>
                <w:rFonts w:hint="eastAsia" w:ascii="宋体" w:hAnsi="宋体" w:eastAsia="宋体" w:cs="宋体"/>
                <w:b/>
                <w:bCs/>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0A18C39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6A63">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公路临时管制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EB8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1</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52F7">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项</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A97486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0172F77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cs="宋体"/>
                <w:color w:val="auto"/>
                <w:kern w:val="0"/>
                <w:sz w:val="24"/>
                <w:szCs w:val="24"/>
                <w:highlight w:val="none"/>
                <w:lang w:val="en-US" w:eastAsia="zh-CN" w:bidi="ar"/>
              </w:rPr>
            </w:pPr>
          </w:p>
        </w:tc>
        <w:tc>
          <w:tcPr>
            <w:tcW w:w="1077" w:type="pct"/>
            <w:tcBorders>
              <w:top w:val="single" w:color="000000" w:sz="4" w:space="0"/>
              <w:left w:val="single" w:color="000000" w:sz="4" w:space="0"/>
              <w:bottom w:val="single" w:color="000000" w:sz="4" w:space="0"/>
              <w:right w:val="single" w:color="000000" w:sz="4" w:space="0"/>
            </w:tcBorders>
            <w:noWrap/>
            <w:vAlign w:val="center"/>
          </w:tcPr>
          <w:p w14:paraId="23E99C11">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p>
        </w:tc>
      </w:tr>
      <w:tr w14:paraId="64E1308C">
        <w:tblPrEx>
          <w:tblCellMar>
            <w:top w:w="0" w:type="dxa"/>
            <w:left w:w="0" w:type="dxa"/>
            <w:bottom w:w="0" w:type="dxa"/>
            <w:right w:w="0" w:type="dxa"/>
          </w:tblCellMar>
        </w:tblPrEx>
        <w:trPr>
          <w:trHeight w:val="1135" w:hRule="atLeast"/>
        </w:trPr>
        <w:tc>
          <w:tcPr>
            <w:tcW w:w="358" w:type="pct"/>
            <w:vMerge w:val="restart"/>
            <w:tcBorders>
              <w:top w:val="single" w:color="000000" w:sz="4" w:space="0"/>
              <w:left w:val="single" w:color="000000" w:sz="4" w:space="0"/>
              <w:bottom w:val="single" w:color="000000" w:sz="4" w:space="0"/>
              <w:right w:val="single" w:color="000000" w:sz="4" w:space="0"/>
            </w:tcBorders>
            <w:noWrap/>
            <w:vAlign w:val="center"/>
          </w:tcPr>
          <w:p w14:paraId="2D4AD2D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w:t>
            </w:r>
          </w:p>
        </w:tc>
        <w:tc>
          <w:tcPr>
            <w:tcW w:w="390" w:type="pct"/>
            <w:vMerge w:val="restart"/>
            <w:tcBorders>
              <w:top w:val="single" w:color="000000" w:sz="4" w:space="0"/>
              <w:left w:val="single" w:color="000000" w:sz="4" w:space="0"/>
              <w:bottom w:val="single" w:color="000000" w:sz="4" w:space="0"/>
              <w:right w:val="single" w:color="auto" w:sz="4" w:space="0"/>
            </w:tcBorders>
            <w:noWrap/>
            <w:vAlign w:val="center"/>
          </w:tcPr>
          <w:p w14:paraId="18B5F9CF">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结构验算</w:t>
            </w:r>
          </w:p>
        </w:tc>
        <w:tc>
          <w:tcPr>
            <w:tcW w:w="397" w:type="pct"/>
            <w:tcBorders>
              <w:top w:val="single" w:color="auto" w:sz="4" w:space="0"/>
              <w:left w:val="single" w:color="auto" w:sz="4" w:space="0"/>
              <w:bottom w:val="single" w:color="auto" w:sz="4" w:space="0"/>
              <w:right w:val="single" w:color="auto" w:sz="4" w:space="0"/>
            </w:tcBorders>
            <w:noWrap/>
            <w:vAlign w:val="center"/>
          </w:tcPr>
          <w:p w14:paraId="2532890A">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1316" w:type="pct"/>
            <w:tcBorders>
              <w:top w:val="single" w:color="auto" w:sz="4" w:space="0"/>
              <w:left w:val="single" w:color="auto" w:sz="4" w:space="0"/>
              <w:bottom w:val="single" w:color="auto" w:sz="4" w:space="0"/>
              <w:right w:val="single" w:color="auto" w:sz="4" w:space="0"/>
            </w:tcBorders>
            <w:noWrap/>
            <w:vAlign w:val="center"/>
          </w:tcPr>
          <w:p w14:paraId="215120A8">
            <w:pPr>
              <w:keepNext w:val="0"/>
              <w:keepLines w:val="0"/>
              <w:pageBreakBefore w:val="0"/>
              <w:widowControl/>
              <w:kinsoku/>
              <w:wordWrap/>
              <w:overflowPunct/>
              <w:topLinePunct w:val="0"/>
              <w:autoSpaceDE/>
              <w:autoSpaceDN/>
              <w:bidi w:val="0"/>
              <w:adjustRightInd/>
              <w:snapToGrid/>
              <w:spacing w:line="440" w:lineRule="exact"/>
              <w:ind w:left="0" w:leftChars="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水闸</w:t>
            </w:r>
            <w:r>
              <w:rPr>
                <w:rFonts w:hint="eastAsia" w:ascii="宋体" w:hAnsi="宋体" w:eastAsia="宋体" w:cs="宋体"/>
                <w:color w:val="auto"/>
                <w:kern w:val="0"/>
                <w:sz w:val="24"/>
                <w:szCs w:val="24"/>
                <w:highlight w:val="none"/>
                <w:lang w:val="en-US" w:eastAsia="zh-CN" w:bidi="ar"/>
              </w:rPr>
              <w:t>整体</w:t>
            </w:r>
            <w:r>
              <w:rPr>
                <w:rFonts w:hint="eastAsia" w:ascii="宋体" w:hAnsi="宋体" w:eastAsia="宋体" w:cs="宋体"/>
                <w:color w:val="auto"/>
                <w:kern w:val="0"/>
                <w:sz w:val="24"/>
                <w:szCs w:val="24"/>
                <w:highlight w:val="none"/>
                <w:lang w:bidi="ar"/>
              </w:rPr>
              <w:t>稳定</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抗震、渗流</w:t>
            </w:r>
            <w:r>
              <w:rPr>
                <w:rFonts w:hint="eastAsia" w:ascii="宋体" w:hAnsi="宋体" w:eastAsia="宋体" w:cs="宋体"/>
                <w:color w:val="auto"/>
                <w:kern w:val="0"/>
                <w:sz w:val="24"/>
                <w:szCs w:val="24"/>
                <w:highlight w:val="none"/>
                <w:lang w:bidi="ar"/>
              </w:rPr>
              <w:t>验算；</w:t>
            </w:r>
            <w:r>
              <w:rPr>
                <w:rFonts w:hint="eastAsia" w:ascii="宋体" w:hAnsi="宋体" w:eastAsia="宋体" w:cs="宋体"/>
                <w:color w:val="auto"/>
                <w:kern w:val="0"/>
                <w:sz w:val="24"/>
                <w:szCs w:val="24"/>
                <w:highlight w:val="none"/>
                <w:lang w:val="en-US" w:eastAsia="zh-CN" w:bidi="ar"/>
              </w:rPr>
              <w:t>闸底板、闸墩</w:t>
            </w:r>
            <w:r>
              <w:rPr>
                <w:rFonts w:hint="eastAsia" w:ascii="宋体" w:hAnsi="宋体" w:cs="宋体"/>
                <w:color w:val="auto"/>
                <w:kern w:val="0"/>
                <w:sz w:val="24"/>
                <w:szCs w:val="24"/>
                <w:highlight w:val="none"/>
                <w:lang w:val="en-US" w:eastAsia="zh-CN" w:bidi="ar"/>
              </w:rPr>
              <w:t>、排架</w:t>
            </w:r>
            <w:r>
              <w:rPr>
                <w:rFonts w:hint="eastAsia" w:ascii="宋体" w:hAnsi="宋体" w:eastAsia="宋体" w:cs="宋体"/>
                <w:color w:val="auto"/>
                <w:kern w:val="0"/>
                <w:sz w:val="24"/>
                <w:szCs w:val="24"/>
                <w:highlight w:val="none"/>
                <w:lang w:val="en-US" w:eastAsia="zh-CN" w:bidi="ar"/>
              </w:rPr>
              <w:t>等构件强度验算等</w:t>
            </w:r>
          </w:p>
        </w:tc>
        <w:tc>
          <w:tcPr>
            <w:tcW w:w="253" w:type="pct"/>
            <w:tcBorders>
              <w:top w:val="single" w:color="000000" w:sz="4" w:space="0"/>
              <w:left w:val="single" w:color="auto" w:sz="4" w:space="0"/>
              <w:bottom w:val="single" w:color="000000" w:sz="4" w:space="0"/>
              <w:right w:val="single" w:color="000000" w:sz="4" w:space="0"/>
            </w:tcBorders>
            <w:noWrap/>
            <w:vAlign w:val="center"/>
          </w:tcPr>
          <w:p w14:paraId="4C4A942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34DDEC2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w:t>
            </w:r>
          </w:p>
        </w:tc>
        <w:tc>
          <w:tcPr>
            <w:tcW w:w="503" w:type="pct"/>
            <w:tcBorders>
              <w:top w:val="single" w:color="000000" w:sz="4" w:space="0"/>
              <w:left w:val="single" w:color="000000" w:sz="4" w:space="0"/>
              <w:right w:val="single" w:color="000000" w:sz="4" w:space="0"/>
            </w:tcBorders>
            <w:noWrap/>
            <w:vAlign w:val="center"/>
          </w:tcPr>
          <w:p w14:paraId="5101633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val="en-US" w:eastAsia="zh-CN" w:bidi="ar"/>
              </w:rPr>
            </w:pPr>
          </w:p>
        </w:tc>
        <w:tc>
          <w:tcPr>
            <w:tcW w:w="433" w:type="pct"/>
            <w:tcBorders>
              <w:top w:val="single" w:color="000000" w:sz="4" w:space="0"/>
              <w:left w:val="single" w:color="000000" w:sz="4" w:space="0"/>
              <w:right w:val="single" w:color="000000" w:sz="4" w:space="0"/>
            </w:tcBorders>
            <w:noWrap/>
            <w:vAlign w:val="center"/>
          </w:tcPr>
          <w:p w14:paraId="35776412">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val="en-US" w:eastAsia="zh-CN" w:bidi="ar"/>
              </w:rPr>
            </w:pPr>
          </w:p>
        </w:tc>
        <w:tc>
          <w:tcPr>
            <w:tcW w:w="1077" w:type="pct"/>
            <w:vMerge w:val="restart"/>
            <w:tcBorders>
              <w:top w:val="single" w:color="000000" w:sz="4" w:space="0"/>
              <w:left w:val="single" w:color="000000" w:sz="4" w:space="0"/>
              <w:right w:val="single" w:color="000000" w:sz="4" w:space="0"/>
            </w:tcBorders>
            <w:noWrap/>
            <w:vAlign w:val="center"/>
          </w:tcPr>
          <w:p w14:paraId="0C160F53">
            <w:pPr>
              <w:keepNext w:val="0"/>
              <w:keepLines w:val="0"/>
              <w:pageBreakBefore w:val="0"/>
              <w:widowControl/>
              <w:kinsoku/>
              <w:wordWrap/>
              <w:overflowPunct/>
              <w:topLinePunct w:val="0"/>
              <w:autoSpaceDE/>
              <w:autoSpaceDN/>
              <w:bidi w:val="0"/>
              <w:adjustRightInd/>
              <w:snapToGrid/>
              <w:spacing w:line="440" w:lineRule="exact"/>
              <w:ind w:left="0" w:leftChars="0"/>
              <w:jc w:val="both"/>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老</w:t>
            </w:r>
            <w:r>
              <w:rPr>
                <w:rFonts w:hint="eastAsia" w:ascii="宋体" w:hAnsi="宋体" w:eastAsia="宋体" w:cs="宋体"/>
                <w:color w:val="auto"/>
                <w:kern w:val="0"/>
                <w:sz w:val="24"/>
                <w:szCs w:val="24"/>
                <w:highlight w:val="none"/>
                <w:lang w:val="en-US" w:eastAsia="zh-CN" w:bidi="ar"/>
              </w:rPr>
              <w:t>节制闸桥位整体结构，桥梁上部荷载通过墩柱传递至闸墩，并最终通过底板传递给地基，故水闸也需要进行全面验算</w:t>
            </w:r>
            <w:r>
              <w:rPr>
                <w:rFonts w:hint="eastAsia" w:ascii="宋体" w:hAnsi="宋体" w:cs="宋体"/>
                <w:color w:val="auto"/>
                <w:kern w:val="0"/>
                <w:sz w:val="24"/>
                <w:szCs w:val="24"/>
                <w:highlight w:val="none"/>
                <w:lang w:val="en-US" w:eastAsia="zh-CN" w:bidi="ar"/>
              </w:rPr>
              <w:t>。按相关桥梁和水利工程规范。</w:t>
            </w:r>
          </w:p>
        </w:tc>
      </w:tr>
      <w:tr w14:paraId="12C523B5">
        <w:tblPrEx>
          <w:tblCellMar>
            <w:top w:w="0" w:type="dxa"/>
            <w:left w:w="0" w:type="dxa"/>
            <w:bottom w:w="0" w:type="dxa"/>
            <w:right w:w="0" w:type="dxa"/>
          </w:tblCellMar>
        </w:tblPrEx>
        <w:trPr>
          <w:trHeight w:val="360" w:hRule="atLeast"/>
        </w:trPr>
        <w:tc>
          <w:tcPr>
            <w:tcW w:w="358" w:type="pct"/>
            <w:vMerge w:val="continue"/>
            <w:tcBorders>
              <w:top w:val="single" w:color="000000" w:sz="4" w:space="0"/>
              <w:left w:val="single" w:color="000000" w:sz="4" w:space="0"/>
              <w:bottom w:val="single" w:color="000000" w:sz="4" w:space="0"/>
              <w:right w:val="single" w:color="000000" w:sz="4" w:space="0"/>
            </w:tcBorders>
            <w:noWrap/>
            <w:vAlign w:val="center"/>
          </w:tcPr>
          <w:p w14:paraId="62C2E20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p>
        </w:tc>
        <w:tc>
          <w:tcPr>
            <w:tcW w:w="390" w:type="pct"/>
            <w:vMerge w:val="continue"/>
            <w:tcBorders>
              <w:top w:val="single" w:color="000000" w:sz="4" w:space="0"/>
              <w:left w:val="single" w:color="000000" w:sz="4" w:space="0"/>
              <w:bottom w:val="single" w:color="000000" w:sz="4" w:space="0"/>
              <w:right w:val="single" w:color="auto" w:sz="4" w:space="0"/>
            </w:tcBorders>
            <w:noWrap/>
            <w:vAlign w:val="center"/>
          </w:tcPr>
          <w:p w14:paraId="4ABECF7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rPr>
            </w:pPr>
          </w:p>
        </w:tc>
        <w:tc>
          <w:tcPr>
            <w:tcW w:w="397" w:type="pct"/>
            <w:tcBorders>
              <w:top w:val="single" w:color="auto" w:sz="4" w:space="0"/>
              <w:left w:val="single" w:color="auto" w:sz="4" w:space="0"/>
              <w:bottom w:val="single" w:color="auto" w:sz="4" w:space="0"/>
              <w:right w:val="single" w:color="auto" w:sz="4" w:space="0"/>
            </w:tcBorders>
            <w:noWrap/>
            <w:vAlign w:val="center"/>
          </w:tcPr>
          <w:p w14:paraId="7DB29DCF">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316" w:type="pct"/>
            <w:tcBorders>
              <w:top w:val="single" w:color="auto" w:sz="4" w:space="0"/>
              <w:left w:val="single" w:color="auto" w:sz="4" w:space="0"/>
              <w:bottom w:val="single" w:color="auto" w:sz="4" w:space="0"/>
              <w:right w:val="single" w:color="auto" w:sz="4" w:space="0"/>
            </w:tcBorders>
            <w:noWrap/>
            <w:vAlign w:val="center"/>
          </w:tcPr>
          <w:p w14:paraId="3A282CFA">
            <w:pPr>
              <w:keepNext w:val="0"/>
              <w:keepLines w:val="0"/>
              <w:pageBreakBefore w:val="0"/>
              <w:widowControl/>
              <w:kinsoku/>
              <w:wordWrap/>
              <w:overflowPunct/>
              <w:topLinePunct w:val="0"/>
              <w:autoSpaceDE/>
              <w:autoSpaceDN/>
              <w:bidi w:val="0"/>
              <w:adjustRightInd/>
              <w:snapToGrid/>
              <w:spacing w:line="440" w:lineRule="exact"/>
              <w:ind w:left="0" w:left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桥</w:t>
            </w:r>
            <w:r>
              <w:rPr>
                <w:rFonts w:hint="eastAsia" w:ascii="宋体" w:hAnsi="宋体" w:eastAsia="宋体" w:cs="宋体"/>
                <w:color w:val="auto"/>
                <w:kern w:val="0"/>
                <w:sz w:val="24"/>
                <w:szCs w:val="24"/>
                <w:highlight w:val="none"/>
                <w:lang w:val="en-US" w:eastAsia="zh-CN" w:bidi="ar"/>
              </w:rPr>
              <w:t>梁整体稳定性、承载能力检算；预制板</w:t>
            </w:r>
            <w:r>
              <w:rPr>
                <w:rFonts w:hint="eastAsia" w:ascii="宋体" w:hAnsi="宋体" w:eastAsia="宋体" w:cs="宋体"/>
                <w:color w:val="auto"/>
                <w:kern w:val="0"/>
                <w:sz w:val="24"/>
                <w:szCs w:val="24"/>
                <w:highlight w:val="none"/>
                <w:lang w:bidi="ar"/>
              </w:rPr>
              <w:t>、盖梁、墩柱</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强度验算</w:t>
            </w:r>
            <w:r>
              <w:rPr>
                <w:rFonts w:hint="eastAsia" w:ascii="宋体" w:hAnsi="宋体" w:eastAsia="宋体" w:cs="宋体"/>
                <w:color w:val="auto"/>
                <w:kern w:val="0"/>
                <w:sz w:val="24"/>
                <w:szCs w:val="24"/>
                <w:highlight w:val="none"/>
                <w:lang w:val="en-US" w:eastAsia="zh-CN" w:bidi="ar"/>
              </w:rPr>
              <w:t>等</w:t>
            </w:r>
          </w:p>
        </w:tc>
        <w:tc>
          <w:tcPr>
            <w:tcW w:w="253" w:type="pct"/>
            <w:tcBorders>
              <w:top w:val="single" w:color="000000" w:sz="4" w:space="0"/>
              <w:left w:val="single" w:color="auto" w:sz="4" w:space="0"/>
              <w:bottom w:val="single" w:color="000000" w:sz="4" w:space="0"/>
              <w:right w:val="single" w:color="000000" w:sz="4" w:space="0"/>
            </w:tcBorders>
            <w:noWrap/>
            <w:vAlign w:val="center"/>
          </w:tcPr>
          <w:p w14:paraId="071C1B1F">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183C55A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503" w:type="pct"/>
            <w:tcBorders>
              <w:left w:val="single" w:color="000000" w:sz="4" w:space="0"/>
              <w:bottom w:val="single" w:color="000000" w:sz="4" w:space="0"/>
              <w:right w:val="single" w:color="000000" w:sz="4" w:space="0"/>
            </w:tcBorders>
            <w:noWrap/>
            <w:vAlign w:val="center"/>
          </w:tcPr>
          <w:p w14:paraId="34CAC30F">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p>
        </w:tc>
        <w:tc>
          <w:tcPr>
            <w:tcW w:w="433" w:type="pct"/>
            <w:tcBorders>
              <w:left w:val="single" w:color="000000" w:sz="4" w:space="0"/>
              <w:bottom w:val="single" w:color="000000" w:sz="4" w:space="0"/>
              <w:right w:val="single" w:color="000000" w:sz="4" w:space="0"/>
            </w:tcBorders>
            <w:noWrap/>
            <w:vAlign w:val="center"/>
          </w:tcPr>
          <w:p w14:paraId="5A70D7CB">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p>
        </w:tc>
        <w:tc>
          <w:tcPr>
            <w:tcW w:w="1077" w:type="pct"/>
            <w:vMerge w:val="continue"/>
            <w:tcBorders>
              <w:left w:val="single" w:color="000000" w:sz="4" w:space="0"/>
              <w:bottom w:val="single" w:color="000000" w:sz="4" w:space="0"/>
              <w:right w:val="single" w:color="000000" w:sz="4" w:space="0"/>
            </w:tcBorders>
            <w:noWrap/>
            <w:vAlign w:val="center"/>
          </w:tcPr>
          <w:p w14:paraId="17E163CD">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p>
        </w:tc>
      </w:tr>
      <w:tr w14:paraId="12FE5A4D">
        <w:tblPrEx>
          <w:tblCellMar>
            <w:top w:w="0" w:type="dxa"/>
            <w:left w:w="0" w:type="dxa"/>
            <w:bottom w:w="0" w:type="dxa"/>
            <w:right w:w="0" w:type="dxa"/>
          </w:tblCellMar>
        </w:tblPrEx>
        <w:trPr>
          <w:trHeight w:val="1780" w:hRule="exact"/>
        </w:trPr>
        <w:tc>
          <w:tcPr>
            <w:tcW w:w="358" w:type="pct"/>
            <w:tcBorders>
              <w:top w:val="single" w:color="000000" w:sz="4" w:space="0"/>
              <w:left w:val="single" w:color="000000" w:sz="4" w:space="0"/>
              <w:bottom w:val="single" w:color="000000" w:sz="4" w:space="0"/>
              <w:right w:val="single" w:color="000000" w:sz="4" w:space="0"/>
            </w:tcBorders>
            <w:noWrap/>
            <w:vAlign w:val="center"/>
          </w:tcPr>
          <w:p w14:paraId="60421EE8">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eastAsia="zh-CN" w:bidi="ar"/>
              </w:rPr>
              <w:t>五</w:t>
            </w:r>
          </w:p>
        </w:tc>
        <w:tc>
          <w:tcPr>
            <w:tcW w:w="787" w:type="pct"/>
            <w:gridSpan w:val="2"/>
            <w:tcBorders>
              <w:top w:val="single" w:color="000000" w:sz="4" w:space="0"/>
              <w:left w:val="single" w:color="000000" w:sz="4" w:space="0"/>
              <w:bottom w:val="single" w:color="000000" w:sz="4" w:space="0"/>
              <w:right w:val="single" w:color="000000" w:sz="4" w:space="0"/>
            </w:tcBorders>
            <w:noWrap/>
            <w:vAlign w:val="center"/>
          </w:tcPr>
          <w:p w14:paraId="29350BCB">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综合</w:t>
            </w:r>
          </w:p>
          <w:p w14:paraId="3ACFFBAD">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评估</w:t>
            </w:r>
          </w:p>
        </w:tc>
        <w:tc>
          <w:tcPr>
            <w:tcW w:w="1316" w:type="pct"/>
            <w:tcBorders>
              <w:top w:val="single" w:color="000000" w:sz="4" w:space="0"/>
              <w:left w:val="single" w:color="000000" w:sz="4" w:space="0"/>
              <w:bottom w:val="single" w:color="000000" w:sz="4" w:space="0"/>
              <w:right w:val="single" w:color="000000" w:sz="4" w:space="0"/>
            </w:tcBorders>
            <w:noWrap/>
            <w:vAlign w:val="center"/>
          </w:tcPr>
          <w:p w14:paraId="3A3FB610">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根据检测和</w:t>
            </w:r>
            <w:r>
              <w:rPr>
                <w:rFonts w:hint="eastAsia" w:ascii="宋体" w:hAnsi="宋体" w:cs="宋体"/>
                <w:color w:val="auto"/>
                <w:kern w:val="0"/>
                <w:sz w:val="24"/>
                <w:szCs w:val="24"/>
                <w:highlight w:val="none"/>
                <w:lang w:val="en-US" w:eastAsia="zh-CN" w:bidi="ar"/>
              </w:rPr>
              <w:t>验算</w:t>
            </w:r>
            <w:r>
              <w:rPr>
                <w:rFonts w:hint="eastAsia" w:ascii="宋体" w:hAnsi="宋体" w:eastAsia="宋体" w:cs="宋体"/>
                <w:color w:val="auto"/>
                <w:kern w:val="0"/>
                <w:sz w:val="24"/>
                <w:szCs w:val="24"/>
                <w:highlight w:val="none"/>
                <w:lang w:bidi="ar"/>
              </w:rPr>
              <w:t>结果，综合</w:t>
            </w:r>
            <w:r>
              <w:rPr>
                <w:rFonts w:hint="eastAsia" w:ascii="宋体" w:hAnsi="宋体" w:cs="宋体"/>
                <w:color w:val="auto"/>
                <w:kern w:val="0"/>
                <w:sz w:val="24"/>
                <w:szCs w:val="24"/>
                <w:highlight w:val="none"/>
                <w:lang w:val="en-US" w:eastAsia="zh-CN" w:bidi="ar"/>
              </w:rPr>
              <w:t>评估</w:t>
            </w:r>
            <w:r>
              <w:rPr>
                <w:rFonts w:hint="eastAsia" w:ascii="宋体" w:hAnsi="宋体" w:eastAsia="宋体" w:cs="宋体"/>
                <w:color w:val="auto"/>
                <w:kern w:val="0"/>
                <w:sz w:val="24"/>
                <w:szCs w:val="24"/>
                <w:highlight w:val="none"/>
                <w:lang w:bidi="ar"/>
              </w:rPr>
              <w:t>桥梁和水闸所处的安全状态</w:t>
            </w:r>
            <w:r>
              <w:rPr>
                <w:rFonts w:hint="eastAsia" w:ascii="宋体" w:hAnsi="宋体" w:cs="宋体"/>
                <w:color w:val="auto"/>
                <w:kern w:val="0"/>
                <w:sz w:val="24"/>
                <w:szCs w:val="24"/>
                <w:highlight w:val="none"/>
                <w:lang w:val="en-US" w:eastAsia="zh-CN" w:bidi="ar"/>
              </w:rPr>
              <w:t>并提出相应的维修和加固方案。</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17D1926E">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60835AF5">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3B921869">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p>
        </w:tc>
        <w:tc>
          <w:tcPr>
            <w:tcW w:w="433" w:type="pct"/>
            <w:tcBorders>
              <w:top w:val="single" w:color="000000" w:sz="4" w:space="0"/>
              <w:left w:val="single" w:color="000000" w:sz="4" w:space="0"/>
              <w:bottom w:val="single" w:color="000000" w:sz="4" w:space="0"/>
              <w:right w:val="single" w:color="000000" w:sz="4" w:space="0"/>
            </w:tcBorders>
            <w:noWrap/>
            <w:vAlign w:val="center"/>
          </w:tcPr>
          <w:p w14:paraId="5453C65C">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center"/>
              <w:rPr>
                <w:rFonts w:hint="eastAsia" w:ascii="宋体" w:hAnsi="宋体" w:eastAsia="宋体" w:cs="宋体"/>
                <w:color w:val="auto"/>
                <w:kern w:val="0"/>
                <w:sz w:val="24"/>
                <w:szCs w:val="24"/>
                <w:highlight w:val="none"/>
                <w:lang w:bidi="ar"/>
              </w:rPr>
            </w:pPr>
          </w:p>
        </w:tc>
        <w:tc>
          <w:tcPr>
            <w:tcW w:w="1077" w:type="pct"/>
            <w:tcBorders>
              <w:top w:val="single" w:color="000000" w:sz="4" w:space="0"/>
              <w:left w:val="single" w:color="000000" w:sz="4" w:space="0"/>
              <w:bottom w:val="single" w:color="000000" w:sz="4" w:space="0"/>
              <w:right w:val="single" w:color="000000" w:sz="4" w:space="0"/>
            </w:tcBorders>
            <w:noWrap/>
            <w:vAlign w:val="center"/>
          </w:tcPr>
          <w:p w14:paraId="626A1077">
            <w:pPr>
              <w:keepNext w:val="0"/>
              <w:keepLines w:val="0"/>
              <w:pageBreakBefore w:val="0"/>
              <w:widowControl/>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r>
      <w:tr w14:paraId="03DBF5D4">
        <w:tblPrEx>
          <w:tblCellMar>
            <w:top w:w="0" w:type="dxa"/>
            <w:left w:w="0" w:type="dxa"/>
            <w:bottom w:w="0" w:type="dxa"/>
            <w:right w:w="0" w:type="dxa"/>
          </w:tblCellMar>
        </w:tblPrEx>
        <w:trPr>
          <w:trHeight w:val="704" w:hRule="exact"/>
        </w:trPr>
        <w:tc>
          <w:tcPr>
            <w:tcW w:w="1145" w:type="pct"/>
            <w:gridSpan w:val="3"/>
            <w:tcBorders>
              <w:top w:val="single" w:color="000000" w:sz="4" w:space="0"/>
              <w:left w:val="single" w:color="000000" w:sz="4" w:space="0"/>
              <w:bottom w:val="single" w:color="000000" w:sz="4" w:space="0"/>
              <w:right w:val="single" w:color="000000" w:sz="4" w:space="0"/>
            </w:tcBorders>
            <w:noWrap/>
            <w:vAlign w:val="center"/>
          </w:tcPr>
          <w:p w14:paraId="42C8F210">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合价</w:t>
            </w:r>
          </w:p>
        </w:tc>
        <w:tc>
          <w:tcPr>
            <w:tcW w:w="3854" w:type="pct"/>
            <w:gridSpan w:val="6"/>
            <w:tcBorders>
              <w:top w:val="single" w:color="000000" w:sz="4" w:space="0"/>
              <w:left w:val="single" w:color="000000" w:sz="4" w:space="0"/>
              <w:bottom w:val="single" w:color="000000" w:sz="4" w:space="0"/>
              <w:right w:val="single" w:color="000000" w:sz="4" w:space="0"/>
            </w:tcBorders>
            <w:noWrap/>
            <w:vAlign w:val="center"/>
          </w:tcPr>
          <w:p w14:paraId="3D0DC285">
            <w:pPr>
              <w:keepNext w:val="0"/>
              <w:keepLines w:val="0"/>
              <w:pageBreakBefore w:val="0"/>
              <w:widowControl/>
              <w:kinsoku/>
              <w:wordWrap/>
              <w:overflowPunct/>
              <w:topLinePunct w:val="0"/>
              <w:autoSpaceDE/>
              <w:autoSpaceDN/>
              <w:bidi w:val="0"/>
              <w:adjustRightInd/>
              <w:snapToGrid/>
              <w:spacing w:line="440" w:lineRule="exact"/>
              <w:ind w:left="0" w:leftChars="0"/>
              <w:jc w:val="center"/>
              <w:rPr>
                <w:rFonts w:hint="eastAsia" w:ascii="宋体" w:hAnsi="宋体" w:eastAsia="宋体" w:cs="宋体"/>
                <w:color w:val="auto"/>
                <w:sz w:val="24"/>
                <w:szCs w:val="24"/>
                <w:highlight w:val="none"/>
              </w:rPr>
            </w:pPr>
          </w:p>
        </w:tc>
      </w:tr>
      <w:tr w14:paraId="48DB12F7">
        <w:tblPrEx>
          <w:tblCellMar>
            <w:top w:w="0" w:type="dxa"/>
            <w:left w:w="0" w:type="dxa"/>
            <w:bottom w:w="0" w:type="dxa"/>
            <w:right w:w="0" w:type="dxa"/>
          </w:tblCellMar>
        </w:tblPrEx>
        <w:trPr>
          <w:trHeight w:val="1586" w:hRule="exac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14:paraId="72A98F98">
            <w:pPr>
              <w:keepNext w:val="0"/>
              <w:keepLines w:val="0"/>
              <w:pageBreakBefore w:val="0"/>
              <w:widowControl/>
              <w:kinsoku/>
              <w:wordWrap/>
              <w:overflowPunct/>
              <w:topLinePunct w:val="0"/>
              <w:autoSpaceDE/>
              <w:autoSpaceDN/>
              <w:bidi w:val="0"/>
              <w:adjustRightInd/>
              <w:snapToGrid/>
              <w:spacing w:line="440" w:lineRule="exact"/>
              <w:ind w:left="0" w:left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所有检测内容按照《城市桥梁养护技术标准》（CJJ99-2017）、《城市桥梁检测与评定技术规范》（CJJT/233-2015)、《江苏省水闸安全鉴定管理办法》（苏水规〔2020〕3号）、《水闸安全评价导则》（SL214-2015）等其他相关桥梁和水利工程规范要求。</w:t>
            </w:r>
          </w:p>
        </w:tc>
      </w:tr>
    </w:tbl>
    <w:p w14:paraId="23E35256">
      <w:pPr>
        <w:keepNext w:val="0"/>
        <w:keepLines w:val="0"/>
        <w:pageBreakBefore w:val="0"/>
        <w:wordWrap w:val="0"/>
        <w:bidi w:val="0"/>
        <w:snapToGrid w:val="0"/>
        <w:spacing w:beforeAutospacing="0" w:afterAutospacing="0" w:line="440" w:lineRule="exact"/>
        <w:ind w:left="0" w:leftChars="0" w:right="0" w:rightChars="0"/>
        <w:rPr>
          <w:rFonts w:ascii="宋体" w:hAnsi="宋体" w:cs="宋体"/>
          <w:color w:val="auto"/>
          <w:sz w:val="24"/>
          <w:highlight w:val="none"/>
        </w:rPr>
      </w:pPr>
    </w:p>
    <w:p w14:paraId="6EFFAB6A">
      <w:pPr>
        <w:keepNext w:val="0"/>
        <w:keepLines w:val="0"/>
        <w:pageBreakBefore w:val="0"/>
        <w:kinsoku w:val="0"/>
        <w:topLinePunct/>
        <w:bidi w:val="0"/>
        <w:snapToGrid w:val="0"/>
        <w:spacing w:beforeAutospacing="0" w:afterAutospacing="0" w:line="440" w:lineRule="exact"/>
        <w:ind w:left="0" w:leftChars="0" w:right="0" w:rightChars="0"/>
        <w:rPr>
          <w:rStyle w:val="80"/>
          <w:rFonts w:ascii="宋体" w:hAnsi="宋体" w:cs="宋体"/>
          <w:color w:val="auto"/>
          <w:sz w:val="24"/>
          <w:szCs w:val="24"/>
          <w:highlight w:val="none"/>
        </w:rPr>
      </w:pPr>
      <w:r>
        <w:rPr>
          <w:rStyle w:val="80"/>
          <w:rFonts w:hint="eastAsia" w:ascii="宋体" w:hAnsi="宋体" w:cs="宋体"/>
          <w:color w:val="auto"/>
          <w:sz w:val="24"/>
          <w:szCs w:val="24"/>
          <w:highlight w:val="none"/>
        </w:rPr>
        <w:t>注：投标人自行填报上述投标报价表中的单价、</w:t>
      </w:r>
      <w:r>
        <w:rPr>
          <w:rStyle w:val="80"/>
          <w:rFonts w:hint="eastAsia" w:ascii="宋体" w:hAnsi="宋体" w:cs="宋体"/>
          <w:color w:val="auto"/>
          <w:sz w:val="24"/>
          <w:szCs w:val="24"/>
          <w:highlight w:val="none"/>
          <w:lang w:val="en-US" w:eastAsia="zh-CN"/>
        </w:rPr>
        <w:t>总价</w:t>
      </w:r>
      <w:r>
        <w:rPr>
          <w:rStyle w:val="80"/>
          <w:rFonts w:hint="eastAsia" w:ascii="宋体" w:hAnsi="宋体" w:cs="宋体"/>
          <w:color w:val="auto"/>
          <w:sz w:val="24"/>
          <w:szCs w:val="24"/>
          <w:highlight w:val="none"/>
        </w:rPr>
        <w:t>、</w:t>
      </w:r>
      <w:r>
        <w:rPr>
          <w:rStyle w:val="80"/>
          <w:rFonts w:hint="eastAsia" w:ascii="宋体" w:hAnsi="宋体" w:cs="宋体"/>
          <w:color w:val="auto"/>
          <w:sz w:val="24"/>
          <w:szCs w:val="24"/>
          <w:highlight w:val="none"/>
          <w:lang w:val="en-US" w:eastAsia="zh-CN"/>
        </w:rPr>
        <w:t>合价</w:t>
      </w:r>
      <w:r>
        <w:rPr>
          <w:rStyle w:val="80"/>
          <w:rFonts w:hint="eastAsia" w:ascii="宋体" w:hAnsi="宋体" w:cs="宋体"/>
          <w:color w:val="auto"/>
          <w:sz w:val="24"/>
          <w:szCs w:val="24"/>
          <w:highlight w:val="none"/>
        </w:rPr>
        <w:t>。投标报价应包括人工费、材料费（含辅材）、机械费、安装费、管理费、利润、各项措施费、规费、税金、技术指导费、风险费、报告审查费及其他（如施工安全防护措施费、垃圾清理费及现场取样恢复等一切费用）等完成本项目所需的全部费用。</w:t>
      </w:r>
    </w:p>
    <w:p w14:paraId="1E81F694">
      <w:pPr>
        <w:keepNext w:val="0"/>
        <w:keepLines w:val="0"/>
        <w:pageBreakBefore w:val="0"/>
        <w:widowControl/>
        <w:bidi w:val="0"/>
        <w:spacing w:beforeAutospacing="0" w:afterAutospacing="0" w:line="440" w:lineRule="exact"/>
        <w:ind w:left="0" w:leftChars="0" w:right="0" w:rightChars="0"/>
        <w:rPr>
          <w:rFonts w:ascii="宋体" w:hAnsi="宋体" w:cs="宋体"/>
          <w:color w:val="auto"/>
          <w:sz w:val="24"/>
          <w:highlight w:val="none"/>
        </w:rPr>
      </w:pPr>
    </w:p>
    <w:p w14:paraId="3E6C4A7B">
      <w:pPr>
        <w:keepNext w:val="0"/>
        <w:keepLines w:val="0"/>
        <w:pageBreakBefore w:val="0"/>
        <w:widowControl/>
        <w:bidi w:val="0"/>
        <w:spacing w:beforeAutospacing="0" w:afterAutospacing="0" w:line="440" w:lineRule="exact"/>
        <w:ind w:left="0" w:leftChars="0" w:right="0" w:rightChars="0"/>
        <w:rPr>
          <w:rFonts w:ascii="宋体" w:hAnsi="宋体" w:cs="宋体"/>
          <w:color w:val="auto"/>
          <w:sz w:val="24"/>
          <w:highlight w:val="none"/>
        </w:rPr>
      </w:pPr>
      <w:r>
        <w:rPr>
          <w:rFonts w:hint="eastAsia" w:ascii="宋体" w:hAnsi="宋体" w:cs="宋体"/>
          <w:color w:val="auto"/>
          <w:sz w:val="24"/>
          <w:highlight w:val="none"/>
        </w:rPr>
        <w:t>投标人（盖章）：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E7E2DAA">
      <w:pPr>
        <w:keepNext w:val="0"/>
        <w:keepLines w:val="0"/>
        <w:pageBreakBefore w:val="0"/>
        <w:widowControl/>
        <w:tabs>
          <w:tab w:val="left" w:pos="4320"/>
        </w:tabs>
        <w:bidi w:val="0"/>
        <w:spacing w:beforeAutospacing="0" w:afterAutospacing="0" w:line="440" w:lineRule="exact"/>
        <w:ind w:left="0" w:leftChars="0" w:right="0" w:rightChars="0"/>
        <w:rPr>
          <w:rFonts w:ascii="宋体" w:hAnsi="宋体" w:cs="宋体"/>
          <w:color w:val="auto"/>
          <w:sz w:val="24"/>
          <w:highlight w:val="none"/>
        </w:rPr>
      </w:pPr>
      <w:r>
        <w:rPr>
          <w:rFonts w:hint="eastAsia" w:ascii="宋体" w:hAnsi="宋体" w:cs="宋体"/>
          <w:color w:val="auto"/>
          <w:sz w:val="24"/>
          <w:highlight w:val="none"/>
        </w:rPr>
        <w:t>法定代表人或授权委托人（签字或盖章）：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A28DD8B">
      <w:pPr>
        <w:keepNext w:val="0"/>
        <w:keepLines w:val="0"/>
        <w:pageBreakBefore w:val="0"/>
        <w:bidi w:val="0"/>
        <w:spacing w:beforeAutospacing="0" w:afterAutospacing="0" w:line="440" w:lineRule="exact"/>
        <w:ind w:left="0" w:leftChars="0" w:right="0" w:rightChars="0"/>
        <w:rPr>
          <w:rFonts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6743BD9D">
      <w:pPr>
        <w:keepNext w:val="0"/>
        <w:keepLines w:val="0"/>
        <w:pageBreakBefore w:val="0"/>
        <w:bidi w:val="0"/>
        <w:spacing w:beforeAutospacing="0" w:afterAutospacing="0" w:line="440" w:lineRule="exact"/>
        <w:ind w:left="0" w:leftChars="0" w:right="0" w:rightChars="0"/>
        <w:jc w:val="center"/>
        <w:rPr>
          <w:rStyle w:val="80"/>
          <w:rFonts w:ascii="宋体" w:hAnsi="宋体" w:cs="宋体"/>
          <w:color w:val="auto"/>
          <w:sz w:val="24"/>
          <w:szCs w:val="24"/>
          <w:highlight w:val="none"/>
        </w:rPr>
      </w:pPr>
    </w:p>
    <w:p w14:paraId="479060BA">
      <w:pPr>
        <w:keepNext w:val="0"/>
        <w:keepLines w:val="0"/>
        <w:pageBreakBefore w:val="0"/>
        <w:kinsoku w:val="0"/>
        <w:topLinePunct/>
        <w:bidi w:val="0"/>
        <w:snapToGrid w:val="0"/>
        <w:spacing w:beforeAutospacing="0" w:afterAutospacing="0" w:line="440" w:lineRule="exact"/>
        <w:ind w:left="0" w:leftChars="0" w:right="0" w:rightChars="0"/>
        <w:rPr>
          <w:rFonts w:ascii="宋体" w:hAnsi="宋体"/>
          <w:color w:val="auto"/>
          <w:sz w:val="24"/>
          <w:highlight w:val="none"/>
        </w:rPr>
      </w:pPr>
      <w:r>
        <w:rPr>
          <w:rStyle w:val="80"/>
          <w:rFonts w:hint="eastAsia" w:ascii="宋体" w:hAnsi="宋体" w:cs="宋体"/>
          <w:color w:val="auto"/>
          <w:sz w:val="24"/>
          <w:szCs w:val="24"/>
          <w:highlight w:val="none"/>
        </w:rPr>
        <w:tab/>
      </w:r>
      <w:r>
        <w:rPr>
          <w:rFonts w:hint="eastAsia" w:ascii="宋体" w:hAnsi="宋体" w:cs="宋体"/>
          <w:color w:val="auto"/>
          <w:sz w:val="24"/>
          <w:highlight w:val="none"/>
        </w:rPr>
        <w:t>注：投标人必须详细报出响应报价总表的各个组成部分的报价，若有遗漏则视为已报入其他子目中。本表各分项报价合计应当与开标一览表投标总报价金额相等。</w:t>
      </w:r>
    </w:p>
    <w:p w14:paraId="02652E2F">
      <w:pPr>
        <w:keepNext w:val="0"/>
        <w:keepLines w:val="0"/>
        <w:pageBreakBefore w:val="0"/>
        <w:bidi w:val="0"/>
        <w:spacing w:line="440" w:lineRule="exact"/>
        <w:ind w:left="0" w:leftChars="0"/>
        <w:rPr>
          <w:color w:val="auto"/>
          <w:highlight w:val="none"/>
        </w:rPr>
      </w:pPr>
    </w:p>
    <w:p w14:paraId="4EEE446B">
      <w:pPr>
        <w:keepNext w:val="0"/>
        <w:keepLines w:val="0"/>
        <w:pageBreakBefore w:val="0"/>
        <w:bidi w:val="0"/>
        <w:spacing w:line="440" w:lineRule="exact"/>
        <w:ind w:left="0" w:leftChars="0"/>
        <w:rPr>
          <w:color w:val="auto"/>
          <w:highlight w:val="none"/>
        </w:rPr>
      </w:pPr>
    </w:p>
    <w:sectPr>
      <w:headerReference r:id="rId3" w:type="default"/>
      <w:footerReference r:id="rId4" w:type="default"/>
      <w:type w:val="continuous"/>
      <w:pgSz w:w="11910" w:h="16840"/>
      <w:pgMar w:top="1247" w:right="1247" w:bottom="1247" w:left="1361" w:header="851" w:footer="992" w:gutter="0"/>
      <w:cols w:space="720" w:num="1"/>
      <w:docGrid w:type="linesAndChar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onstantia">
    <w:panose1 w:val="02030602050306030303"/>
    <w:charset w:val="00"/>
    <w:family w:val="roman"/>
    <w:pitch w:val="default"/>
    <w:sig w:usb0="A00002EF" w:usb1="4000204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Kingsoft Phonetic Plain">
    <w:altName w:val="Times New Roman"/>
    <w:panose1 w:val="00000000000000000000"/>
    <w:charset w:val="00"/>
    <w:family w:val="auto"/>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0" w:csb1="00000000"/>
  </w:font>
  <w:font w:name="Helvetica-Light">
    <w:altName w:val="Malgun Gothic"/>
    <w:panose1 w:val="000000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华文细黑">
    <w:panose1 w:val="02010600040101010101"/>
    <w:charset w:val="86"/>
    <w:family w:val="auto"/>
    <w:pitch w:val="default"/>
    <w:sig w:usb0="00000287" w:usb1="080F0000" w:usb2="00000000" w:usb3="00000000" w:csb0="0004009F" w:csb1="DFD70000"/>
  </w:font>
  <w:font w:name="Plotter">
    <w:altName w:val="Times New Roman"/>
    <w:panose1 w:val="00000000000000000000"/>
    <w:charset w:val="00"/>
    <w:family w:val="roman"/>
    <w:pitch w:val="default"/>
    <w:sig w:usb0="00000000" w:usb1="00000000" w:usb2="00000000" w:usb3="00000000" w:csb0="00000003" w:csb1="0012CEFC"/>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8674C">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106E9">
    <w:pPr>
      <w:pStyle w:val="4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52C"/>
    <w:multiLevelType w:val="multilevel"/>
    <w:tmpl w:val="80CE252C"/>
    <w:lvl w:ilvl="0" w:tentative="0">
      <w:start w:val="1"/>
      <w:numFmt w:val="bullet"/>
      <w:pStyle w:val="356"/>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81642EBE"/>
    <w:multiLevelType w:val="singleLevel"/>
    <w:tmpl w:val="81642EBE"/>
    <w:lvl w:ilvl="0" w:tentative="0">
      <w:start w:val="1"/>
      <w:numFmt w:val="decimalEnclosedCircleChinese"/>
      <w:suff w:val="nothing"/>
      <w:lvlText w:val="%1　"/>
      <w:lvlJc w:val="left"/>
      <w:pPr>
        <w:ind w:left="0" w:firstLine="400"/>
      </w:pPr>
      <w:rPr>
        <w:rFonts w:hint="eastAsia"/>
      </w:rPr>
    </w:lvl>
  </w:abstractNum>
  <w:abstractNum w:abstractNumId="2">
    <w:nsid w:val="C8AD9CD8"/>
    <w:multiLevelType w:val="multilevel"/>
    <w:tmpl w:val="C8AD9CD8"/>
    <w:lvl w:ilvl="0" w:tentative="0">
      <w:start w:val="1"/>
      <w:numFmt w:val="decimal"/>
      <w:pStyle w:val="367"/>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E54D664B"/>
    <w:multiLevelType w:val="singleLevel"/>
    <w:tmpl w:val="E54D664B"/>
    <w:lvl w:ilvl="0" w:tentative="0">
      <w:start w:val="2"/>
      <w:numFmt w:val="decimal"/>
      <w:pStyle w:val="232"/>
      <w:suff w:val="nothing"/>
      <w:lvlText w:val="（%1）"/>
      <w:lvlJc w:val="left"/>
    </w:lvl>
  </w:abstractNum>
  <w:abstractNum w:abstractNumId="4">
    <w:nsid w:val="02E540D2"/>
    <w:multiLevelType w:val="multilevel"/>
    <w:tmpl w:val="02E540D2"/>
    <w:lvl w:ilvl="0" w:tentative="0">
      <w:start w:val="4"/>
      <w:numFmt w:val="japaneseCounting"/>
      <w:lvlText w:val="%1、"/>
      <w:lvlJc w:val="left"/>
      <w:pPr>
        <w:ind w:left="992" w:hanging="510"/>
      </w:pPr>
      <w:rPr>
        <w:rFonts w:hint="default"/>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3C684E52"/>
    <w:multiLevelType w:val="singleLevel"/>
    <w:tmpl w:val="3C684E52"/>
    <w:lvl w:ilvl="0" w:tentative="0">
      <w:start w:val="8"/>
      <w:numFmt w:val="decimal"/>
      <w:pStyle w:val="332"/>
      <w:suff w:val="nothing"/>
      <w:lvlText w:val="%1、"/>
      <w:lvlJc w:val="left"/>
    </w:lvl>
  </w:abstractNum>
  <w:abstractNum w:abstractNumId="6">
    <w:nsid w:val="50616019"/>
    <w:multiLevelType w:val="multilevel"/>
    <w:tmpl w:val="50616019"/>
    <w:lvl w:ilvl="0" w:tentative="0">
      <w:start w:val="1"/>
      <w:numFmt w:val="chineseCountingThousand"/>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pStyle w:val="347"/>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56D6133"/>
    <w:multiLevelType w:val="multilevel"/>
    <w:tmpl w:val="656D6133"/>
    <w:lvl w:ilvl="0" w:tentative="0">
      <w:start w:val="2"/>
      <w:numFmt w:val="chineseCountingThousand"/>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pStyle w:val="334"/>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5"/>
  </w:num>
  <w:num w:numId="3">
    <w:abstractNumId w:val="7"/>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0"/>
  <w:drawingGridHorizontalSpacing w:val="105"/>
  <w:drawingGridVerticalSpacing w:val="291"/>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NDRlOTQyZDU0NDY3YTQ2YzBhMmU3ZWUwZjk3YmMifQ=="/>
    <w:docVar w:name="KSO_WPS_MARK_KEY" w:val="121548a6-9847-4677-af90-1f1ec1397db9"/>
  </w:docVars>
  <w:rsids>
    <w:rsidRoot w:val="00172A27"/>
    <w:rsid w:val="00000588"/>
    <w:rsid w:val="00000CA7"/>
    <w:rsid w:val="00001597"/>
    <w:rsid w:val="00001657"/>
    <w:rsid w:val="00001801"/>
    <w:rsid w:val="000029BC"/>
    <w:rsid w:val="00003672"/>
    <w:rsid w:val="00003CC2"/>
    <w:rsid w:val="00004845"/>
    <w:rsid w:val="000068DF"/>
    <w:rsid w:val="00007315"/>
    <w:rsid w:val="000100A0"/>
    <w:rsid w:val="0001026A"/>
    <w:rsid w:val="000108E4"/>
    <w:rsid w:val="00010BC2"/>
    <w:rsid w:val="00010C3C"/>
    <w:rsid w:val="0001282F"/>
    <w:rsid w:val="00013266"/>
    <w:rsid w:val="000143BB"/>
    <w:rsid w:val="000143C6"/>
    <w:rsid w:val="000147F9"/>
    <w:rsid w:val="00015A76"/>
    <w:rsid w:val="00016B60"/>
    <w:rsid w:val="00020D66"/>
    <w:rsid w:val="0002247E"/>
    <w:rsid w:val="0002253D"/>
    <w:rsid w:val="0002286B"/>
    <w:rsid w:val="000238F3"/>
    <w:rsid w:val="00024171"/>
    <w:rsid w:val="00025514"/>
    <w:rsid w:val="00026FC9"/>
    <w:rsid w:val="00030585"/>
    <w:rsid w:val="000305B9"/>
    <w:rsid w:val="000308FA"/>
    <w:rsid w:val="00031973"/>
    <w:rsid w:val="00031A98"/>
    <w:rsid w:val="00032E2B"/>
    <w:rsid w:val="00033D19"/>
    <w:rsid w:val="00033FCB"/>
    <w:rsid w:val="00034AB2"/>
    <w:rsid w:val="00035239"/>
    <w:rsid w:val="000356F0"/>
    <w:rsid w:val="00035E45"/>
    <w:rsid w:val="00036DCD"/>
    <w:rsid w:val="0003735F"/>
    <w:rsid w:val="00037780"/>
    <w:rsid w:val="0004048D"/>
    <w:rsid w:val="00040A47"/>
    <w:rsid w:val="00040E6D"/>
    <w:rsid w:val="00042FC1"/>
    <w:rsid w:val="000443E1"/>
    <w:rsid w:val="00044535"/>
    <w:rsid w:val="00044AE1"/>
    <w:rsid w:val="0004502B"/>
    <w:rsid w:val="000459AD"/>
    <w:rsid w:val="00046042"/>
    <w:rsid w:val="00046473"/>
    <w:rsid w:val="00047581"/>
    <w:rsid w:val="0005092E"/>
    <w:rsid w:val="00051179"/>
    <w:rsid w:val="00051B57"/>
    <w:rsid w:val="00054D9F"/>
    <w:rsid w:val="0005585B"/>
    <w:rsid w:val="00056B52"/>
    <w:rsid w:val="00060132"/>
    <w:rsid w:val="000612C1"/>
    <w:rsid w:val="0006206A"/>
    <w:rsid w:val="00062BD7"/>
    <w:rsid w:val="00066F07"/>
    <w:rsid w:val="0006739A"/>
    <w:rsid w:val="00067D18"/>
    <w:rsid w:val="00067E7C"/>
    <w:rsid w:val="00070067"/>
    <w:rsid w:val="00070C54"/>
    <w:rsid w:val="00071065"/>
    <w:rsid w:val="00071A57"/>
    <w:rsid w:val="0007285A"/>
    <w:rsid w:val="00072FB8"/>
    <w:rsid w:val="00073456"/>
    <w:rsid w:val="00073C4F"/>
    <w:rsid w:val="00074895"/>
    <w:rsid w:val="000749AC"/>
    <w:rsid w:val="00074E82"/>
    <w:rsid w:val="00074EDE"/>
    <w:rsid w:val="000751ED"/>
    <w:rsid w:val="000757E6"/>
    <w:rsid w:val="0007611C"/>
    <w:rsid w:val="00076688"/>
    <w:rsid w:val="00076FFF"/>
    <w:rsid w:val="00082461"/>
    <w:rsid w:val="00082712"/>
    <w:rsid w:val="00083356"/>
    <w:rsid w:val="00083565"/>
    <w:rsid w:val="00084C7D"/>
    <w:rsid w:val="00084D7D"/>
    <w:rsid w:val="0008649A"/>
    <w:rsid w:val="00087EDF"/>
    <w:rsid w:val="00090993"/>
    <w:rsid w:val="00090A67"/>
    <w:rsid w:val="00091A80"/>
    <w:rsid w:val="00092608"/>
    <w:rsid w:val="000936D5"/>
    <w:rsid w:val="00093F79"/>
    <w:rsid w:val="000943B5"/>
    <w:rsid w:val="00094664"/>
    <w:rsid w:val="000951F0"/>
    <w:rsid w:val="00095286"/>
    <w:rsid w:val="00095993"/>
    <w:rsid w:val="00095B4E"/>
    <w:rsid w:val="0009678B"/>
    <w:rsid w:val="00096DC3"/>
    <w:rsid w:val="000971F4"/>
    <w:rsid w:val="0009726F"/>
    <w:rsid w:val="00097D1A"/>
    <w:rsid w:val="000A01EE"/>
    <w:rsid w:val="000A07DA"/>
    <w:rsid w:val="000A080E"/>
    <w:rsid w:val="000A0A98"/>
    <w:rsid w:val="000A0C75"/>
    <w:rsid w:val="000A191C"/>
    <w:rsid w:val="000A1C72"/>
    <w:rsid w:val="000A1CCF"/>
    <w:rsid w:val="000A1E48"/>
    <w:rsid w:val="000A30D4"/>
    <w:rsid w:val="000A353D"/>
    <w:rsid w:val="000A365D"/>
    <w:rsid w:val="000A4CB6"/>
    <w:rsid w:val="000A61E5"/>
    <w:rsid w:val="000A697C"/>
    <w:rsid w:val="000A7B75"/>
    <w:rsid w:val="000A7B84"/>
    <w:rsid w:val="000B087A"/>
    <w:rsid w:val="000B0A72"/>
    <w:rsid w:val="000B1501"/>
    <w:rsid w:val="000B1EAA"/>
    <w:rsid w:val="000B1EB9"/>
    <w:rsid w:val="000B2EC7"/>
    <w:rsid w:val="000B2F21"/>
    <w:rsid w:val="000B3B08"/>
    <w:rsid w:val="000B3BBB"/>
    <w:rsid w:val="000B3C5C"/>
    <w:rsid w:val="000B43AF"/>
    <w:rsid w:val="000B47C5"/>
    <w:rsid w:val="000B5A8E"/>
    <w:rsid w:val="000B5C98"/>
    <w:rsid w:val="000B73A2"/>
    <w:rsid w:val="000B796D"/>
    <w:rsid w:val="000C03CF"/>
    <w:rsid w:val="000C0913"/>
    <w:rsid w:val="000C16C1"/>
    <w:rsid w:val="000C1C45"/>
    <w:rsid w:val="000C21D0"/>
    <w:rsid w:val="000C254B"/>
    <w:rsid w:val="000C263F"/>
    <w:rsid w:val="000C2C0D"/>
    <w:rsid w:val="000C2C19"/>
    <w:rsid w:val="000C312C"/>
    <w:rsid w:val="000C3AC1"/>
    <w:rsid w:val="000C436A"/>
    <w:rsid w:val="000C43B8"/>
    <w:rsid w:val="000C661C"/>
    <w:rsid w:val="000C6C1E"/>
    <w:rsid w:val="000C7EAA"/>
    <w:rsid w:val="000D01F8"/>
    <w:rsid w:val="000D066E"/>
    <w:rsid w:val="000D109E"/>
    <w:rsid w:val="000D10B2"/>
    <w:rsid w:val="000D31FB"/>
    <w:rsid w:val="000D3810"/>
    <w:rsid w:val="000D3839"/>
    <w:rsid w:val="000D4FDA"/>
    <w:rsid w:val="000D5D81"/>
    <w:rsid w:val="000D650E"/>
    <w:rsid w:val="000D6942"/>
    <w:rsid w:val="000D6BFE"/>
    <w:rsid w:val="000D7D6F"/>
    <w:rsid w:val="000E05BB"/>
    <w:rsid w:val="000E0C3E"/>
    <w:rsid w:val="000E0C55"/>
    <w:rsid w:val="000E18C6"/>
    <w:rsid w:val="000E19F8"/>
    <w:rsid w:val="000E242E"/>
    <w:rsid w:val="000E24B2"/>
    <w:rsid w:val="000E3E5C"/>
    <w:rsid w:val="000E5223"/>
    <w:rsid w:val="000E6C43"/>
    <w:rsid w:val="000F041D"/>
    <w:rsid w:val="000F159F"/>
    <w:rsid w:val="000F15EB"/>
    <w:rsid w:val="000F1B34"/>
    <w:rsid w:val="000F1EC9"/>
    <w:rsid w:val="000F1FD3"/>
    <w:rsid w:val="000F297C"/>
    <w:rsid w:val="000F3A5E"/>
    <w:rsid w:val="000F3D42"/>
    <w:rsid w:val="000F5E73"/>
    <w:rsid w:val="000F6DBF"/>
    <w:rsid w:val="000F6FEF"/>
    <w:rsid w:val="00100764"/>
    <w:rsid w:val="00100801"/>
    <w:rsid w:val="001019E1"/>
    <w:rsid w:val="00102614"/>
    <w:rsid w:val="00102E76"/>
    <w:rsid w:val="001038F4"/>
    <w:rsid w:val="00103D24"/>
    <w:rsid w:val="00103E6D"/>
    <w:rsid w:val="00103F54"/>
    <w:rsid w:val="0010486E"/>
    <w:rsid w:val="00104A1D"/>
    <w:rsid w:val="001057EA"/>
    <w:rsid w:val="00105EC6"/>
    <w:rsid w:val="0010603A"/>
    <w:rsid w:val="00106A2F"/>
    <w:rsid w:val="00106D57"/>
    <w:rsid w:val="00106F23"/>
    <w:rsid w:val="001103C9"/>
    <w:rsid w:val="00110B9B"/>
    <w:rsid w:val="00110ECB"/>
    <w:rsid w:val="00111265"/>
    <w:rsid w:val="001113AE"/>
    <w:rsid w:val="00111CB2"/>
    <w:rsid w:val="00111FEF"/>
    <w:rsid w:val="001151F6"/>
    <w:rsid w:val="001156A1"/>
    <w:rsid w:val="00115C02"/>
    <w:rsid w:val="001160CE"/>
    <w:rsid w:val="001165CE"/>
    <w:rsid w:val="00116747"/>
    <w:rsid w:val="0011734D"/>
    <w:rsid w:val="0012035A"/>
    <w:rsid w:val="0012062B"/>
    <w:rsid w:val="00120FA4"/>
    <w:rsid w:val="0012132B"/>
    <w:rsid w:val="00121ED0"/>
    <w:rsid w:val="0012217B"/>
    <w:rsid w:val="001233EB"/>
    <w:rsid w:val="0012549E"/>
    <w:rsid w:val="001258A0"/>
    <w:rsid w:val="00125B47"/>
    <w:rsid w:val="0012670D"/>
    <w:rsid w:val="001274A0"/>
    <w:rsid w:val="00127D8D"/>
    <w:rsid w:val="00127E74"/>
    <w:rsid w:val="0013098D"/>
    <w:rsid w:val="00130DB7"/>
    <w:rsid w:val="00130F1D"/>
    <w:rsid w:val="001312DD"/>
    <w:rsid w:val="00131DE7"/>
    <w:rsid w:val="00132018"/>
    <w:rsid w:val="0013251C"/>
    <w:rsid w:val="00133090"/>
    <w:rsid w:val="001340E1"/>
    <w:rsid w:val="0013434C"/>
    <w:rsid w:val="00134776"/>
    <w:rsid w:val="00135145"/>
    <w:rsid w:val="00135719"/>
    <w:rsid w:val="001360E7"/>
    <w:rsid w:val="00136ABB"/>
    <w:rsid w:val="00136B07"/>
    <w:rsid w:val="001377D4"/>
    <w:rsid w:val="0014011D"/>
    <w:rsid w:val="001403F5"/>
    <w:rsid w:val="001412B3"/>
    <w:rsid w:val="001434BE"/>
    <w:rsid w:val="0014471F"/>
    <w:rsid w:val="00144A49"/>
    <w:rsid w:val="00146EF1"/>
    <w:rsid w:val="00147159"/>
    <w:rsid w:val="00147639"/>
    <w:rsid w:val="001478AD"/>
    <w:rsid w:val="00147F79"/>
    <w:rsid w:val="00151FEF"/>
    <w:rsid w:val="001537CF"/>
    <w:rsid w:val="00154010"/>
    <w:rsid w:val="0015474E"/>
    <w:rsid w:val="00154DFE"/>
    <w:rsid w:val="00154FB4"/>
    <w:rsid w:val="00155095"/>
    <w:rsid w:val="00155947"/>
    <w:rsid w:val="00156103"/>
    <w:rsid w:val="001563D7"/>
    <w:rsid w:val="001573E3"/>
    <w:rsid w:val="00157BBC"/>
    <w:rsid w:val="001603D2"/>
    <w:rsid w:val="00160BB6"/>
    <w:rsid w:val="001613A9"/>
    <w:rsid w:val="00161B5C"/>
    <w:rsid w:val="001626F8"/>
    <w:rsid w:val="001644C8"/>
    <w:rsid w:val="00164DF9"/>
    <w:rsid w:val="00164E0D"/>
    <w:rsid w:val="00164F48"/>
    <w:rsid w:val="001664BA"/>
    <w:rsid w:val="00166552"/>
    <w:rsid w:val="00166C1F"/>
    <w:rsid w:val="00166FF4"/>
    <w:rsid w:val="001674DF"/>
    <w:rsid w:val="00167632"/>
    <w:rsid w:val="0016769E"/>
    <w:rsid w:val="00170662"/>
    <w:rsid w:val="0017076A"/>
    <w:rsid w:val="0017081A"/>
    <w:rsid w:val="0017128C"/>
    <w:rsid w:val="00171885"/>
    <w:rsid w:val="00172A27"/>
    <w:rsid w:val="001735ED"/>
    <w:rsid w:val="001742D6"/>
    <w:rsid w:val="00174AF1"/>
    <w:rsid w:val="001754D9"/>
    <w:rsid w:val="00175E48"/>
    <w:rsid w:val="001761DE"/>
    <w:rsid w:val="00176341"/>
    <w:rsid w:val="001764C8"/>
    <w:rsid w:val="00177D13"/>
    <w:rsid w:val="00177DB9"/>
    <w:rsid w:val="001804E8"/>
    <w:rsid w:val="00182B0A"/>
    <w:rsid w:val="00183ACC"/>
    <w:rsid w:val="00183CB8"/>
    <w:rsid w:val="00184D3C"/>
    <w:rsid w:val="001857F9"/>
    <w:rsid w:val="00185AE3"/>
    <w:rsid w:val="00185D32"/>
    <w:rsid w:val="0018688F"/>
    <w:rsid w:val="00187D68"/>
    <w:rsid w:val="00187E3D"/>
    <w:rsid w:val="0019024B"/>
    <w:rsid w:val="00190B1D"/>
    <w:rsid w:val="00192701"/>
    <w:rsid w:val="00192D6A"/>
    <w:rsid w:val="001932C0"/>
    <w:rsid w:val="00193630"/>
    <w:rsid w:val="00193741"/>
    <w:rsid w:val="00194EBF"/>
    <w:rsid w:val="0019517A"/>
    <w:rsid w:val="001965C1"/>
    <w:rsid w:val="00197799"/>
    <w:rsid w:val="001A0172"/>
    <w:rsid w:val="001A0C78"/>
    <w:rsid w:val="001A1419"/>
    <w:rsid w:val="001A1DBA"/>
    <w:rsid w:val="001A2495"/>
    <w:rsid w:val="001A2CA8"/>
    <w:rsid w:val="001A3236"/>
    <w:rsid w:val="001A3E13"/>
    <w:rsid w:val="001A3F79"/>
    <w:rsid w:val="001A5D28"/>
    <w:rsid w:val="001A5EE5"/>
    <w:rsid w:val="001A609B"/>
    <w:rsid w:val="001A63C0"/>
    <w:rsid w:val="001A68A0"/>
    <w:rsid w:val="001A6F94"/>
    <w:rsid w:val="001B0693"/>
    <w:rsid w:val="001B08EF"/>
    <w:rsid w:val="001B0FE2"/>
    <w:rsid w:val="001B112B"/>
    <w:rsid w:val="001B1B35"/>
    <w:rsid w:val="001B2045"/>
    <w:rsid w:val="001B2624"/>
    <w:rsid w:val="001B2B59"/>
    <w:rsid w:val="001B2DF2"/>
    <w:rsid w:val="001B3EFD"/>
    <w:rsid w:val="001B4F31"/>
    <w:rsid w:val="001C0472"/>
    <w:rsid w:val="001C0699"/>
    <w:rsid w:val="001C0B05"/>
    <w:rsid w:val="001C1659"/>
    <w:rsid w:val="001C1CD9"/>
    <w:rsid w:val="001C2E0A"/>
    <w:rsid w:val="001C328D"/>
    <w:rsid w:val="001C3675"/>
    <w:rsid w:val="001C56F2"/>
    <w:rsid w:val="001C5809"/>
    <w:rsid w:val="001C611A"/>
    <w:rsid w:val="001C623F"/>
    <w:rsid w:val="001C647E"/>
    <w:rsid w:val="001C69F5"/>
    <w:rsid w:val="001C74CE"/>
    <w:rsid w:val="001D055E"/>
    <w:rsid w:val="001D109C"/>
    <w:rsid w:val="001D1115"/>
    <w:rsid w:val="001D1A88"/>
    <w:rsid w:val="001D1C11"/>
    <w:rsid w:val="001D1D36"/>
    <w:rsid w:val="001D1FE7"/>
    <w:rsid w:val="001D2675"/>
    <w:rsid w:val="001D2782"/>
    <w:rsid w:val="001D3792"/>
    <w:rsid w:val="001D39A3"/>
    <w:rsid w:val="001D3DFB"/>
    <w:rsid w:val="001D416C"/>
    <w:rsid w:val="001D5569"/>
    <w:rsid w:val="001D5852"/>
    <w:rsid w:val="001D5A03"/>
    <w:rsid w:val="001D6092"/>
    <w:rsid w:val="001D617F"/>
    <w:rsid w:val="001D63A4"/>
    <w:rsid w:val="001D6768"/>
    <w:rsid w:val="001D6E06"/>
    <w:rsid w:val="001D759D"/>
    <w:rsid w:val="001E0007"/>
    <w:rsid w:val="001E0CF1"/>
    <w:rsid w:val="001E0ED5"/>
    <w:rsid w:val="001E2323"/>
    <w:rsid w:val="001E29CD"/>
    <w:rsid w:val="001E2F5E"/>
    <w:rsid w:val="001E3115"/>
    <w:rsid w:val="001E42C4"/>
    <w:rsid w:val="001E49CD"/>
    <w:rsid w:val="001E4AFD"/>
    <w:rsid w:val="001E4BFA"/>
    <w:rsid w:val="001E61DE"/>
    <w:rsid w:val="001E6D57"/>
    <w:rsid w:val="001E75B6"/>
    <w:rsid w:val="001E77AF"/>
    <w:rsid w:val="001E7918"/>
    <w:rsid w:val="001E7972"/>
    <w:rsid w:val="001E7E84"/>
    <w:rsid w:val="001F0C58"/>
    <w:rsid w:val="001F1846"/>
    <w:rsid w:val="001F298E"/>
    <w:rsid w:val="001F2E51"/>
    <w:rsid w:val="001F2ED1"/>
    <w:rsid w:val="001F3464"/>
    <w:rsid w:val="001F4270"/>
    <w:rsid w:val="001F5335"/>
    <w:rsid w:val="001F5419"/>
    <w:rsid w:val="001F610F"/>
    <w:rsid w:val="001F6578"/>
    <w:rsid w:val="001F6861"/>
    <w:rsid w:val="001F68C4"/>
    <w:rsid w:val="001F78BD"/>
    <w:rsid w:val="00200367"/>
    <w:rsid w:val="00200BDE"/>
    <w:rsid w:val="00200FE0"/>
    <w:rsid w:val="00201140"/>
    <w:rsid w:val="00201A81"/>
    <w:rsid w:val="00203E82"/>
    <w:rsid w:val="002048CC"/>
    <w:rsid w:val="002077C7"/>
    <w:rsid w:val="00210B5A"/>
    <w:rsid w:val="00210E60"/>
    <w:rsid w:val="00210F27"/>
    <w:rsid w:val="00211259"/>
    <w:rsid w:val="002117AC"/>
    <w:rsid w:val="0021191A"/>
    <w:rsid w:val="00211D8C"/>
    <w:rsid w:val="0021257C"/>
    <w:rsid w:val="00212C0B"/>
    <w:rsid w:val="0021323C"/>
    <w:rsid w:val="00213289"/>
    <w:rsid w:val="00213E81"/>
    <w:rsid w:val="00213EFD"/>
    <w:rsid w:val="00215359"/>
    <w:rsid w:val="002157BB"/>
    <w:rsid w:val="00215CA3"/>
    <w:rsid w:val="002209EC"/>
    <w:rsid w:val="00220F57"/>
    <w:rsid w:val="00221ECC"/>
    <w:rsid w:val="00222E41"/>
    <w:rsid w:val="00222F63"/>
    <w:rsid w:val="00223233"/>
    <w:rsid w:val="00223270"/>
    <w:rsid w:val="00223F14"/>
    <w:rsid w:val="0022406F"/>
    <w:rsid w:val="00224660"/>
    <w:rsid w:val="00224AD7"/>
    <w:rsid w:val="00224F48"/>
    <w:rsid w:val="00225D09"/>
    <w:rsid w:val="0022648B"/>
    <w:rsid w:val="002266B7"/>
    <w:rsid w:val="0022726E"/>
    <w:rsid w:val="00231103"/>
    <w:rsid w:val="00231543"/>
    <w:rsid w:val="0023170A"/>
    <w:rsid w:val="00231A15"/>
    <w:rsid w:val="002320A1"/>
    <w:rsid w:val="002323E8"/>
    <w:rsid w:val="002329FA"/>
    <w:rsid w:val="00232C77"/>
    <w:rsid w:val="00233294"/>
    <w:rsid w:val="002335B0"/>
    <w:rsid w:val="002335D7"/>
    <w:rsid w:val="00233C1E"/>
    <w:rsid w:val="00233EC4"/>
    <w:rsid w:val="00234C16"/>
    <w:rsid w:val="00235759"/>
    <w:rsid w:val="002357E5"/>
    <w:rsid w:val="00236EA2"/>
    <w:rsid w:val="00237F0B"/>
    <w:rsid w:val="00241B4F"/>
    <w:rsid w:val="00241C70"/>
    <w:rsid w:val="00241CB9"/>
    <w:rsid w:val="00241DEE"/>
    <w:rsid w:val="00243A16"/>
    <w:rsid w:val="00243E6D"/>
    <w:rsid w:val="00245CAF"/>
    <w:rsid w:val="00246433"/>
    <w:rsid w:val="00247513"/>
    <w:rsid w:val="002477F1"/>
    <w:rsid w:val="002478B9"/>
    <w:rsid w:val="00247B6B"/>
    <w:rsid w:val="0025084C"/>
    <w:rsid w:val="00250893"/>
    <w:rsid w:val="00250DD2"/>
    <w:rsid w:val="002510CA"/>
    <w:rsid w:val="00251EF2"/>
    <w:rsid w:val="002523BF"/>
    <w:rsid w:val="00252F26"/>
    <w:rsid w:val="002539F3"/>
    <w:rsid w:val="002542AF"/>
    <w:rsid w:val="0025502A"/>
    <w:rsid w:val="00255113"/>
    <w:rsid w:val="00255ACE"/>
    <w:rsid w:val="00256887"/>
    <w:rsid w:val="00256983"/>
    <w:rsid w:val="00256C51"/>
    <w:rsid w:val="00257B63"/>
    <w:rsid w:val="00257CFB"/>
    <w:rsid w:val="0026050D"/>
    <w:rsid w:val="00261848"/>
    <w:rsid w:val="00261D59"/>
    <w:rsid w:val="00263205"/>
    <w:rsid w:val="00263901"/>
    <w:rsid w:val="00263C01"/>
    <w:rsid w:val="00263EE6"/>
    <w:rsid w:val="00263EF7"/>
    <w:rsid w:val="0026410F"/>
    <w:rsid w:val="002641D7"/>
    <w:rsid w:val="00264367"/>
    <w:rsid w:val="00265414"/>
    <w:rsid w:val="0026669E"/>
    <w:rsid w:val="00266764"/>
    <w:rsid w:val="00266ED2"/>
    <w:rsid w:val="00266FE6"/>
    <w:rsid w:val="002670B7"/>
    <w:rsid w:val="002675A4"/>
    <w:rsid w:val="002675D1"/>
    <w:rsid w:val="00267657"/>
    <w:rsid w:val="0026770B"/>
    <w:rsid w:val="0027078E"/>
    <w:rsid w:val="00271A22"/>
    <w:rsid w:val="0027302C"/>
    <w:rsid w:val="002737F1"/>
    <w:rsid w:val="002740EB"/>
    <w:rsid w:val="002765AE"/>
    <w:rsid w:val="002776BD"/>
    <w:rsid w:val="00280297"/>
    <w:rsid w:val="002803A2"/>
    <w:rsid w:val="00281560"/>
    <w:rsid w:val="00281D66"/>
    <w:rsid w:val="0028272B"/>
    <w:rsid w:val="00282A17"/>
    <w:rsid w:val="00283D74"/>
    <w:rsid w:val="0028404C"/>
    <w:rsid w:val="00284B33"/>
    <w:rsid w:val="00285169"/>
    <w:rsid w:val="00285300"/>
    <w:rsid w:val="00285DEE"/>
    <w:rsid w:val="0028602C"/>
    <w:rsid w:val="00286200"/>
    <w:rsid w:val="002900DE"/>
    <w:rsid w:val="0029043D"/>
    <w:rsid w:val="00291295"/>
    <w:rsid w:val="00291AA4"/>
    <w:rsid w:val="00291BBC"/>
    <w:rsid w:val="00292753"/>
    <w:rsid w:val="002929B6"/>
    <w:rsid w:val="00292C55"/>
    <w:rsid w:val="0029435A"/>
    <w:rsid w:val="00294BB3"/>
    <w:rsid w:val="00295209"/>
    <w:rsid w:val="00295CC6"/>
    <w:rsid w:val="00296495"/>
    <w:rsid w:val="002966A4"/>
    <w:rsid w:val="002A0551"/>
    <w:rsid w:val="002A0B37"/>
    <w:rsid w:val="002A0F6E"/>
    <w:rsid w:val="002A27BF"/>
    <w:rsid w:val="002A2BDC"/>
    <w:rsid w:val="002A314E"/>
    <w:rsid w:val="002A45BB"/>
    <w:rsid w:val="002A4A68"/>
    <w:rsid w:val="002A52D0"/>
    <w:rsid w:val="002A5E7B"/>
    <w:rsid w:val="002A5F94"/>
    <w:rsid w:val="002A7D83"/>
    <w:rsid w:val="002B0302"/>
    <w:rsid w:val="002B09A4"/>
    <w:rsid w:val="002B09D8"/>
    <w:rsid w:val="002B318B"/>
    <w:rsid w:val="002B3865"/>
    <w:rsid w:val="002B7753"/>
    <w:rsid w:val="002C010A"/>
    <w:rsid w:val="002C0123"/>
    <w:rsid w:val="002C0BEC"/>
    <w:rsid w:val="002C1E38"/>
    <w:rsid w:val="002C22D1"/>
    <w:rsid w:val="002C2450"/>
    <w:rsid w:val="002C45F1"/>
    <w:rsid w:val="002C5729"/>
    <w:rsid w:val="002C5F5B"/>
    <w:rsid w:val="002C66ED"/>
    <w:rsid w:val="002C6F41"/>
    <w:rsid w:val="002C79FC"/>
    <w:rsid w:val="002D04A2"/>
    <w:rsid w:val="002D0D41"/>
    <w:rsid w:val="002D147D"/>
    <w:rsid w:val="002D2C44"/>
    <w:rsid w:val="002D2E8C"/>
    <w:rsid w:val="002D369E"/>
    <w:rsid w:val="002D4AA5"/>
    <w:rsid w:val="002D4FE8"/>
    <w:rsid w:val="002D560D"/>
    <w:rsid w:val="002D5813"/>
    <w:rsid w:val="002D5D76"/>
    <w:rsid w:val="002D68B5"/>
    <w:rsid w:val="002D6A5A"/>
    <w:rsid w:val="002D79A1"/>
    <w:rsid w:val="002D7DB9"/>
    <w:rsid w:val="002E08FF"/>
    <w:rsid w:val="002E0E9D"/>
    <w:rsid w:val="002E176B"/>
    <w:rsid w:val="002E2212"/>
    <w:rsid w:val="002E2B41"/>
    <w:rsid w:val="002E2F03"/>
    <w:rsid w:val="002E3548"/>
    <w:rsid w:val="002E3707"/>
    <w:rsid w:val="002E37E5"/>
    <w:rsid w:val="002E4057"/>
    <w:rsid w:val="002E42A5"/>
    <w:rsid w:val="002E4C52"/>
    <w:rsid w:val="002E50AA"/>
    <w:rsid w:val="002E543E"/>
    <w:rsid w:val="002E5C90"/>
    <w:rsid w:val="002E6207"/>
    <w:rsid w:val="002E6413"/>
    <w:rsid w:val="002E6580"/>
    <w:rsid w:val="002E6DD3"/>
    <w:rsid w:val="002E7434"/>
    <w:rsid w:val="002F104C"/>
    <w:rsid w:val="002F1772"/>
    <w:rsid w:val="002F2A87"/>
    <w:rsid w:val="002F3496"/>
    <w:rsid w:val="002F3668"/>
    <w:rsid w:val="002F3E10"/>
    <w:rsid w:val="002F3E15"/>
    <w:rsid w:val="002F650E"/>
    <w:rsid w:val="002F71F5"/>
    <w:rsid w:val="002F7360"/>
    <w:rsid w:val="00300B9F"/>
    <w:rsid w:val="00300E0C"/>
    <w:rsid w:val="00301630"/>
    <w:rsid w:val="00301B4D"/>
    <w:rsid w:val="003020F8"/>
    <w:rsid w:val="00302186"/>
    <w:rsid w:val="00303341"/>
    <w:rsid w:val="003034AF"/>
    <w:rsid w:val="00303806"/>
    <w:rsid w:val="00304A5B"/>
    <w:rsid w:val="00304AC8"/>
    <w:rsid w:val="0030593A"/>
    <w:rsid w:val="00305DF7"/>
    <w:rsid w:val="00306228"/>
    <w:rsid w:val="003073BA"/>
    <w:rsid w:val="0031109B"/>
    <w:rsid w:val="0031187C"/>
    <w:rsid w:val="00311B7E"/>
    <w:rsid w:val="00312B69"/>
    <w:rsid w:val="0031320D"/>
    <w:rsid w:val="00313CE1"/>
    <w:rsid w:val="003142D9"/>
    <w:rsid w:val="003149B4"/>
    <w:rsid w:val="0031514B"/>
    <w:rsid w:val="00316C78"/>
    <w:rsid w:val="003170E4"/>
    <w:rsid w:val="00317593"/>
    <w:rsid w:val="00317CD0"/>
    <w:rsid w:val="00317F40"/>
    <w:rsid w:val="0032064E"/>
    <w:rsid w:val="00320F90"/>
    <w:rsid w:val="003220D6"/>
    <w:rsid w:val="00322381"/>
    <w:rsid w:val="00323548"/>
    <w:rsid w:val="00323F3A"/>
    <w:rsid w:val="00324041"/>
    <w:rsid w:val="00325082"/>
    <w:rsid w:val="003251AC"/>
    <w:rsid w:val="00325AED"/>
    <w:rsid w:val="003261BA"/>
    <w:rsid w:val="003268C4"/>
    <w:rsid w:val="0032702E"/>
    <w:rsid w:val="003273B9"/>
    <w:rsid w:val="00331031"/>
    <w:rsid w:val="0033137E"/>
    <w:rsid w:val="00331F0A"/>
    <w:rsid w:val="0033266B"/>
    <w:rsid w:val="00332915"/>
    <w:rsid w:val="0033308C"/>
    <w:rsid w:val="003346E3"/>
    <w:rsid w:val="0033541C"/>
    <w:rsid w:val="0033550D"/>
    <w:rsid w:val="00335BA4"/>
    <w:rsid w:val="0033681F"/>
    <w:rsid w:val="00340AEA"/>
    <w:rsid w:val="00340C8E"/>
    <w:rsid w:val="00340E7C"/>
    <w:rsid w:val="00341B62"/>
    <w:rsid w:val="00344617"/>
    <w:rsid w:val="00344FFD"/>
    <w:rsid w:val="00345A03"/>
    <w:rsid w:val="00345BD6"/>
    <w:rsid w:val="00347CD5"/>
    <w:rsid w:val="00350AFD"/>
    <w:rsid w:val="00350D1F"/>
    <w:rsid w:val="00350DF3"/>
    <w:rsid w:val="00350F23"/>
    <w:rsid w:val="0035109F"/>
    <w:rsid w:val="003515F7"/>
    <w:rsid w:val="00351E29"/>
    <w:rsid w:val="00352C3A"/>
    <w:rsid w:val="00353614"/>
    <w:rsid w:val="003544F6"/>
    <w:rsid w:val="003551B5"/>
    <w:rsid w:val="00355D3D"/>
    <w:rsid w:val="00355FFB"/>
    <w:rsid w:val="00356C96"/>
    <w:rsid w:val="00360CAE"/>
    <w:rsid w:val="00361BBD"/>
    <w:rsid w:val="00362E16"/>
    <w:rsid w:val="003636D5"/>
    <w:rsid w:val="00363A12"/>
    <w:rsid w:val="00363A4D"/>
    <w:rsid w:val="00363D14"/>
    <w:rsid w:val="0036425D"/>
    <w:rsid w:val="00364780"/>
    <w:rsid w:val="00365BAD"/>
    <w:rsid w:val="00365F97"/>
    <w:rsid w:val="0036766B"/>
    <w:rsid w:val="00370F7F"/>
    <w:rsid w:val="00372345"/>
    <w:rsid w:val="0037291C"/>
    <w:rsid w:val="00372B9C"/>
    <w:rsid w:val="003735C4"/>
    <w:rsid w:val="0037379B"/>
    <w:rsid w:val="003750E6"/>
    <w:rsid w:val="003751B6"/>
    <w:rsid w:val="00375C74"/>
    <w:rsid w:val="00376A57"/>
    <w:rsid w:val="00377DC8"/>
    <w:rsid w:val="003812AD"/>
    <w:rsid w:val="00381943"/>
    <w:rsid w:val="0038225F"/>
    <w:rsid w:val="0038310E"/>
    <w:rsid w:val="00383852"/>
    <w:rsid w:val="0038398B"/>
    <w:rsid w:val="00383A10"/>
    <w:rsid w:val="0038546C"/>
    <w:rsid w:val="003857D7"/>
    <w:rsid w:val="0038693B"/>
    <w:rsid w:val="0039025A"/>
    <w:rsid w:val="00390C0E"/>
    <w:rsid w:val="00391CF2"/>
    <w:rsid w:val="00392D84"/>
    <w:rsid w:val="00392E31"/>
    <w:rsid w:val="00392E75"/>
    <w:rsid w:val="00393271"/>
    <w:rsid w:val="0039357E"/>
    <w:rsid w:val="00393749"/>
    <w:rsid w:val="00393C48"/>
    <w:rsid w:val="00393F95"/>
    <w:rsid w:val="00394A7E"/>
    <w:rsid w:val="0039513F"/>
    <w:rsid w:val="00395EE8"/>
    <w:rsid w:val="0039616D"/>
    <w:rsid w:val="0039640D"/>
    <w:rsid w:val="00396CE6"/>
    <w:rsid w:val="00397148"/>
    <w:rsid w:val="0039742D"/>
    <w:rsid w:val="003976EE"/>
    <w:rsid w:val="003978F5"/>
    <w:rsid w:val="00397E78"/>
    <w:rsid w:val="003A08C9"/>
    <w:rsid w:val="003A0E38"/>
    <w:rsid w:val="003A1595"/>
    <w:rsid w:val="003A16F3"/>
    <w:rsid w:val="003A1A75"/>
    <w:rsid w:val="003A1BFC"/>
    <w:rsid w:val="003A3B75"/>
    <w:rsid w:val="003A3E2F"/>
    <w:rsid w:val="003A3F6D"/>
    <w:rsid w:val="003A4514"/>
    <w:rsid w:val="003A47C1"/>
    <w:rsid w:val="003A5892"/>
    <w:rsid w:val="003A5DCF"/>
    <w:rsid w:val="003A6F60"/>
    <w:rsid w:val="003A77E3"/>
    <w:rsid w:val="003A7EA8"/>
    <w:rsid w:val="003B00DA"/>
    <w:rsid w:val="003B029A"/>
    <w:rsid w:val="003B0C3A"/>
    <w:rsid w:val="003B0DBF"/>
    <w:rsid w:val="003B1225"/>
    <w:rsid w:val="003B1909"/>
    <w:rsid w:val="003B1BC5"/>
    <w:rsid w:val="003B1D41"/>
    <w:rsid w:val="003B1ECA"/>
    <w:rsid w:val="003B20AF"/>
    <w:rsid w:val="003B2655"/>
    <w:rsid w:val="003B301E"/>
    <w:rsid w:val="003B3458"/>
    <w:rsid w:val="003B4569"/>
    <w:rsid w:val="003B4BB2"/>
    <w:rsid w:val="003B53F6"/>
    <w:rsid w:val="003B544F"/>
    <w:rsid w:val="003B6038"/>
    <w:rsid w:val="003B6449"/>
    <w:rsid w:val="003B747C"/>
    <w:rsid w:val="003C1291"/>
    <w:rsid w:val="003C26D6"/>
    <w:rsid w:val="003C5AC9"/>
    <w:rsid w:val="003C64B5"/>
    <w:rsid w:val="003C67E3"/>
    <w:rsid w:val="003C7105"/>
    <w:rsid w:val="003C736E"/>
    <w:rsid w:val="003D019D"/>
    <w:rsid w:val="003D0819"/>
    <w:rsid w:val="003D1DB1"/>
    <w:rsid w:val="003D2FE7"/>
    <w:rsid w:val="003D3153"/>
    <w:rsid w:val="003D36FC"/>
    <w:rsid w:val="003D3752"/>
    <w:rsid w:val="003D3DF1"/>
    <w:rsid w:val="003D4723"/>
    <w:rsid w:val="003D7596"/>
    <w:rsid w:val="003D7C79"/>
    <w:rsid w:val="003D7D56"/>
    <w:rsid w:val="003E0AF1"/>
    <w:rsid w:val="003E0C5B"/>
    <w:rsid w:val="003E0D52"/>
    <w:rsid w:val="003E1310"/>
    <w:rsid w:val="003E1AD7"/>
    <w:rsid w:val="003E2E05"/>
    <w:rsid w:val="003E3D76"/>
    <w:rsid w:val="003E4286"/>
    <w:rsid w:val="003E48E7"/>
    <w:rsid w:val="003E4B9E"/>
    <w:rsid w:val="003E4F06"/>
    <w:rsid w:val="003E5580"/>
    <w:rsid w:val="003E59C1"/>
    <w:rsid w:val="003F10F3"/>
    <w:rsid w:val="003F131B"/>
    <w:rsid w:val="003F2EAA"/>
    <w:rsid w:val="003F2F6F"/>
    <w:rsid w:val="003F3569"/>
    <w:rsid w:val="003F368E"/>
    <w:rsid w:val="003F4723"/>
    <w:rsid w:val="003F4C71"/>
    <w:rsid w:val="003F4C9B"/>
    <w:rsid w:val="003F564D"/>
    <w:rsid w:val="003F565C"/>
    <w:rsid w:val="003F58DA"/>
    <w:rsid w:val="003F5E79"/>
    <w:rsid w:val="003F7186"/>
    <w:rsid w:val="003F796E"/>
    <w:rsid w:val="004007AC"/>
    <w:rsid w:val="00401424"/>
    <w:rsid w:val="00402F9F"/>
    <w:rsid w:val="0040320A"/>
    <w:rsid w:val="00403586"/>
    <w:rsid w:val="00404FFB"/>
    <w:rsid w:val="00406058"/>
    <w:rsid w:val="00407599"/>
    <w:rsid w:val="0041012C"/>
    <w:rsid w:val="004105D5"/>
    <w:rsid w:val="00411B38"/>
    <w:rsid w:val="004128F7"/>
    <w:rsid w:val="00412D60"/>
    <w:rsid w:val="00412FA4"/>
    <w:rsid w:val="004162FB"/>
    <w:rsid w:val="00416805"/>
    <w:rsid w:val="00416958"/>
    <w:rsid w:val="00417291"/>
    <w:rsid w:val="004173D1"/>
    <w:rsid w:val="004204FA"/>
    <w:rsid w:val="00421191"/>
    <w:rsid w:val="00421992"/>
    <w:rsid w:val="0042259C"/>
    <w:rsid w:val="0042273C"/>
    <w:rsid w:val="00422BB3"/>
    <w:rsid w:val="00423723"/>
    <w:rsid w:val="00424298"/>
    <w:rsid w:val="00425A14"/>
    <w:rsid w:val="00427235"/>
    <w:rsid w:val="0043003B"/>
    <w:rsid w:val="00430365"/>
    <w:rsid w:val="00431E0C"/>
    <w:rsid w:val="004334E7"/>
    <w:rsid w:val="0043390B"/>
    <w:rsid w:val="00435781"/>
    <w:rsid w:val="00435FB0"/>
    <w:rsid w:val="004366B2"/>
    <w:rsid w:val="0043733A"/>
    <w:rsid w:val="00437935"/>
    <w:rsid w:val="0044169B"/>
    <w:rsid w:val="004416EB"/>
    <w:rsid w:val="0044177D"/>
    <w:rsid w:val="004419DA"/>
    <w:rsid w:val="00441B26"/>
    <w:rsid w:val="00441F83"/>
    <w:rsid w:val="004428A9"/>
    <w:rsid w:val="00442BE8"/>
    <w:rsid w:val="00442E3C"/>
    <w:rsid w:val="00443A29"/>
    <w:rsid w:val="004447B7"/>
    <w:rsid w:val="00444844"/>
    <w:rsid w:val="00446EED"/>
    <w:rsid w:val="00447D10"/>
    <w:rsid w:val="004502BE"/>
    <w:rsid w:val="00450E88"/>
    <w:rsid w:val="004512A4"/>
    <w:rsid w:val="004517FD"/>
    <w:rsid w:val="004518EC"/>
    <w:rsid w:val="004519E8"/>
    <w:rsid w:val="004525CB"/>
    <w:rsid w:val="0045418E"/>
    <w:rsid w:val="00454977"/>
    <w:rsid w:val="00454D28"/>
    <w:rsid w:val="004555F7"/>
    <w:rsid w:val="00455A9B"/>
    <w:rsid w:val="00456121"/>
    <w:rsid w:val="004561FF"/>
    <w:rsid w:val="004564B3"/>
    <w:rsid w:val="00456C43"/>
    <w:rsid w:val="004577E6"/>
    <w:rsid w:val="004604DB"/>
    <w:rsid w:val="00461149"/>
    <w:rsid w:val="00463960"/>
    <w:rsid w:val="00463AD6"/>
    <w:rsid w:val="00463E95"/>
    <w:rsid w:val="0046452F"/>
    <w:rsid w:val="00464A6D"/>
    <w:rsid w:val="00464C20"/>
    <w:rsid w:val="00465515"/>
    <w:rsid w:val="00465750"/>
    <w:rsid w:val="004659F7"/>
    <w:rsid w:val="00465C11"/>
    <w:rsid w:val="00465E33"/>
    <w:rsid w:val="0047111F"/>
    <w:rsid w:val="00472276"/>
    <w:rsid w:val="0047289C"/>
    <w:rsid w:val="00472AF7"/>
    <w:rsid w:val="004730B7"/>
    <w:rsid w:val="00473F6C"/>
    <w:rsid w:val="0047453C"/>
    <w:rsid w:val="00474BD0"/>
    <w:rsid w:val="00474FA0"/>
    <w:rsid w:val="004753C8"/>
    <w:rsid w:val="00475851"/>
    <w:rsid w:val="0048101B"/>
    <w:rsid w:val="00481030"/>
    <w:rsid w:val="00481F34"/>
    <w:rsid w:val="00482951"/>
    <w:rsid w:val="004832E2"/>
    <w:rsid w:val="0048584F"/>
    <w:rsid w:val="0048727A"/>
    <w:rsid w:val="004911CD"/>
    <w:rsid w:val="00491853"/>
    <w:rsid w:val="004932B2"/>
    <w:rsid w:val="004936BB"/>
    <w:rsid w:val="00493BC9"/>
    <w:rsid w:val="00493F89"/>
    <w:rsid w:val="00496023"/>
    <w:rsid w:val="00496B4F"/>
    <w:rsid w:val="00496DE9"/>
    <w:rsid w:val="00496EFE"/>
    <w:rsid w:val="004A0103"/>
    <w:rsid w:val="004A0345"/>
    <w:rsid w:val="004A11C0"/>
    <w:rsid w:val="004A141E"/>
    <w:rsid w:val="004A29D8"/>
    <w:rsid w:val="004A2C77"/>
    <w:rsid w:val="004A3120"/>
    <w:rsid w:val="004A4436"/>
    <w:rsid w:val="004A4873"/>
    <w:rsid w:val="004A4BE7"/>
    <w:rsid w:val="004A526A"/>
    <w:rsid w:val="004A6D4E"/>
    <w:rsid w:val="004A735B"/>
    <w:rsid w:val="004A75E5"/>
    <w:rsid w:val="004B07D7"/>
    <w:rsid w:val="004B1423"/>
    <w:rsid w:val="004B31E1"/>
    <w:rsid w:val="004B3C56"/>
    <w:rsid w:val="004B50A5"/>
    <w:rsid w:val="004B5508"/>
    <w:rsid w:val="004B5634"/>
    <w:rsid w:val="004B61E5"/>
    <w:rsid w:val="004B66AF"/>
    <w:rsid w:val="004B72D2"/>
    <w:rsid w:val="004B7410"/>
    <w:rsid w:val="004C0B28"/>
    <w:rsid w:val="004C1EF4"/>
    <w:rsid w:val="004C38C7"/>
    <w:rsid w:val="004C44A5"/>
    <w:rsid w:val="004C66AB"/>
    <w:rsid w:val="004C6EDD"/>
    <w:rsid w:val="004C727F"/>
    <w:rsid w:val="004C7A04"/>
    <w:rsid w:val="004D025D"/>
    <w:rsid w:val="004D043A"/>
    <w:rsid w:val="004D04EE"/>
    <w:rsid w:val="004D0CF9"/>
    <w:rsid w:val="004D0DB0"/>
    <w:rsid w:val="004D102F"/>
    <w:rsid w:val="004D117C"/>
    <w:rsid w:val="004D1269"/>
    <w:rsid w:val="004D169D"/>
    <w:rsid w:val="004D1CA1"/>
    <w:rsid w:val="004D4000"/>
    <w:rsid w:val="004D495E"/>
    <w:rsid w:val="004D4DA4"/>
    <w:rsid w:val="004D63F2"/>
    <w:rsid w:val="004D68CB"/>
    <w:rsid w:val="004D6B62"/>
    <w:rsid w:val="004D6BEF"/>
    <w:rsid w:val="004D7015"/>
    <w:rsid w:val="004D7B7F"/>
    <w:rsid w:val="004E04E7"/>
    <w:rsid w:val="004E1B5E"/>
    <w:rsid w:val="004E1DFC"/>
    <w:rsid w:val="004E1F06"/>
    <w:rsid w:val="004E22FF"/>
    <w:rsid w:val="004E23F6"/>
    <w:rsid w:val="004E2EB3"/>
    <w:rsid w:val="004E3984"/>
    <w:rsid w:val="004E3D1A"/>
    <w:rsid w:val="004E416B"/>
    <w:rsid w:val="004E41A6"/>
    <w:rsid w:val="004E502B"/>
    <w:rsid w:val="004E5602"/>
    <w:rsid w:val="004E5935"/>
    <w:rsid w:val="004E5E14"/>
    <w:rsid w:val="004F04D2"/>
    <w:rsid w:val="004F2724"/>
    <w:rsid w:val="004F2ADE"/>
    <w:rsid w:val="004F2CAE"/>
    <w:rsid w:val="004F405D"/>
    <w:rsid w:val="004F44A6"/>
    <w:rsid w:val="004F53D7"/>
    <w:rsid w:val="004F79E0"/>
    <w:rsid w:val="00500353"/>
    <w:rsid w:val="00501862"/>
    <w:rsid w:val="00502502"/>
    <w:rsid w:val="00503CAF"/>
    <w:rsid w:val="005041C9"/>
    <w:rsid w:val="0050491E"/>
    <w:rsid w:val="00505EAA"/>
    <w:rsid w:val="0050635B"/>
    <w:rsid w:val="00506F58"/>
    <w:rsid w:val="00506F8A"/>
    <w:rsid w:val="00507E07"/>
    <w:rsid w:val="00511470"/>
    <w:rsid w:val="00511527"/>
    <w:rsid w:val="005117AA"/>
    <w:rsid w:val="00512C66"/>
    <w:rsid w:val="005130F0"/>
    <w:rsid w:val="005137FB"/>
    <w:rsid w:val="00513D7B"/>
    <w:rsid w:val="00514559"/>
    <w:rsid w:val="005148F8"/>
    <w:rsid w:val="00514E26"/>
    <w:rsid w:val="0051770C"/>
    <w:rsid w:val="00521BB8"/>
    <w:rsid w:val="00524063"/>
    <w:rsid w:val="00524792"/>
    <w:rsid w:val="00524928"/>
    <w:rsid w:val="00525294"/>
    <w:rsid w:val="005260F8"/>
    <w:rsid w:val="005261A8"/>
    <w:rsid w:val="00526446"/>
    <w:rsid w:val="00527BC8"/>
    <w:rsid w:val="00530330"/>
    <w:rsid w:val="005305E0"/>
    <w:rsid w:val="00530AE5"/>
    <w:rsid w:val="00530D4D"/>
    <w:rsid w:val="00530DC2"/>
    <w:rsid w:val="0053117E"/>
    <w:rsid w:val="00531A03"/>
    <w:rsid w:val="00531CDC"/>
    <w:rsid w:val="00531F23"/>
    <w:rsid w:val="00531F76"/>
    <w:rsid w:val="005343B4"/>
    <w:rsid w:val="005349F2"/>
    <w:rsid w:val="00534E19"/>
    <w:rsid w:val="00535DC4"/>
    <w:rsid w:val="0053643D"/>
    <w:rsid w:val="005364FB"/>
    <w:rsid w:val="00536BBC"/>
    <w:rsid w:val="00540510"/>
    <w:rsid w:val="00540BB8"/>
    <w:rsid w:val="00541903"/>
    <w:rsid w:val="00542039"/>
    <w:rsid w:val="005421E9"/>
    <w:rsid w:val="00542AA7"/>
    <w:rsid w:val="00542ABF"/>
    <w:rsid w:val="0054340F"/>
    <w:rsid w:val="00543B24"/>
    <w:rsid w:val="005442C8"/>
    <w:rsid w:val="00544366"/>
    <w:rsid w:val="00544B41"/>
    <w:rsid w:val="00545883"/>
    <w:rsid w:val="005468F3"/>
    <w:rsid w:val="00552501"/>
    <w:rsid w:val="00554BEE"/>
    <w:rsid w:val="0055504E"/>
    <w:rsid w:val="005555EA"/>
    <w:rsid w:val="00555C8B"/>
    <w:rsid w:val="005575B3"/>
    <w:rsid w:val="00557A4C"/>
    <w:rsid w:val="00557C99"/>
    <w:rsid w:val="00560011"/>
    <w:rsid w:val="00560F4E"/>
    <w:rsid w:val="005613E9"/>
    <w:rsid w:val="0056158A"/>
    <w:rsid w:val="0056171D"/>
    <w:rsid w:val="0056179D"/>
    <w:rsid w:val="005618E0"/>
    <w:rsid w:val="00561D65"/>
    <w:rsid w:val="0056221C"/>
    <w:rsid w:val="00562386"/>
    <w:rsid w:val="0056249B"/>
    <w:rsid w:val="00563DF9"/>
    <w:rsid w:val="005644C0"/>
    <w:rsid w:val="0056461A"/>
    <w:rsid w:val="00564B4E"/>
    <w:rsid w:val="00566127"/>
    <w:rsid w:val="00566E2E"/>
    <w:rsid w:val="005679F0"/>
    <w:rsid w:val="0057062D"/>
    <w:rsid w:val="00570661"/>
    <w:rsid w:val="00570CE8"/>
    <w:rsid w:val="00570F30"/>
    <w:rsid w:val="00570F48"/>
    <w:rsid w:val="00570FC4"/>
    <w:rsid w:val="005731AD"/>
    <w:rsid w:val="00573951"/>
    <w:rsid w:val="0057395D"/>
    <w:rsid w:val="005745AF"/>
    <w:rsid w:val="005779AB"/>
    <w:rsid w:val="005801A9"/>
    <w:rsid w:val="00581931"/>
    <w:rsid w:val="005823C6"/>
    <w:rsid w:val="00584B13"/>
    <w:rsid w:val="00584C2B"/>
    <w:rsid w:val="00584C71"/>
    <w:rsid w:val="00585044"/>
    <w:rsid w:val="00586B27"/>
    <w:rsid w:val="00586C7A"/>
    <w:rsid w:val="005877F0"/>
    <w:rsid w:val="00587B50"/>
    <w:rsid w:val="00587BB9"/>
    <w:rsid w:val="00587CBD"/>
    <w:rsid w:val="00590C30"/>
    <w:rsid w:val="00591172"/>
    <w:rsid w:val="00591202"/>
    <w:rsid w:val="005934A4"/>
    <w:rsid w:val="005938A8"/>
    <w:rsid w:val="00593B92"/>
    <w:rsid w:val="00593DD8"/>
    <w:rsid w:val="00593F77"/>
    <w:rsid w:val="00595803"/>
    <w:rsid w:val="005975E1"/>
    <w:rsid w:val="00597AC2"/>
    <w:rsid w:val="00597B55"/>
    <w:rsid w:val="005A0370"/>
    <w:rsid w:val="005A0E31"/>
    <w:rsid w:val="005A0E84"/>
    <w:rsid w:val="005A0EA6"/>
    <w:rsid w:val="005A21E4"/>
    <w:rsid w:val="005A35F1"/>
    <w:rsid w:val="005A3722"/>
    <w:rsid w:val="005A3A67"/>
    <w:rsid w:val="005A45C5"/>
    <w:rsid w:val="005A4A1F"/>
    <w:rsid w:val="005A4D62"/>
    <w:rsid w:val="005A5298"/>
    <w:rsid w:val="005A52FA"/>
    <w:rsid w:val="005A545D"/>
    <w:rsid w:val="005A566B"/>
    <w:rsid w:val="005A5AD1"/>
    <w:rsid w:val="005A65FD"/>
    <w:rsid w:val="005A6A0D"/>
    <w:rsid w:val="005A76A8"/>
    <w:rsid w:val="005A76B7"/>
    <w:rsid w:val="005A77A1"/>
    <w:rsid w:val="005A790C"/>
    <w:rsid w:val="005B063C"/>
    <w:rsid w:val="005B0663"/>
    <w:rsid w:val="005B0F25"/>
    <w:rsid w:val="005B13D6"/>
    <w:rsid w:val="005B1502"/>
    <w:rsid w:val="005B1784"/>
    <w:rsid w:val="005B2143"/>
    <w:rsid w:val="005B281E"/>
    <w:rsid w:val="005B32B3"/>
    <w:rsid w:val="005B3813"/>
    <w:rsid w:val="005B3876"/>
    <w:rsid w:val="005B40E2"/>
    <w:rsid w:val="005B4350"/>
    <w:rsid w:val="005B5D96"/>
    <w:rsid w:val="005B7A8F"/>
    <w:rsid w:val="005C1097"/>
    <w:rsid w:val="005C1D38"/>
    <w:rsid w:val="005C1F80"/>
    <w:rsid w:val="005C24E3"/>
    <w:rsid w:val="005C3807"/>
    <w:rsid w:val="005C5277"/>
    <w:rsid w:val="005C56CB"/>
    <w:rsid w:val="005C5980"/>
    <w:rsid w:val="005C61AE"/>
    <w:rsid w:val="005C629F"/>
    <w:rsid w:val="005C6400"/>
    <w:rsid w:val="005C674E"/>
    <w:rsid w:val="005C6835"/>
    <w:rsid w:val="005C6C23"/>
    <w:rsid w:val="005C739D"/>
    <w:rsid w:val="005C7DE6"/>
    <w:rsid w:val="005D07C0"/>
    <w:rsid w:val="005D07C4"/>
    <w:rsid w:val="005D0A7F"/>
    <w:rsid w:val="005D0ED2"/>
    <w:rsid w:val="005D22C0"/>
    <w:rsid w:val="005D288F"/>
    <w:rsid w:val="005D4A8B"/>
    <w:rsid w:val="005D557A"/>
    <w:rsid w:val="005D6127"/>
    <w:rsid w:val="005D630D"/>
    <w:rsid w:val="005D6F73"/>
    <w:rsid w:val="005D715C"/>
    <w:rsid w:val="005D75C9"/>
    <w:rsid w:val="005E028D"/>
    <w:rsid w:val="005E05C5"/>
    <w:rsid w:val="005E13B1"/>
    <w:rsid w:val="005E13F3"/>
    <w:rsid w:val="005E1846"/>
    <w:rsid w:val="005E1B5C"/>
    <w:rsid w:val="005E244C"/>
    <w:rsid w:val="005E27F2"/>
    <w:rsid w:val="005E2842"/>
    <w:rsid w:val="005E3A34"/>
    <w:rsid w:val="005E4526"/>
    <w:rsid w:val="005E49CA"/>
    <w:rsid w:val="005E53B5"/>
    <w:rsid w:val="005E5625"/>
    <w:rsid w:val="005E5FFE"/>
    <w:rsid w:val="005E764E"/>
    <w:rsid w:val="005E77D8"/>
    <w:rsid w:val="005F0F34"/>
    <w:rsid w:val="005F1E83"/>
    <w:rsid w:val="005F23BD"/>
    <w:rsid w:val="005F3BC3"/>
    <w:rsid w:val="005F4228"/>
    <w:rsid w:val="005F499B"/>
    <w:rsid w:val="005F5096"/>
    <w:rsid w:val="005F6C0F"/>
    <w:rsid w:val="005F7C5B"/>
    <w:rsid w:val="006004C7"/>
    <w:rsid w:val="006006D3"/>
    <w:rsid w:val="00601A21"/>
    <w:rsid w:val="00602601"/>
    <w:rsid w:val="00602974"/>
    <w:rsid w:val="00603711"/>
    <w:rsid w:val="00603A36"/>
    <w:rsid w:val="0060458F"/>
    <w:rsid w:val="00604B0A"/>
    <w:rsid w:val="00604BE8"/>
    <w:rsid w:val="006055AA"/>
    <w:rsid w:val="006061CA"/>
    <w:rsid w:val="00607BDE"/>
    <w:rsid w:val="00610B01"/>
    <w:rsid w:val="00612280"/>
    <w:rsid w:val="00612ACC"/>
    <w:rsid w:val="006135E2"/>
    <w:rsid w:val="0061367F"/>
    <w:rsid w:val="00614DC3"/>
    <w:rsid w:val="00614E60"/>
    <w:rsid w:val="00614EAD"/>
    <w:rsid w:val="006151B1"/>
    <w:rsid w:val="00615330"/>
    <w:rsid w:val="00615613"/>
    <w:rsid w:val="00615616"/>
    <w:rsid w:val="00616EF2"/>
    <w:rsid w:val="00617FE7"/>
    <w:rsid w:val="00622D14"/>
    <w:rsid w:val="00623499"/>
    <w:rsid w:val="00624432"/>
    <w:rsid w:val="00624543"/>
    <w:rsid w:val="00624C29"/>
    <w:rsid w:val="0062566F"/>
    <w:rsid w:val="00625A0D"/>
    <w:rsid w:val="00626CC2"/>
    <w:rsid w:val="00627B36"/>
    <w:rsid w:val="00627C2B"/>
    <w:rsid w:val="00630E2A"/>
    <w:rsid w:val="00630FDC"/>
    <w:rsid w:val="00631083"/>
    <w:rsid w:val="00631D85"/>
    <w:rsid w:val="00632159"/>
    <w:rsid w:val="0063230A"/>
    <w:rsid w:val="0063284D"/>
    <w:rsid w:val="006329BF"/>
    <w:rsid w:val="00632BAE"/>
    <w:rsid w:val="00633A18"/>
    <w:rsid w:val="006347C2"/>
    <w:rsid w:val="00635A9A"/>
    <w:rsid w:val="00635D6A"/>
    <w:rsid w:val="00636690"/>
    <w:rsid w:val="00636710"/>
    <w:rsid w:val="006369FC"/>
    <w:rsid w:val="00637417"/>
    <w:rsid w:val="00640157"/>
    <w:rsid w:val="00640CF5"/>
    <w:rsid w:val="006416DF"/>
    <w:rsid w:val="00642B00"/>
    <w:rsid w:val="006434A1"/>
    <w:rsid w:val="0064353A"/>
    <w:rsid w:val="00643703"/>
    <w:rsid w:val="00643760"/>
    <w:rsid w:val="006438BD"/>
    <w:rsid w:val="00643B0E"/>
    <w:rsid w:val="00643E50"/>
    <w:rsid w:val="00643F0A"/>
    <w:rsid w:val="00644237"/>
    <w:rsid w:val="00644907"/>
    <w:rsid w:val="00644E36"/>
    <w:rsid w:val="0064512F"/>
    <w:rsid w:val="006454AE"/>
    <w:rsid w:val="006506B8"/>
    <w:rsid w:val="0065082B"/>
    <w:rsid w:val="00650D7D"/>
    <w:rsid w:val="00650E43"/>
    <w:rsid w:val="00652BC0"/>
    <w:rsid w:val="0065378C"/>
    <w:rsid w:val="00653C77"/>
    <w:rsid w:val="00653F5B"/>
    <w:rsid w:val="0065434D"/>
    <w:rsid w:val="00654780"/>
    <w:rsid w:val="006547B1"/>
    <w:rsid w:val="00654831"/>
    <w:rsid w:val="0065519D"/>
    <w:rsid w:val="006562EE"/>
    <w:rsid w:val="00657568"/>
    <w:rsid w:val="0066094B"/>
    <w:rsid w:val="00662AE5"/>
    <w:rsid w:val="00663173"/>
    <w:rsid w:val="0066361E"/>
    <w:rsid w:val="006640FF"/>
    <w:rsid w:val="00664B13"/>
    <w:rsid w:val="00665906"/>
    <w:rsid w:val="00666B7D"/>
    <w:rsid w:val="00666BEA"/>
    <w:rsid w:val="00666BF4"/>
    <w:rsid w:val="00667F27"/>
    <w:rsid w:val="006700B8"/>
    <w:rsid w:val="00671D90"/>
    <w:rsid w:val="0067274A"/>
    <w:rsid w:val="00672A0F"/>
    <w:rsid w:val="00673B2B"/>
    <w:rsid w:val="00674655"/>
    <w:rsid w:val="00674FDD"/>
    <w:rsid w:val="00675733"/>
    <w:rsid w:val="0067684E"/>
    <w:rsid w:val="00677050"/>
    <w:rsid w:val="00680195"/>
    <w:rsid w:val="00680A2B"/>
    <w:rsid w:val="006814DB"/>
    <w:rsid w:val="0068265F"/>
    <w:rsid w:val="00682707"/>
    <w:rsid w:val="006828FE"/>
    <w:rsid w:val="00682BCE"/>
    <w:rsid w:val="00682C2D"/>
    <w:rsid w:val="00683162"/>
    <w:rsid w:val="00684E64"/>
    <w:rsid w:val="00686855"/>
    <w:rsid w:val="0068707B"/>
    <w:rsid w:val="0068723A"/>
    <w:rsid w:val="00690082"/>
    <w:rsid w:val="0069053B"/>
    <w:rsid w:val="00690D19"/>
    <w:rsid w:val="0069127F"/>
    <w:rsid w:val="006919A6"/>
    <w:rsid w:val="00691E75"/>
    <w:rsid w:val="00692F33"/>
    <w:rsid w:val="0069337A"/>
    <w:rsid w:val="006943B1"/>
    <w:rsid w:val="00694720"/>
    <w:rsid w:val="00694936"/>
    <w:rsid w:val="00696795"/>
    <w:rsid w:val="006A0039"/>
    <w:rsid w:val="006A072E"/>
    <w:rsid w:val="006A19C4"/>
    <w:rsid w:val="006A1A77"/>
    <w:rsid w:val="006A2452"/>
    <w:rsid w:val="006A328C"/>
    <w:rsid w:val="006A3BED"/>
    <w:rsid w:val="006A3ECC"/>
    <w:rsid w:val="006A45F1"/>
    <w:rsid w:val="006A5688"/>
    <w:rsid w:val="006A5F7A"/>
    <w:rsid w:val="006A66E5"/>
    <w:rsid w:val="006A7F9D"/>
    <w:rsid w:val="006B0596"/>
    <w:rsid w:val="006B2883"/>
    <w:rsid w:val="006B32F4"/>
    <w:rsid w:val="006B3FCE"/>
    <w:rsid w:val="006B69CB"/>
    <w:rsid w:val="006B6F17"/>
    <w:rsid w:val="006C1767"/>
    <w:rsid w:val="006C1DBB"/>
    <w:rsid w:val="006C2BA5"/>
    <w:rsid w:val="006C3CE4"/>
    <w:rsid w:val="006C4625"/>
    <w:rsid w:val="006C5148"/>
    <w:rsid w:val="006C5A83"/>
    <w:rsid w:val="006C65E4"/>
    <w:rsid w:val="006C682F"/>
    <w:rsid w:val="006C7585"/>
    <w:rsid w:val="006D07A0"/>
    <w:rsid w:val="006D14FD"/>
    <w:rsid w:val="006D17DA"/>
    <w:rsid w:val="006D188C"/>
    <w:rsid w:val="006D225F"/>
    <w:rsid w:val="006D23BD"/>
    <w:rsid w:val="006D3576"/>
    <w:rsid w:val="006D3D2C"/>
    <w:rsid w:val="006D41F5"/>
    <w:rsid w:val="006D464E"/>
    <w:rsid w:val="006D4C30"/>
    <w:rsid w:val="006E0E98"/>
    <w:rsid w:val="006E179C"/>
    <w:rsid w:val="006E2686"/>
    <w:rsid w:val="006E2A0C"/>
    <w:rsid w:val="006E2A23"/>
    <w:rsid w:val="006E2AB8"/>
    <w:rsid w:val="006E41DF"/>
    <w:rsid w:val="006E52C6"/>
    <w:rsid w:val="006E5FAD"/>
    <w:rsid w:val="006E6736"/>
    <w:rsid w:val="006E68EA"/>
    <w:rsid w:val="006E70B0"/>
    <w:rsid w:val="006E7D85"/>
    <w:rsid w:val="006F033A"/>
    <w:rsid w:val="006F0781"/>
    <w:rsid w:val="006F10AA"/>
    <w:rsid w:val="006F12B4"/>
    <w:rsid w:val="006F2186"/>
    <w:rsid w:val="006F3394"/>
    <w:rsid w:val="006F33A9"/>
    <w:rsid w:val="006F47AC"/>
    <w:rsid w:val="006F48E8"/>
    <w:rsid w:val="006F4D84"/>
    <w:rsid w:val="006F631E"/>
    <w:rsid w:val="006F6582"/>
    <w:rsid w:val="006F6D68"/>
    <w:rsid w:val="0070214E"/>
    <w:rsid w:val="00702633"/>
    <w:rsid w:val="007026C6"/>
    <w:rsid w:val="00703635"/>
    <w:rsid w:val="00703DCE"/>
    <w:rsid w:val="00705512"/>
    <w:rsid w:val="00706B43"/>
    <w:rsid w:val="0070702F"/>
    <w:rsid w:val="00707EDE"/>
    <w:rsid w:val="007102CD"/>
    <w:rsid w:val="00710DDB"/>
    <w:rsid w:val="00711BEA"/>
    <w:rsid w:val="00711EAB"/>
    <w:rsid w:val="0071301F"/>
    <w:rsid w:val="00713106"/>
    <w:rsid w:val="00715BDB"/>
    <w:rsid w:val="00715C5D"/>
    <w:rsid w:val="00715D8F"/>
    <w:rsid w:val="007167BF"/>
    <w:rsid w:val="0071730C"/>
    <w:rsid w:val="00717553"/>
    <w:rsid w:val="007176EB"/>
    <w:rsid w:val="00717E94"/>
    <w:rsid w:val="00721129"/>
    <w:rsid w:val="007218C4"/>
    <w:rsid w:val="007220EE"/>
    <w:rsid w:val="00722224"/>
    <w:rsid w:val="00722F5B"/>
    <w:rsid w:val="007238C5"/>
    <w:rsid w:val="007244F5"/>
    <w:rsid w:val="007254F7"/>
    <w:rsid w:val="007259C9"/>
    <w:rsid w:val="0072671B"/>
    <w:rsid w:val="0073183A"/>
    <w:rsid w:val="00732BE4"/>
    <w:rsid w:val="007343EB"/>
    <w:rsid w:val="00734BFE"/>
    <w:rsid w:val="00735895"/>
    <w:rsid w:val="00735C94"/>
    <w:rsid w:val="00735D2D"/>
    <w:rsid w:val="007361DA"/>
    <w:rsid w:val="00736B4C"/>
    <w:rsid w:val="007375D8"/>
    <w:rsid w:val="00737D0A"/>
    <w:rsid w:val="00737F9F"/>
    <w:rsid w:val="00740197"/>
    <w:rsid w:val="0074108E"/>
    <w:rsid w:val="00741964"/>
    <w:rsid w:val="00741E39"/>
    <w:rsid w:val="0074244C"/>
    <w:rsid w:val="00743411"/>
    <w:rsid w:val="0074377E"/>
    <w:rsid w:val="00743A61"/>
    <w:rsid w:val="0074400F"/>
    <w:rsid w:val="00744BAA"/>
    <w:rsid w:val="007457D4"/>
    <w:rsid w:val="0074672E"/>
    <w:rsid w:val="00746E86"/>
    <w:rsid w:val="00747CA7"/>
    <w:rsid w:val="00747D92"/>
    <w:rsid w:val="00750481"/>
    <w:rsid w:val="00750E4A"/>
    <w:rsid w:val="007511BE"/>
    <w:rsid w:val="00751E97"/>
    <w:rsid w:val="0075244D"/>
    <w:rsid w:val="0075392A"/>
    <w:rsid w:val="00753EF6"/>
    <w:rsid w:val="0075470A"/>
    <w:rsid w:val="00755366"/>
    <w:rsid w:val="00755600"/>
    <w:rsid w:val="007556E9"/>
    <w:rsid w:val="00756B98"/>
    <w:rsid w:val="00757411"/>
    <w:rsid w:val="0076030B"/>
    <w:rsid w:val="007610AF"/>
    <w:rsid w:val="007610EB"/>
    <w:rsid w:val="00761657"/>
    <w:rsid w:val="00762136"/>
    <w:rsid w:val="00762D2B"/>
    <w:rsid w:val="007636D9"/>
    <w:rsid w:val="00765D90"/>
    <w:rsid w:val="00766D7C"/>
    <w:rsid w:val="007675DB"/>
    <w:rsid w:val="007678EB"/>
    <w:rsid w:val="00767CB9"/>
    <w:rsid w:val="007707E1"/>
    <w:rsid w:val="00770FFD"/>
    <w:rsid w:val="0077171F"/>
    <w:rsid w:val="0077347A"/>
    <w:rsid w:val="00774300"/>
    <w:rsid w:val="00774847"/>
    <w:rsid w:val="00774F8F"/>
    <w:rsid w:val="00775322"/>
    <w:rsid w:val="0077534D"/>
    <w:rsid w:val="00776516"/>
    <w:rsid w:val="00780042"/>
    <w:rsid w:val="00780973"/>
    <w:rsid w:val="00781984"/>
    <w:rsid w:val="00784C1E"/>
    <w:rsid w:val="00784E67"/>
    <w:rsid w:val="00785F9B"/>
    <w:rsid w:val="0078685B"/>
    <w:rsid w:val="007868D0"/>
    <w:rsid w:val="00786D9B"/>
    <w:rsid w:val="00787E71"/>
    <w:rsid w:val="007919C9"/>
    <w:rsid w:val="007919F5"/>
    <w:rsid w:val="00793F33"/>
    <w:rsid w:val="007947B8"/>
    <w:rsid w:val="007948CE"/>
    <w:rsid w:val="0079564E"/>
    <w:rsid w:val="0079575A"/>
    <w:rsid w:val="007965CD"/>
    <w:rsid w:val="007A0A47"/>
    <w:rsid w:val="007A14ED"/>
    <w:rsid w:val="007A24E6"/>
    <w:rsid w:val="007A375F"/>
    <w:rsid w:val="007A4038"/>
    <w:rsid w:val="007A41EB"/>
    <w:rsid w:val="007A42A9"/>
    <w:rsid w:val="007A42EE"/>
    <w:rsid w:val="007A5AA0"/>
    <w:rsid w:val="007A5D3D"/>
    <w:rsid w:val="007A6712"/>
    <w:rsid w:val="007A778A"/>
    <w:rsid w:val="007A7A11"/>
    <w:rsid w:val="007A7C03"/>
    <w:rsid w:val="007A7C9A"/>
    <w:rsid w:val="007A7F7A"/>
    <w:rsid w:val="007B12B6"/>
    <w:rsid w:val="007B1CF7"/>
    <w:rsid w:val="007B20E8"/>
    <w:rsid w:val="007B27DB"/>
    <w:rsid w:val="007B2EE2"/>
    <w:rsid w:val="007B527C"/>
    <w:rsid w:val="007B5D72"/>
    <w:rsid w:val="007B643B"/>
    <w:rsid w:val="007B6EEE"/>
    <w:rsid w:val="007C100D"/>
    <w:rsid w:val="007C14DD"/>
    <w:rsid w:val="007C1AF3"/>
    <w:rsid w:val="007C2C7C"/>
    <w:rsid w:val="007C2DD9"/>
    <w:rsid w:val="007C30BE"/>
    <w:rsid w:val="007C3711"/>
    <w:rsid w:val="007C3736"/>
    <w:rsid w:val="007C4264"/>
    <w:rsid w:val="007C4BB4"/>
    <w:rsid w:val="007C4F66"/>
    <w:rsid w:val="007C62C1"/>
    <w:rsid w:val="007C7C88"/>
    <w:rsid w:val="007D0615"/>
    <w:rsid w:val="007D0734"/>
    <w:rsid w:val="007D1472"/>
    <w:rsid w:val="007D1C31"/>
    <w:rsid w:val="007D330B"/>
    <w:rsid w:val="007D416E"/>
    <w:rsid w:val="007D59B0"/>
    <w:rsid w:val="007D5C50"/>
    <w:rsid w:val="007D6240"/>
    <w:rsid w:val="007D6D41"/>
    <w:rsid w:val="007D72BB"/>
    <w:rsid w:val="007D7663"/>
    <w:rsid w:val="007D78B1"/>
    <w:rsid w:val="007E003E"/>
    <w:rsid w:val="007E051D"/>
    <w:rsid w:val="007E0D42"/>
    <w:rsid w:val="007E114A"/>
    <w:rsid w:val="007E183B"/>
    <w:rsid w:val="007E20CB"/>
    <w:rsid w:val="007E332F"/>
    <w:rsid w:val="007E368A"/>
    <w:rsid w:val="007E5B0D"/>
    <w:rsid w:val="007E6156"/>
    <w:rsid w:val="007E641C"/>
    <w:rsid w:val="007E6506"/>
    <w:rsid w:val="007E6EEC"/>
    <w:rsid w:val="007E737A"/>
    <w:rsid w:val="007E7B47"/>
    <w:rsid w:val="007F0014"/>
    <w:rsid w:val="007F0CB1"/>
    <w:rsid w:val="007F1F84"/>
    <w:rsid w:val="007F29B8"/>
    <w:rsid w:val="007F40D9"/>
    <w:rsid w:val="007F45CC"/>
    <w:rsid w:val="007F6A9A"/>
    <w:rsid w:val="008009A4"/>
    <w:rsid w:val="00800A87"/>
    <w:rsid w:val="00801EDC"/>
    <w:rsid w:val="00803555"/>
    <w:rsid w:val="00803752"/>
    <w:rsid w:val="00803BFC"/>
    <w:rsid w:val="008049D6"/>
    <w:rsid w:val="00805571"/>
    <w:rsid w:val="008059E3"/>
    <w:rsid w:val="00806226"/>
    <w:rsid w:val="00806A54"/>
    <w:rsid w:val="00806C36"/>
    <w:rsid w:val="00810030"/>
    <w:rsid w:val="008106CE"/>
    <w:rsid w:val="00810AA5"/>
    <w:rsid w:val="00811915"/>
    <w:rsid w:val="00812715"/>
    <w:rsid w:val="008129B3"/>
    <w:rsid w:val="008141D0"/>
    <w:rsid w:val="00814910"/>
    <w:rsid w:val="00814FD6"/>
    <w:rsid w:val="00815CC2"/>
    <w:rsid w:val="008164A6"/>
    <w:rsid w:val="008200A4"/>
    <w:rsid w:val="0082195A"/>
    <w:rsid w:val="00822619"/>
    <w:rsid w:val="00822AC3"/>
    <w:rsid w:val="00823071"/>
    <w:rsid w:val="008250E7"/>
    <w:rsid w:val="008252C1"/>
    <w:rsid w:val="00825836"/>
    <w:rsid w:val="00827124"/>
    <w:rsid w:val="00831330"/>
    <w:rsid w:val="00833134"/>
    <w:rsid w:val="00833262"/>
    <w:rsid w:val="0083361F"/>
    <w:rsid w:val="00833EE6"/>
    <w:rsid w:val="008342C6"/>
    <w:rsid w:val="0083456F"/>
    <w:rsid w:val="0083697C"/>
    <w:rsid w:val="00836BB9"/>
    <w:rsid w:val="00837912"/>
    <w:rsid w:val="0084007A"/>
    <w:rsid w:val="0084019B"/>
    <w:rsid w:val="0084062C"/>
    <w:rsid w:val="00844037"/>
    <w:rsid w:val="00845768"/>
    <w:rsid w:val="00845F1E"/>
    <w:rsid w:val="0084687E"/>
    <w:rsid w:val="00846D21"/>
    <w:rsid w:val="00846F2B"/>
    <w:rsid w:val="008478E0"/>
    <w:rsid w:val="00850E5B"/>
    <w:rsid w:val="00851524"/>
    <w:rsid w:val="00853741"/>
    <w:rsid w:val="00854D4E"/>
    <w:rsid w:val="008551F9"/>
    <w:rsid w:val="0085524D"/>
    <w:rsid w:val="008553CB"/>
    <w:rsid w:val="00855695"/>
    <w:rsid w:val="00857148"/>
    <w:rsid w:val="00860835"/>
    <w:rsid w:val="00860CC9"/>
    <w:rsid w:val="00860F4A"/>
    <w:rsid w:val="00861A31"/>
    <w:rsid w:val="00861CFB"/>
    <w:rsid w:val="008640ED"/>
    <w:rsid w:val="00864A74"/>
    <w:rsid w:val="00864C82"/>
    <w:rsid w:val="0086532B"/>
    <w:rsid w:val="008660B7"/>
    <w:rsid w:val="008663B5"/>
    <w:rsid w:val="008665FD"/>
    <w:rsid w:val="00866884"/>
    <w:rsid w:val="00867C2E"/>
    <w:rsid w:val="00870EED"/>
    <w:rsid w:val="008711FE"/>
    <w:rsid w:val="008719E5"/>
    <w:rsid w:val="00872096"/>
    <w:rsid w:val="0087235E"/>
    <w:rsid w:val="008725B9"/>
    <w:rsid w:val="0087366F"/>
    <w:rsid w:val="008738B6"/>
    <w:rsid w:val="00873DBD"/>
    <w:rsid w:val="00875D7F"/>
    <w:rsid w:val="0087606D"/>
    <w:rsid w:val="0087658C"/>
    <w:rsid w:val="00876A56"/>
    <w:rsid w:val="00876E0A"/>
    <w:rsid w:val="008773CC"/>
    <w:rsid w:val="0087797A"/>
    <w:rsid w:val="00881520"/>
    <w:rsid w:val="0088231F"/>
    <w:rsid w:val="00882AE6"/>
    <w:rsid w:val="00882C48"/>
    <w:rsid w:val="00882DF1"/>
    <w:rsid w:val="008832FA"/>
    <w:rsid w:val="008839E0"/>
    <w:rsid w:val="00883C5E"/>
    <w:rsid w:val="00884F44"/>
    <w:rsid w:val="00885739"/>
    <w:rsid w:val="00885B10"/>
    <w:rsid w:val="00887324"/>
    <w:rsid w:val="00890288"/>
    <w:rsid w:val="00891657"/>
    <w:rsid w:val="00891E2C"/>
    <w:rsid w:val="008922A3"/>
    <w:rsid w:val="00892BAE"/>
    <w:rsid w:val="00892DC4"/>
    <w:rsid w:val="00892F83"/>
    <w:rsid w:val="008937E5"/>
    <w:rsid w:val="0089392C"/>
    <w:rsid w:val="00893E5B"/>
    <w:rsid w:val="00893E5E"/>
    <w:rsid w:val="00894278"/>
    <w:rsid w:val="00894768"/>
    <w:rsid w:val="008947DA"/>
    <w:rsid w:val="00894A5C"/>
    <w:rsid w:val="00895E34"/>
    <w:rsid w:val="00896884"/>
    <w:rsid w:val="008A1048"/>
    <w:rsid w:val="008A1444"/>
    <w:rsid w:val="008A1793"/>
    <w:rsid w:val="008A1A89"/>
    <w:rsid w:val="008A1DEB"/>
    <w:rsid w:val="008A27AA"/>
    <w:rsid w:val="008A2E13"/>
    <w:rsid w:val="008A3517"/>
    <w:rsid w:val="008A407C"/>
    <w:rsid w:val="008A4731"/>
    <w:rsid w:val="008A4A3F"/>
    <w:rsid w:val="008A4FE7"/>
    <w:rsid w:val="008A677E"/>
    <w:rsid w:val="008A6938"/>
    <w:rsid w:val="008B100B"/>
    <w:rsid w:val="008B123F"/>
    <w:rsid w:val="008B2F9E"/>
    <w:rsid w:val="008B405A"/>
    <w:rsid w:val="008B416D"/>
    <w:rsid w:val="008B569E"/>
    <w:rsid w:val="008B7CCE"/>
    <w:rsid w:val="008C0F2E"/>
    <w:rsid w:val="008C11AD"/>
    <w:rsid w:val="008C1417"/>
    <w:rsid w:val="008C15A8"/>
    <w:rsid w:val="008C17C6"/>
    <w:rsid w:val="008C17C8"/>
    <w:rsid w:val="008C1850"/>
    <w:rsid w:val="008C22A7"/>
    <w:rsid w:val="008C26FC"/>
    <w:rsid w:val="008C3973"/>
    <w:rsid w:val="008C4DC9"/>
    <w:rsid w:val="008C4F12"/>
    <w:rsid w:val="008C5E16"/>
    <w:rsid w:val="008D0339"/>
    <w:rsid w:val="008D05B3"/>
    <w:rsid w:val="008D222B"/>
    <w:rsid w:val="008D2B98"/>
    <w:rsid w:val="008D2CDA"/>
    <w:rsid w:val="008D404A"/>
    <w:rsid w:val="008D682A"/>
    <w:rsid w:val="008D6AC4"/>
    <w:rsid w:val="008D7356"/>
    <w:rsid w:val="008E01A7"/>
    <w:rsid w:val="008E0467"/>
    <w:rsid w:val="008E1E34"/>
    <w:rsid w:val="008E1ED9"/>
    <w:rsid w:val="008E22C5"/>
    <w:rsid w:val="008E3863"/>
    <w:rsid w:val="008E68A8"/>
    <w:rsid w:val="008E7400"/>
    <w:rsid w:val="008F0988"/>
    <w:rsid w:val="008F0F89"/>
    <w:rsid w:val="008F16AE"/>
    <w:rsid w:val="008F2653"/>
    <w:rsid w:val="008F304E"/>
    <w:rsid w:val="008F3246"/>
    <w:rsid w:val="008F3269"/>
    <w:rsid w:val="008F3378"/>
    <w:rsid w:val="008F3FB8"/>
    <w:rsid w:val="008F4946"/>
    <w:rsid w:val="008F4E56"/>
    <w:rsid w:val="008F5921"/>
    <w:rsid w:val="008F5ACC"/>
    <w:rsid w:val="008F6D5A"/>
    <w:rsid w:val="00900412"/>
    <w:rsid w:val="00900C30"/>
    <w:rsid w:val="00901312"/>
    <w:rsid w:val="0090181F"/>
    <w:rsid w:val="00901926"/>
    <w:rsid w:val="009039E2"/>
    <w:rsid w:val="00903B10"/>
    <w:rsid w:val="00903B95"/>
    <w:rsid w:val="0090452B"/>
    <w:rsid w:val="0090474F"/>
    <w:rsid w:val="00904AA6"/>
    <w:rsid w:val="00904BEB"/>
    <w:rsid w:val="00905834"/>
    <w:rsid w:val="0091146F"/>
    <w:rsid w:val="009115E9"/>
    <w:rsid w:val="00911B08"/>
    <w:rsid w:val="00911B68"/>
    <w:rsid w:val="00911F11"/>
    <w:rsid w:val="009128BE"/>
    <w:rsid w:val="00914544"/>
    <w:rsid w:val="00914C0D"/>
    <w:rsid w:val="00915227"/>
    <w:rsid w:val="00915F05"/>
    <w:rsid w:val="00916F4B"/>
    <w:rsid w:val="00916FE2"/>
    <w:rsid w:val="00917399"/>
    <w:rsid w:val="0091779E"/>
    <w:rsid w:val="009178A5"/>
    <w:rsid w:val="009207F9"/>
    <w:rsid w:val="009210C8"/>
    <w:rsid w:val="009223A0"/>
    <w:rsid w:val="00922D84"/>
    <w:rsid w:val="00923BB2"/>
    <w:rsid w:val="0092407B"/>
    <w:rsid w:val="009246C4"/>
    <w:rsid w:val="00924E40"/>
    <w:rsid w:val="00925B7A"/>
    <w:rsid w:val="009269C3"/>
    <w:rsid w:val="009273A5"/>
    <w:rsid w:val="009300D3"/>
    <w:rsid w:val="00930DD4"/>
    <w:rsid w:val="009313F3"/>
    <w:rsid w:val="00931DE9"/>
    <w:rsid w:val="009323DA"/>
    <w:rsid w:val="00932644"/>
    <w:rsid w:val="009333DA"/>
    <w:rsid w:val="00933C6C"/>
    <w:rsid w:val="00934AE0"/>
    <w:rsid w:val="00935962"/>
    <w:rsid w:val="00935B0E"/>
    <w:rsid w:val="009367C3"/>
    <w:rsid w:val="00936C9D"/>
    <w:rsid w:val="00936FCB"/>
    <w:rsid w:val="00937A74"/>
    <w:rsid w:val="00937B52"/>
    <w:rsid w:val="0094181E"/>
    <w:rsid w:val="009435C6"/>
    <w:rsid w:val="00944B86"/>
    <w:rsid w:val="009450EC"/>
    <w:rsid w:val="00945632"/>
    <w:rsid w:val="009456AA"/>
    <w:rsid w:val="0094576B"/>
    <w:rsid w:val="009457CB"/>
    <w:rsid w:val="00945901"/>
    <w:rsid w:val="009460AF"/>
    <w:rsid w:val="00946D96"/>
    <w:rsid w:val="009471D3"/>
    <w:rsid w:val="00950665"/>
    <w:rsid w:val="0095068B"/>
    <w:rsid w:val="009525D1"/>
    <w:rsid w:val="009537B3"/>
    <w:rsid w:val="00953840"/>
    <w:rsid w:val="00953D72"/>
    <w:rsid w:val="00954406"/>
    <w:rsid w:val="00954679"/>
    <w:rsid w:val="009548E1"/>
    <w:rsid w:val="009548E3"/>
    <w:rsid w:val="009552D4"/>
    <w:rsid w:val="009554E4"/>
    <w:rsid w:val="00956206"/>
    <w:rsid w:val="00956FAD"/>
    <w:rsid w:val="00957B4B"/>
    <w:rsid w:val="00960A4F"/>
    <w:rsid w:val="00961236"/>
    <w:rsid w:val="00961491"/>
    <w:rsid w:val="009622FB"/>
    <w:rsid w:val="00962D3F"/>
    <w:rsid w:val="009632B7"/>
    <w:rsid w:val="00964082"/>
    <w:rsid w:val="00965829"/>
    <w:rsid w:val="009660F3"/>
    <w:rsid w:val="0096617D"/>
    <w:rsid w:val="009677E5"/>
    <w:rsid w:val="009702DF"/>
    <w:rsid w:val="00970EEC"/>
    <w:rsid w:val="00971D7F"/>
    <w:rsid w:val="009720B7"/>
    <w:rsid w:val="009740F8"/>
    <w:rsid w:val="00974ED4"/>
    <w:rsid w:val="009755FA"/>
    <w:rsid w:val="00975BD1"/>
    <w:rsid w:val="0097642B"/>
    <w:rsid w:val="00976A01"/>
    <w:rsid w:val="00976BA9"/>
    <w:rsid w:val="00976D44"/>
    <w:rsid w:val="00976D60"/>
    <w:rsid w:val="00980314"/>
    <w:rsid w:val="00980433"/>
    <w:rsid w:val="00980A42"/>
    <w:rsid w:val="00980D23"/>
    <w:rsid w:val="00980FEF"/>
    <w:rsid w:val="0098118F"/>
    <w:rsid w:val="009816FC"/>
    <w:rsid w:val="00981A93"/>
    <w:rsid w:val="00982081"/>
    <w:rsid w:val="00983260"/>
    <w:rsid w:val="00983995"/>
    <w:rsid w:val="009839C3"/>
    <w:rsid w:val="00983E6B"/>
    <w:rsid w:val="0098481B"/>
    <w:rsid w:val="009850E2"/>
    <w:rsid w:val="00985459"/>
    <w:rsid w:val="00985D91"/>
    <w:rsid w:val="00986695"/>
    <w:rsid w:val="00986FBD"/>
    <w:rsid w:val="009876D3"/>
    <w:rsid w:val="00990606"/>
    <w:rsid w:val="009908D0"/>
    <w:rsid w:val="00991128"/>
    <w:rsid w:val="00991E83"/>
    <w:rsid w:val="00992B4F"/>
    <w:rsid w:val="00992E0C"/>
    <w:rsid w:val="009944DC"/>
    <w:rsid w:val="00994776"/>
    <w:rsid w:val="00994792"/>
    <w:rsid w:val="00995BF0"/>
    <w:rsid w:val="009969F7"/>
    <w:rsid w:val="00996FA1"/>
    <w:rsid w:val="00997848"/>
    <w:rsid w:val="00997E86"/>
    <w:rsid w:val="009A04E6"/>
    <w:rsid w:val="009A11DD"/>
    <w:rsid w:val="009A1331"/>
    <w:rsid w:val="009A3146"/>
    <w:rsid w:val="009A3587"/>
    <w:rsid w:val="009A3BDC"/>
    <w:rsid w:val="009A62E5"/>
    <w:rsid w:val="009A647E"/>
    <w:rsid w:val="009A68D5"/>
    <w:rsid w:val="009B12A8"/>
    <w:rsid w:val="009B4496"/>
    <w:rsid w:val="009B5298"/>
    <w:rsid w:val="009B5BD3"/>
    <w:rsid w:val="009B6553"/>
    <w:rsid w:val="009B67C0"/>
    <w:rsid w:val="009B6B49"/>
    <w:rsid w:val="009B78CE"/>
    <w:rsid w:val="009B7991"/>
    <w:rsid w:val="009B7C7C"/>
    <w:rsid w:val="009B7EC2"/>
    <w:rsid w:val="009C03FD"/>
    <w:rsid w:val="009C0541"/>
    <w:rsid w:val="009C21D6"/>
    <w:rsid w:val="009C27DB"/>
    <w:rsid w:val="009C3270"/>
    <w:rsid w:val="009C356F"/>
    <w:rsid w:val="009C374D"/>
    <w:rsid w:val="009C3793"/>
    <w:rsid w:val="009C3F3C"/>
    <w:rsid w:val="009C4A02"/>
    <w:rsid w:val="009C4A95"/>
    <w:rsid w:val="009C7032"/>
    <w:rsid w:val="009D206C"/>
    <w:rsid w:val="009D397C"/>
    <w:rsid w:val="009D3C19"/>
    <w:rsid w:val="009D3E01"/>
    <w:rsid w:val="009D3FE9"/>
    <w:rsid w:val="009D41A1"/>
    <w:rsid w:val="009D435C"/>
    <w:rsid w:val="009D4B51"/>
    <w:rsid w:val="009D54EC"/>
    <w:rsid w:val="009D55AB"/>
    <w:rsid w:val="009D55C4"/>
    <w:rsid w:val="009D6022"/>
    <w:rsid w:val="009D67DB"/>
    <w:rsid w:val="009D7564"/>
    <w:rsid w:val="009D7895"/>
    <w:rsid w:val="009D7D29"/>
    <w:rsid w:val="009E234A"/>
    <w:rsid w:val="009E4B64"/>
    <w:rsid w:val="009E52C8"/>
    <w:rsid w:val="009E5A45"/>
    <w:rsid w:val="009E67B9"/>
    <w:rsid w:val="009E6CC4"/>
    <w:rsid w:val="009F139A"/>
    <w:rsid w:val="009F1C58"/>
    <w:rsid w:val="009F2951"/>
    <w:rsid w:val="009F2B60"/>
    <w:rsid w:val="009F2C43"/>
    <w:rsid w:val="009F36E9"/>
    <w:rsid w:val="009F3C27"/>
    <w:rsid w:val="009F47D8"/>
    <w:rsid w:val="009F4C9E"/>
    <w:rsid w:val="009F4FCD"/>
    <w:rsid w:val="009F5422"/>
    <w:rsid w:val="009F6B75"/>
    <w:rsid w:val="00A00380"/>
    <w:rsid w:val="00A00857"/>
    <w:rsid w:val="00A01213"/>
    <w:rsid w:val="00A01AEC"/>
    <w:rsid w:val="00A0376A"/>
    <w:rsid w:val="00A04057"/>
    <w:rsid w:val="00A047ED"/>
    <w:rsid w:val="00A05233"/>
    <w:rsid w:val="00A061E5"/>
    <w:rsid w:val="00A06781"/>
    <w:rsid w:val="00A068F0"/>
    <w:rsid w:val="00A06C35"/>
    <w:rsid w:val="00A078DB"/>
    <w:rsid w:val="00A079A0"/>
    <w:rsid w:val="00A10279"/>
    <w:rsid w:val="00A1029D"/>
    <w:rsid w:val="00A108B1"/>
    <w:rsid w:val="00A109CB"/>
    <w:rsid w:val="00A10F50"/>
    <w:rsid w:val="00A11211"/>
    <w:rsid w:val="00A118CD"/>
    <w:rsid w:val="00A11E8B"/>
    <w:rsid w:val="00A12E46"/>
    <w:rsid w:val="00A1359A"/>
    <w:rsid w:val="00A137D8"/>
    <w:rsid w:val="00A140AE"/>
    <w:rsid w:val="00A14634"/>
    <w:rsid w:val="00A14AA3"/>
    <w:rsid w:val="00A14C09"/>
    <w:rsid w:val="00A15222"/>
    <w:rsid w:val="00A15561"/>
    <w:rsid w:val="00A169FF"/>
    <w:rsid w:val="00A214F3"/>
    <w:rsid w:val="00A218F9"/>
    <w:rsid w:val="00A2231A"/>
    <w:rsid w:val="00A2278B"/>
    <w:rsid w:val="00A22CAE"/>
    <w:rsid w:val="00A23BA8"/>
    <w:rsid w:val="00A23E44"/>
    <w:rsid w:val="00A241EE"/>
    <w:rsid w:val="00A25658"/>
    <w:rsid w:val="00A2583D"/>
    <w:rsid w:val="00A2784E"/>
    <w:rsid w:val="00A27F61"/>
    <w:rsid w:val="00A311BE"/>
    <w:rsid w:val="00A3221E"/>
    <w:rsid w:val="00A3291F"/>
    <w:rsid w:val="00A33518"/>
    <w:rsid w:val="00A33D5F"/>
    <w:rsid w:val="00A34526"/>
    <w:rsid w:val="00A34F58"/>
    <w:rsid w:val="00A35501"/>
    <w:rsid w:val="00A36C91"/>
    <w:rsid w:val="00A37181"/>
    <w:rsid w:val="00A37604"/>
    <w:rsid w:val="00A4086F"/>
    <w:rsid w:val="00A40933"/>
    <w:rsid w:val="00A40EC3"/>
    <w:rsid w:val="00A410DA"/>
    <w:rsid w:val="00A41D14"/>
    <w:rsid w:val="00A44D04"/>
    <w:rsid w:val="00A467E5"/>
    <w:rsid w:val="00A471D5"/>
    <w:rsid w:val="00A50A9B"/>
    <w:rsid w:val="00A50F1D"/>
    <w:rsid w:val="00A521F1"/>
    <w:rsid w:val="00A52BE2"/>
    <w:rsid w:val="00A53C8D"/>
    <w:rsid w:val="00A53FBA"/>
    <w:rsid w:val="00A5465B"/>
    <w:rsid w:val="00A546D1"/>
    <w:rsid w:val="00A55CAC"/>
    <w:rsid w:val="00A5644F"/>
    <w:rsid w:val="00A57E84"/>
    <w:rsid w:val="00A60A3E"/>
    <w:rsid w:val="00A60B6D"/>
    <w:rsid w:val="00A60F07"/>
    <w:rsid w:val="00A623BC"/>
    <w:rsid w:val="00A6266C"/>
    <w:rsid w:val="00A628F6"/>
    <w:rsid w:val="00A63E2D"/>
    <w:rsid w:val="00A64F5F"/>
    <w:rsid w:val="00A65541"/>
    <w:rsid w:val="00A6573C"/>
    <w:rsid w:val="00A66ABB"/>
    <w:rsid w:val="00A66BAA"/>
    <w:rsid w:val="00A66C46"/>
    <w:rsid w:val="00A66FED"/>
    <w:rsid w:val="00A71084"/>
    <w:rsid w:val="00A71A34"/>
    <w:rsid w:val="00A71D0E"/>
    <w:rsid w:val="00A73CF6"/>
    <w:rsid w:val="00A743C3"/>
    <w:rsid w:val="00A74647"/>
    <w:rsid w:val="00A75745"/>
    <w:rsid w:val="00A776FB"/>
    <w:rsid w:val="00A778D2"/>
    <w:rsid w:val="00A7799B"/>
    <w:rsid w:val="00A77D90"/>
    <w:rsid w:val="00A80765"/>
    <w:rsid w:val="00A816D8"/>
    <w:rsid w:val="00A81A53"/>
    <w:rsid w:val="00A82484"/>
    <w:rsid w:val="00A8357F"/>
    <w:rsid w:val="00A83F40"/>
    <w:rsid w:val="00A8427C"/>
    <w:rsid w:val="00A84C5D"/>
    <w:rsid w:val="00A84D0D"/>
    <w:rsid w:val="00A864D5"/>
    <w:rsid w:val="00A872E2"/>
    <w:rsid w:val="00A87313"/>
    <w:rsid w:val="00A8785F"/>
    <w:rsid w:val="00A900DF"/>
    <w:rsid w:val="00A90EEB"/>
    <w:rsid w:val="00A90FBA"/>
    <w:rsid w:val="00A921FC"/>
    <w:rsid w:val="00A953A8"/>
    <w:rsid w:val="00A95750"/>
    <w:rsid w:val="00A96246"/>
    <w:rsid w:val="00A96766"/>
    <w:rsid w:val="00A967F6"/>
    <w:rsid w:val="00AA073F"/>
    <w:rsid w:val="00AA1C61"/>
    <w:rsid w:val="00AA257E"/>
    <w:rsid w:val="00AA3358"/>
    <w:rsid w:val="00AA476F"/>
    <w:rsid w:val="00AA6692"/>
    <w:rsid w:val="00AA7E23"/>
    <w:rsid w:val="00AB0979"/>
    <w:rsid w:val="00AB0D33"/>
    <w:rsid w:val="00AB0DFB"/>
    <w:rsid w:val="00AB115B"/>
    <w:rsid w:val="00AB363D"/>
    <w:rsid w:val="00AB4056"/>
    <w:rsid w:val="00AB6AC5"/>
    <w:rsid w:val="00AB733F"/>
    <w:rsid w:val="00AC0570"/>
    <w:rsid w:val="00AC28D4"/>
    <w:rsid w:val="00AC3F96"/>
    <w:rsid w:val="00AC4327"/>
    <w:rsid w:val="00AC4ADA"/>
    <w:rsid w:val="00AC4F5F"/>
    <w:rsid w:val="00AC5004"/>
    <w:rsid w:val="00AC552A"/>
    <w:rsid w:val="00AC58E4"/>
    <w:rsid w:val="00AC59D0"/>
    <w:rsid w:val="00AC59FB"/>
    <w:rsid w:val="00AC6923"/>
    <w:rsid w:val="00AC6B3F"/>
    <w:rsid w:val="00AC7C91"/>
    <w:rsid w:val="00AC7FD3"/>
    <w:rsid w:val="00AD0365"/>
    <w:rsid w:val="00AD0E49"/>
    <w:rsid w:val="00AD0F8D"/>
    <w:rsid w:val="00AD13CF"/>
    <w:rsid w:val="00AD22FA"/>
    <w:rsid w:val="00AD2552"/>
    <w:rsid w:val="00AD32B7"/>
    <w:rsid w:val="00AD45AE"/>
    <w:rsid w:val="00AD4814"/>
    <w:rsid w:val="00AE1244"/>
    <w:rsid w:val="00AE1DE5"/>
    <w:rsid w:val="00AE1E9A"/>
    <w:rsid w:val="00AE325A"/>
    <w:rsid w:val="00AE4198"/>
    <w:rsid w:val="00AE5306"/>
    <w:rsid w:val="00AE5B94"/>
    <w:rsid w:val="00AE690E"/>
    <w:rsid w:val="00AE6E07"/>
    <w:rsid w:val="00AE7699"/>
    <w:rsid w:val="00AE77E0"/>
    <w:rsid w:val="00AE77F3"/>
    <w:rsid w:val="00AE77F7"/>
    <w:rsid w:val="00AF066D"/>
    <w:rsid w:val="00AF09B3"/>
    <w:rsid w:val="00AF0E91"/>
    <w:rsid w:val="00AF1D71"/>
    <w:rsid w:val="00AF21F8"/>
    <w:rsid w:val="00AF22C6"/>
    <w:rsid w:val="00AF2B5E"/>
    <w:rsid w:val="00AF474E"/>
    <w:rsid w:val="00AF54BC"/>
    <w:rsid w:val="00AF5D36"/>
    <w:rsid w:val="00AF6197"/>
    <w:rsid w:val="00AF62CF"/>
    <w:rsid w:val="00AF6D30"/>
    <w:rsid w:val="00AF705E"/>
    <w:rsid w:val="00AF75C2"/>
    <w:rsid w:val="00AF7C89"/>
    <w:rsid w:val="00AF7E64"/>
    <w:rsid w:val="00B00791"/>
    <w:rsid w:val="00B00940"/>
    <w:rsid w:val="00B0169B"/>
    <w:rsid w:val="00B01DC9"/>
    <w:rsid w:val="00B020EB"/>
    <w:rsid w:val="00B02454"/>
    <w:rsid w:val="00B029DD"/>
    <w:rsid w:val="00B0331A"/>
    <w:rsid w:val="00B044F8"/>
    <w:rsid w:val="00B06E0E"/>
    <w:rsid w:val="00B074CD"/>
    <w:rsid w:val="00B07973"/>
    <w:rsid w:val="00B07AD0"/>
    <w:rsid w:val="00B07ED7"/>
    <w:rsid w:val="00B10336"/>
    <w:rsid w:val="00B10C21"/>
    <w:rsid w:val="00B10F06"/>
    <w:rsid w:val="00B11CE7"/>
    <w:rsid w:val="00B1204B"/>
    <w:rsid w:val="00B12246"/>
    <w:rsid w:val="00B12428"/>
    <w:rsid w:val="00B12C12"/>
    <w:rsid w:val="00B12E51"/>
    <w:rsid w:val="00B13104"/>
    <w:rsid w:val="00B138FB"/>
    <w:rsid w:val="00B13CDB"/>
    <w:rsid w:val="00B14039"/>
    <w:rsid w:val="00B16EA7"/>
    <w:rsid w:val="00B175A2"/>
    <w:rsid w:val="00B17A6A"/>
    <w:rsid w:val="00B20CD5"/>
    <w:rsid w:val="00B21498"/>
    <w:rsid w:val="00B219B0"/>
    <w:rsid w:val="00B22BDF"/>
    <w:rsid w:val="00B2322A"/>
    <w:rsid w:val="00B23279"/>
    <w:rsid w:val="00B23730"/>
    <w:rsid w:val="00B25A8F"/>
    <w:rsid w:val="00B27015"/>
    <w:rsid w:val="00B278A0"/>
    <w:rsid w:val="00B3100F"/>
    <w:rsid w:val="00B31971"/>
    <w:rsid w:val="00B31CDA"/>
    <w:rsid w:val="00B31D4F"/>
    <w:rsid w:val="00B3207E"/>
    <w:rsid w:val="00B32756"/>
    <w:rsid w:val="00B32915"/>
    <w:rsid w:val="00B32C7B"/>
    <w:rsid w:val="00B32E99"/>
    <w:rsid w:val="00B34D82"/>
    <w:rsid w:val="00B35CC9"/>
    <w:rsid w:val="00B36A08"/>
    <w:rsid w:val="00B36C40"/>
    <w:rsid w:val="00B3741A"/>
    <w:rsid w:val="00B40069"/>
    <w:rsid w:val="00B40E24"/>
    <w:rsid w:val="00B41CF2"/>
    <w:rsid w:val="00B41D46"/>
    <w:rsid w:val="00B41ED8"/>
    <w:rsid w:val="00B41F96"/>
    <w:rsid w:val="00B42C80"/>
    <w:rsid w:val="00B44201"/>
    <w:rsid w:val="00B4446F"/>
    <w:rsid w:val="00B44C05"/>
    <w:rsid w:val="00B45D92"/>
    <w:rsid w:val="00B463ED"/>
    <w:rsid w:val="00B465B1"/>
    <w:rsid w:val="00B466CB"/>
    <w:rsid w:val="00B46A93"/>
    <w:rsid w:val="00B47169"/>
    <w:rsid w:val="00B473C5"/>
    <w:rsid w:val="00B47900"/>
    <w:rsid w:val="00B47C60"/>
    <w:rsid w:val="00B50395"/>
    <w:rsid w:val="00B50821"/>
    <w:rsid w:val="00B51A28"/>
    <w:rsid w:val="00B526E5"/>
    <w:rsid w:val="00B52F58"/>
    <w:rsid w:val="00B5373A"/>
    <w:rsid w:val="00B54566"/>
    <w:rsid w:val="00B54EDA"/>
    <w:rsid w:val="00B56717"/>
    <w:rsid w:val="00B56951"/>
    <w:rsid w:val="00B574BC"/>
    <w:rsid w:val="00B57546"/>
    <w:rsid w:val="00B57C14"/>
    <w:rsid w:val="00B60326"/>
    <w:rsid w:val="00B61161"/>
    <w:rsid w:val="00B624DB"/>
    <w:rsid w:val="00B627FF"/>
    <w:rsid w:val="00B62954"/>
    <w:rsid w:val="00B638D5"/>
    <w:rsid w:val="00B65001"/>
    <w:rsid w:val="00B6672D"/>
    <w:rsid w:val="00B71BF2"/>
    <w:rsid w:val="00B721B3"/>
    <w:rsid w:val="00B7316B"/>
    <w:rsid w:val="00B73FF9"/>
    <w:rsid w:val="00B758F8"/>
    <w:rsid w:val="00B75B92"/>
    <w:rsid w:val="00B75DAC"/>
    <w:rsid w:val="00B75DC0"/>
    <w:rsid w:val="00B76546"/>
    <w:rsid w:val="00B76EC7"/>
    <w:rsid w:val="00B77FB8"/>
    <w:rsid w:val="00B803A2"/>
    <w:rsid w:val="00B805DE"/>
    <w:rsid w:val="00B8183B"/>
    <w:rsid w:val="00B8268D"/>
    <w:rsid w:val="00B826AB"/>
    <w:rsid w:val="00B838AC"/>
    <w:rsid w:val="00B838DD"/>
    <w:rsid w:val="00B84103"/>
    <w:rsid w:val="00B8433E"/>
    <w:rsid w:val="00B858E2"/>
    <w:rsid w:val="00B862F8"/>
    <w:rsid w:val="00B87BD9"/>
    <w:rsid w:val="00B90077"/>
    <w:rsid w:val="00B90B62"/>
    <w:rsid w:val="00B9151C"/>
    <w:rsid w:val="00B9160D"/>
    <w:rsid w:val="00B917BE"/>
    <w:rsid w:val="00B91E4B"/>
    <w:rsid w:val="00B933DC"/>
    <w:rsid w:val="00B93C96"/>
    <w:rsid w:val="00B94209"/>
    <w:rsid w:val="00B9469E"/>
    <w:rsid w:val="00B94999"/>
    <w:rsid w:val="00B94EA5"/>
    <w:rsid w:val="00B96268"/>
    <w:rsid w:val="00B9692A"/>
    <w:rsid w:val="00B97DAD"/>
    <w:rsid w:val="00BA090B"/>
    <w:rsid w:val="00BA135A"/>
    <w:rsid w:val="00BA1389"/>
    <w:rsid w:val="00BA150A"/>
    <w:rsid w:val="00BA2919"/>
    <w:rsid w:val="00BA297B"/>
    <w:rsid w:val="00BA429D"/>
    <w:rsid w:val="00BA4ABE"/>
    <w:rsid w:val="00BA5A31"/>
    <w:rsid w:val="00BA5E7C"/>
    <w:rsid w:val="00BA6D78"/>
    <w:rsid w:val="00BA6F01"/>
    <w:rsid w:val="00BA7EF2"/>
    <w:rsid w:val="00BB00A1"/>
    <w:rsid w:val="00BB135E"/>
    <w:rsid w:val="00BB16AC"/>
    <w:rsid w:val="00BB1E84"/>
    <w:rsid w:val="00BB365B"/>
    <w:rsid w:val="00BB4BD4"/>
    <w:rsid w:val="00BB5859"/>
    <w:rsid w:val="00BB5F69"/>
    <w:rsid w:val="00BB6A7E"/>
    <w:rsid w:val="00BB6F70"/>
    <w:rsid w:val="00BB73D8"/>
    <w:rsid w:val="00BB7668"/>
    <w:rsid w:val="00BB7AFF"/>
    <w:rsid w:val="00BB7B09"/>
    <w:rsid w:val="00BC1222"/>
    <w:rsid w:val="00BC1D51"/>
    <w:rsid w:val="00BC364D"/>
    <w:rsid w:val="00BC36FA"/>
    <w:rsid w:val="00BC4116"/>
    <w:rsid w:val="00BC67FE"/>
    <w:rsid w:val="00BC6BBE"/>
    <w:rsid w:val="00BC6DE1"/>
    <w:rsid w:val="00BD0488"/>
    <w:rsid w:val="00BD0562"/>
    <w:rsid w:val="00BD0611"/>
    <w:rsid w:val="00BD08D2"/>
    <w:rsid w:val="00BD0A06"/>
    <w:rsid w:val="00BD0A34"/>
    <w:rsid w:val="00BD0FDA"/>
    <w:rsid w:val="00BD15DC"/>
    <w:rsid w:val="00BD3104"/>
    <w:rsid w:val="00BD36E2"/>
    <w:rsid w:val="00BD38F3"/>
    <w:rsid w:val="00BD3D0B"/>
    <w:rsid w:val="00BD54A4"/>
    <w:rsid w:val="00BD5C1B"/>
    <w:rsid w:val="00BD5EC1"/>
    <w:rsid w:val="00BD61F3"/>
    <w:rsid w:val="00BD6449"/>
    <w:rsid w:val="00BD6505"/>
    <w:rsid w:val="00BD791C"/>
    <w:rsid w:val="00BE02BC"/>
    <w:rsid w:val="00BE1529"/>
    <w:rsid w:val="00BE2661"/>
    <w:rsid w:val="00BE2D19"/>
    <w:rsid w:val="00BE2DC6"/>
    <w:rsid w:val="00BE3299"/>
    <w:rsid w:val="00BE355D"/>
    <w:rsid w:val="00BE4A1F"/>
    <w:rsid w:val="00BE4C37"/>
    <w:rsid w:val="00BE6A75"/>
    <w:rsid w:val="00BF0256"/>
    <w:rsid w:val="00BF0F1E"/>
    <w:rsid w:val="00BF118D"/>
    <w:rsid w:val="00BF3E08"/>
    <w:rsid w:val="00BF4E85"/>
    <w:rsid w:val="00BF53CC"/>
    <w:rsid w:val="00BF55C6"/>
    <w:rsid w:val="00BF5A17"/>
    <w:rsid w:val="00BF5C39"/>
    <w:rsid w:val="00BF79E2"/>
    <w:rsid w:val="00BF7AB0"/>
    <w:rsid w:val="00BF7AD1"/>
    <w:rsid w:val="00C0027E"/>
    <w:rsid w:val="00C00C9B"/>
    <w:rsid w:val="00C011FB"/>
    <w:rsid w:val="00C01D39"/>
    <w:rsid w:val="00C022B7"/>
    <w:rsid w:val="00C0242F"/>
    <w:rsid w:val="00C04521"/>
    <w:rsid w:val="00C0463C"/>
    <w:rsid w:val="00C04683"/>
    <w:rsid w:val="00C04946"/>
    <w:rsid w:val="00C04B9E"/>
    <w:rsid w:val="00C04BD2"/>
    <w:rsid w:val="00C06208"/>
    <w:rsid w:val="00C0637B"/>
    <w:rsid w:val="00C076BE"/>
    <w:rsid w:val="00C07ADC"/>
    <w:rsid w:val="00C100FA"/>
    <w:rsid w:val="00C12288"/>
    <w:rsid w:val="00C124C5"/>
    <w:rsid w:val="00C134DD"/>
    <w:rsid w:val="00C14F8F"/>
    <w:rsid w:val="00C203CA"/>
    <w:rsid w:val="00C20DE3"/>
    <w:rsid w:val="00C24C18"/>
    <w:rsid w:val="00C25561"/>
    <w:rsid w:val="00C25C8C"/>
    <w:rsid w:val="00C2645C"/>
    <w:rsid w:val="00C2678F"/>
    <w:rsid w:val="00C26DA6"/>
    <w:rsid w:val="00C27111"/>
    <w:rsid w:val="00C27B57"/>
    <w:rsid w:val="00C3088C"/>
    <w:rsid w:val="00C30B59"/>
    <w:rsid w:val="00C32C57"/>
    <w:rsid w:val="00C32C8B"/>
    <w:rsid w:val="00C32DA8"/>
    <w:rsid w:val="00C32EA5"/>
    <w:rsid w:val="00C33E7B"/>
    <w:rsid w:val="00C3531E"/>
    <w:rsid w:val="00C37612"/>
    <w:rsid w:val="00C3761F"/>
    <w:rsid w:val="00C37C9C"/>
    <w:rsid w:val="00C403B8"/>
    <w:rsid w:val="00C40767"/>
    <w:rsid w:val="00C40B7D"/>
    <w:rsid w:val="00C419CF"/>
    <w:rsid w:val="00C41E1A"/>
    <w:rsid w:val="00C42B54"/>
    <w:rsid w:val="00C435F5"/>
    <w:rsid w:val="00C44035"/>
    <w:rsid w:val="00C44644"/>
    <w:rsid w:val="00C4579C"/>
    <w:rsid w:val="00C4615B"/>
    <w:rsid w:val="00C473BB"/>
    <w:rsid w:val="00C47900"/>
    <w:rsid w:val="00C50DAC"/>
    <w:rsid w:val="00C50E2D"/>
    <w:rsid w:val="00C50EA1"/>
    <w:rsid w:val="00C51F27"/>
    <w:rsid w:val="00C52DC6"/>
    <w:rsid w:val="00C537F8"/>
    <w:rsid w:val="00C5481B"/>
    <w:rsid w:val="00C54A00"/>
    <w:rsid w:val="00C5508C"/>
    <w:rsid w:val="00C5542C"/>
    <w:rsid w:val="00C559AD"/>
    <w:rsid w:val="00C55C37"/>
    <w:rsid w:val="00C5738B"/>
    <w:rsid w:val="00C57FD4"/>
    <w:rsid w:val="00C60970"/>
    <w:rsid w:val="00C612F9"/>
    <w:rsid w:val="00C61EA5"/>
    <w:rsid w:val="00C62E0B"/>
    <w:rsid w:val="00C62F49"/>
    <w:rsid w:val="00C63BB7"/>
    <w:rsid w:val="00C63C19"/>
    <w:rsid w:val="00C6436B"/>
    <w:rsid w:val="00C646E6"/>
    <w:rsid w:val="00C64A87"/>
    <w:rsid w:val="00C6615B"/>
    <w:rsid w:val="00C664EB"/>
    <w:rsid w:val="00C66AA1"/>
    <w:rsid w:val="00C67B6C"/>
    <w:rsid w:val="00C7195B"/>
    <w:rsid w:val="00C71CE8"/>
    <w:rsid w:val="00C725B8"/>
    <w:rsid w:val="00C742D0"/>
    <w:rsid w:val="00C745BC"/>
    <w:rsid w:val="00C75276"/>
    <w:rsid w:val="00C75A93"/>
    <w:rsid w:val="00C75F99"/>
    <w:rsid w:val="00C7630A"/>
    <w:rsid w:val="00C76440"/>
    <w:rsid w:val="00C772D1"/>
    <w:rsid w:val="00C7730A"/>
    <w:rsid w:val="00C7747A"/>
    <w:rsid w:val="00C8007D"/>
    <w:rsid w:val="00C80E31"/>
    <w:rsid w:val="00C80EC9"/>
    <w:rsid w:val="00C80F02"/>
    <w:rsid w:val="00C826FE"/>
    <w:rsid w:val="00C83D28"/>
    <w:rsid w:val="00C843B5"/>
    <w:rsid w:val="00C8458B"/>
    <w:rsid w:val="00C847E5"/>
    <w:rsid w:val="00C8488B"/>
    <w:rsid w:val="00C848B0"/>
    <w:rsid w:val="00C84A82"/>
    <w:rsid w:val="00C84CE5"/>
    <w:rsid w:val="00C85082"/>
    <w:rsid w:val="00C850AE"/>
    <w:rsid w:val="00C851D3"/>
    <w:rsid w:val="00C85F60"/>
    <w:rsid w:val="00C86C66"/>
    <w:rsid w:val="00C877D3"/>
    <w:rsid w:val="00C91A57"/>
    <w:rsid w:val="00C9261C"/>
    <w:rsid w:val="00C92CC6"/>
    <w:rsid w:val="00C93677"/>
    <w:rsid w:val="00C9422B"/>
    <w:rsid w:val="00C94232"/>
    <w:rsid w:val="00C94A6C"/>
    <w:rsid w:val="00C95ACB"/>
    <w:rsid w:val="00C95CEB"/>
    <w:rsid w:val="00C96503"/>
    <w:rsid w:val="00C96995"/>
    <w:rsid w:val="00C96C1F"/>
    <w:rsid w:val="00C97725"/>
    <w:rsid w:val="00C97F0F"/>
    <w:rsid w:val="00CA1792"/>
    <w:rsid w:val="00CA205E"/>
    <w:rsid w:val="00CA24DE"/>
    <w:rsid w:val="00CA2765"/>
    <w:rsid w:val="00CA4B73"/>
    <w:rsid w:val="00CA4E3E"/>
    <w:rsid w:val="00CA4F79"/>
    <w:rsid w:val="00CA4FF9"/>
    <w:rsid w:val="00CA7315"/>
    <w:rsid w:val="00CA7387"/>
    <w:rsid w:val="00CA77CE"/>
    <w:rsid w:val="00CA7BD4"/>
    <w:rsid w:val="00CB00E0"/>
    <w:rsid w:val="00CB0C12"/>
    <w:rsid w:val="00CB27AD"/>
    <w:rsid w:val="00CB3F4F"/>
    <w:rsid w:val="00CB4F3A"/>
    <w:rsid w:val="00CB5115"/>
    <w:rsid w:val="00CB54EB"/>
    <w:rsid w:val="00CB66A2"/>
    <w:rsid w:val="00CB66BB"/>
    <w:rsid w:val="00CB6A59"/>
    <w:rsid w:val="00CC26F0"/>
    <w:rsid w:val="00CC33E3"/>
    <w:rsid w:val="00CC3501"/>
    <w:rsid w:val="00CC3CE6"/>
    <w:rsid w:val="00CC400B"/>
    <w:rsid w:val="00CC6519"/>
    <w:rsid w:val="00CC7189"/>
    <w:rsid w:val="00CC7474"/>
    <w:rsid w:val="00CC7D92"/>
    <w:rsid w:val="00CD0069"/>
    <w:rsid w:val="00CD09A8"/>
    <w:rsid w:val="00CD1DF1"/>
    <w:rsid w:val="00CD244C"/>
    <w:rsid w:val="00CD2A08"/>
    <w:rsid w:val="00CD36E5"/>
    <w:rsid w:val="00CD3856"/>
    <w:rsid w:val="00CD3EB4"/>
    <w:rsid w:val="00CD77B4"/>
    <w:rsid w:val="00CD7AFC"/>
    <w:rsid w:val="00CE0D52"/>
    <w:rsid w:val="00CE0F9F"/>
    <w:rsid w:val="00CE1506"/>
    <w:rsid w:val="00CE1D0B"/>
    <w:rsid w:val="00CE24BE"/>
    <w:rsid w:val="00CE2B5D"/>
    <w:rsid w:val="00CE2FAA"/>
    <w:rsid w:val="00CE3496"/>
    <w:rsid w:val="00CE3943"/>
    <w:rsid w:val="00CE48D4"/>
    <w:rsid w:val="00CE4D66"/>
    <w:rsid w:val="00CE54CD"/>
    <w:rsid w:val="00CE5AE9"/>
    <w:rsid w:val="00CE5E61"/>
    <w:rsid w:val="00CE76DB"/>
    <w:rsid w:val="00CE7D4F"/>
    <w:rsid w:val="00CF05EA"/>
    <w:rsid w:val="00CF14AA"/>
    <w:rsid w:val="00CF16F5"/>
    <w:rsid w:val="00CF1812"/>
    <w:rsid w:val="00CF21DB"/>
    <w:rsid w:val="00CF29D5"/>
    <w:rsid w:val="00CF2F16"/>
    <w:rsid w:val="00CF4292"/>
    <w:rsid w:val="00CF4EC2"/>
    <w:rsid w:val="00CF50E5"/>
    <w:rsid w:val="00CF543E"/>
    <w:rsid w:val="00CF61CE"/>
    <w:rsid w:val="00CF666A"/>
    <w:rsid w:val="00CF6855"/>
    <w:rsid w:val="00CF725B"/>
    <w:rsid w:val="00CF7566"/>
    <w:rsid w:val="00D0171F"/>
    <w:rsid w:val="00D02884"/>
    <w:rsid w:val="00D031E1"/>
    <w:rsid w:val="00D04359"/>
    <w:rsid w:val="00D0457F"/>
    <w:rsid w:val="00D060BD"/>
    <w:rsid w:val="00D071A4"/>
    <w:rsid w:val="00D07C06"/>
    <w:rsid w:val="00D1055F"/>
    <w:rsid w:val="00D10D3F"/>
    <w:rsid w:val="00D111B5"/>
    <w:rsid w:val="00D11C1D"/>
    <w:rsid w:val="00D11E6B"/>
    <w:rsid w:val="00D13978"/>
    <w:rsid w:val="00D14B07"/>
    <w:rsid w:val="00D14B32"/>
    <w:rsid w:val="00D15749"/>
    <w:rsid w:val="00D1771A"/>
    <w:rsid w:val="00D17C29"/>
    <w:rsid w:val="00D2001D"/>
    <w:rsid w:val="00D21222"/>
    <w:rsid w:val="00D21897"/>
    <w:rsid w:val="00D2353E"/>
    <w:rsid w:val="00D23BFA"/>
    <w:rsid w:val="00D23FD8"/>
    <w:rsid w:val="00D2591D"/>
    <w:rsid w:val="00D25C37"/>
    <w:rsid w:val="00D2613E"/>
    <w:rsid w:val="00D26C95"/>
    <w:rsid w:val="00D27371"/>
    <w:rsid w:val="00D27F42"/>
    <w:rsid w:val="00D30B79"/>
    <w:rsid w:val="00D31A1E"/>
    <w:rsid w:val="00D31DFC"/>
    <w:rsid w:val="00D31E8E"/>
    <w:rsid w:val="00D338C8"/>
    <w:rsid w:val="00D347B9"/>
    <w:rsid w:val="00D3507D"/>
    <w:rsid w:val="00D358E0"/>
    <w:rsid w:val="00D358EA"/>
    <w:rsid w:val="00D36315"/>
    <w:rsid w:val="00D36CD2"/>
    <w:rsid w:val="00D36F7C"/>
    <w:rsid w:val="00D3768C"/>
    <w:rsid w:val="00D40BFF"/>
    <w:rsid w:val="00D417F2"/>
    <w:rsid w:val="00D41F96"/>
    <w:rsid w:val="00D42EC3"/>
    <w:rsid w:val="00D4347A"/>
    <w:rsid w:val="00D4391C"/>
    <w:rsid w:val="00D43DB3"/>
    <w:rsid w:val="00D44EE9"/>
    <w:rsid w:val="00D45EAB"/>
    <w:rsid w:val="00D46915"/>
    <w:rsid w:val="00D46BCC"/>
    <w:rsid w:val="00D46E3C"/>
    <w:rsid w:val="00D46EBE"/>
    <w:rsid w:val="00D47057"/>
    <w:rsid w:val="00D476C3"/>
    <w:rsid w:val="00D50503"/>
    <w:rsid w:val="00D507D8"/>
    <w:rsid w:val="00D50FAD"/>
    <w:rsid w:val="00D5162A"/>
    <w:rsid w:val="00D517FA"/>
    <w:rsid w:val="00D541C0"/>
    <w:rsid w:val="00D544EE"/>
    <w:rsid w:val="00D54E61"/>
    <w:rsid w:val="00D571A6"/>
    <w:rsid w:val="00D57F5B"/>
    <w:rsid w:val="00D60026"/>
    <w:rsid w:val="00D60A81"/>
    <w:rsid w:val="00D617DE"/>
    <w:rsid w:val="00D6192D"/>
    <w:rsid w:val="00D664EF"/>
    <w:rsid w:val="00D669F2"/>
    <w:rsid w:val="00D67096"/>
    <w:rsid w:val="00D67FD8"/>
    <w:rsid w:val="00D70109"/>
    <w:rsid w:val="00D70E4A"/>
    <w:rsid w:val="00D71AD3"/>
    <w:rsid w:val="00D72A6D"/>
    <w:rsid w:val="00D72E3B"/>
    <w:rsid w:val="00D72F25"/>
    <w:rsid w:val="00D74C1E"/>
    <w:rsid w:val="00D751BB"/>
    <w:rsid w:val="00D7686F"/>
    <w:rsid w:val="00D76B71"/>
    <w:rsid w:val="00D76F51"/>
    <w:rsid w:val="00D77815"/>
    <w:rsid w:val="00D77904"/>
    <w:rsid w:val="00D812AB"/>
    <w:rsid w:val="00D8182C"/>
    <w:rsid w:val="00D81DC3"/>
    <w:rsid w:val="00D82A49"/>
    <w:rsid w:val="00D84746"/>
    <w:rsid w:val="00D8498E"/>
    <w:rsid w:val="00D85889"/>
    <w:rsid w:val="00D86ADF"/>
    <w:rsid w:val="00D8768A"/>
    <w:rsid w:val="00D87DA9"/>
    <w:rsid w:val="00D900EA"/>
    <w:rsid w:val="00D904C4"/>
    <w:rsid w:val="00D91070"/>
    <w:rsid w:val="00D91390"/>
    <w:rsid w:val="00D918EF"/>
    <w:rsid w:val="00D919A7"/>
    <w:rsid w:val="00D919E7"/>
    <w:rsid w:val="00D9291F"/>
    <w:rsid w:val="00D92D54"/>
    <w:rsid w:val="00D93824"/>
    <w:rsid w:val="00D93DB2"/>
    <w:rsid w:val="00D94977"/>
    <w:rsid w:val="00D9539C"/>
    <w:rsid w:val="00D9763D"/>
    <w:rsid w:val="00DA0B85"/>
    <w:rsid w:val="00DA0C51"/>
    <w:rsid w:val="00DA141D"/>
    <w:rsid w:val="00DA1BFC"/>
    <w:rsid w:val="00DA1C20"/>
    <w:rsid w:val="00DA1C27"/>
    <w:rsid w:val="00DA2115"/>
    <w:rsid w:val="00DA35A7"/>
    <w:rsid w:val="00DA4C46"/>
    <w:rsid w:val="00DA5804"/>
    <w:rsid w:val="00DA5B09"/>
    <w:rsid w:val="00DB0A21"/>
    <w:rsid w:val="00DB1EA4"/>
    <w:rsid w:val="00DB212F"/>
    <w:rsid w:val="00DB25FE"/>
    <w:rsid w:val="00DB40E2"/>
    <w:rsid w:val="00DB4163"/>
    <w:rsid w:val="00DB5620"/>
    <w:rsid w:val="00DB5B89"/>
    <w:rsid w:val="00DB677D"/>
    <w:rsid w:val="00DB78DA"/>
    <w:rsid w:val="00DB7952"/>
    <w:rsid w:val="00DB7D23"/>
    <w:rsid w:val="00DC0E37"/>
    <w:rsid w:val="00DC15D8"/>
    <w:rsid w:val="00DC220C"/>
    <w:rsid w:val="00DC24F4"/>
    <w:rsid w:val="00DC3099"/>
    <w:rsid w:val="00DC32A0"/>
    <w:rsid w:val="00DC5BC4"/>
    <w:rsid w:val="00DC5CBF"/>
    <w:rsid w:val="00DC60F4"/>
    <w:rsid w:val="00DC6B1E"/>
    <w:rsid w:val="00DC7E9E"/>
    <w:rsid w:val="00DD142B"/>
    <w:rsid w:val="00DD25E2"/>
    <w:rsid w:val="00DD29B7"/>
    <w:rsid w:val="00DD360E"/>
    <w:rsid w:val="00DD4555"/>
    <w:rsid w:val="00DD48C9"/>
    <w:rsid w:val="00DD4A86"/>
    <w:rsid w:val="00DD5938"/>
    <w:rsid w:val="00DD6E44"/>
    <w:rsid w:val="00DE009D"/>
    <w:rsid w:val="00DE0B41"/>
    <w:rsid w:val="00DE13F6"/>
    <w:rsid w:val="00DE221A"/>
    <w:rsid w:val="00DE5603"/>
    <w:rsid w:val="00DE5759"/>
    <w:rsid w:val="00DE5839"/>
    <w:rsid w:val="00DE595C"/>
    <w:rsid w:val="00DE620A"/>
    <w:rsid w:val="00DE687E"/>
    <w:rsid w:val="00DE6F47"/>
    <w:rsid w:val="00DE76CF"/>
    <w:rsid w:val="00DE7800"/>
    <w:rsid w:val="00DF008A"/>
    <w:rsid w:val="00DF2FB3"/>
    <w:rsid w:val="00DF4E57"/>
    <w:rsid w:val="00DF5244"/>
    <w:rsid w:val="00DF5725"/>
    <w:rsid w:val="00DF573A"/>
    <w:rsid w:val="00DF626A"/>
    <w:rsid w:val="00DF664D"/>
    <w:rsid w:val="00DF75AE"/>
    <w:rsid w:val="00DF77FE"/>
    <w:rsid w:val="00DF7A26"/>
    <w:rsid w:val="00DF7B70"/>
    <w:rsid w:val="00E006E6"/>
    <w:rsid w:val="00E00859"/>
    <w:rsid w:val="00E01ABE"/>
    <w:rsid w:val="00E01C24"/>
    <w:rsid w:val="00E0297D"/>
    <w:rsid w:val="00E046F5"/>
    <w:rsid w:val="00E0515C"/>
    <w:rsid w:val="00E05516"/>
    <w:rsid w:val="00E06281"/>
    <w:rsid w:val="00E06F47"/>
    <w:rsid w:val="00E0738E"/>
    <w:rsid w:val="00E0785C"/>
    <w:rsid w:val="00E10299"/>
    <w:rsid w:val="00E10668"/>
    <w:rsid w:val="00E108BC"/>
    <w:rsid w:val="00E10BBC"/>
    <w:rsid w:val="00E12988"/>
    <w:rsid w:val="00E135AD"/>
    <w:rsid w:val="00E13B05"/>
    <w:rsid w:val="00E14B3B"/>
    <w:rsid w:val="00E1544D"/>
    <w:rsid w:val="00E1560E"/>
    <w:rsid w:val="00E17908"/>
    <w:rsid w:val="00E17C7C"/>
    <w:rsid w:val="00E20D80"/>
    <w:rsid w:val="00E215A8"/>
    <w:rsid w:val="00E215D7"/>
    <w:rsid w:val="00E2177D"/>
    <w:rsid w:val="00E21EDF"/>
    <w:rsid w:val="00E2236B"/>
    <w:rsid w:val="00E22756"/>
    <w:rsid w:val="00E2441A"/>
    <w:rsid w:val="00E24676"/>
    <w:rsid w:val="00E24A92"/>
    <w:rsid w:val="00E25107"/>
    <w:rsid w:val="00E25BD5"/>
    <w:rsid w:val="00E269FF"/>
    <w:rsid w:val="00E270D5"/>
    <w:rsid w:val="00E272A1"/>
    <w:rsid w:val="00E27DE1"/>
    <w:rsid w:val="00E30299"/>
    <w:rsid w:val="00E30895"/>
    <w:rsid w:val="00E32589"/>
    <w:rsid w:val="00E32604"/>
    <w:rsid w:val="00E32E17"/>
    <w:rsid w:val="00E34253"/>
    <w:rsid w:val="00E351A0"/>
    <w:rsid w:val="00E351B8"/>
    <w:rsid w:val="00E35B94"/>
    <w:rsid w:val="00E36313"/>
    <w:rsid w:val="00E36AC4"/>
    <w:rsid w:val="00E37BE0"/>
    <w:rsid w:val="00E40641"/>
    <w:rsid w:val="00E412F8"/>
    <w:rsid w:val="00E4295E"/>
    <w:rsid w:val="00E42ADF"/>
    <w:rsid w:val="00E43A0D"/>
    <w:rsid w:val="00E43D56"/>
    <w:rsid w:val="00E440BA"/>
    <w:rsid w:val="00E443FF"/>
    <w:rsid w:val="00E44A51"/>
    <w:rsid w:val="00E44F8E"/>
    <w:rsid w:val="00E45531"/>
    <w:rsid w:val="00E45F4E"/>
    <w:rsid w:val="00E469C3"/>
    <w:rsid w:val="00E474AD"/>
    <w:rsid w:val="00E50571"/>
    <w:rsid w:val="00E52C20"/>
    <w:rsid w:val="00E52CBD"/>
    <w:rsid w:val="00E538A7"/>
    <w:rsid w:val="00E53A34"/>
    <w:rsid w:val="00E55BB5"/>
    <w:rsid w:val="00E56819"/>
    <w:rsid w:val="00E56F1E"/>
    <w:rsid w:val="00E57981"/>
    <w:rsid w:val="00E57A34"/>
    <w:rsid w:val="00E57BD5"/>
    <w:rsid w:val="00E57C02"/>
    <w:rsid w:val="00E57D27"/>
    <w:rsid w:val="00E61323"/>
    <w:rsid w:val="00E61438"/>
    <w:rsid w:val="00E61F69"/>
    <w:rsid w:val="00E61FEB"/>
    <w:rsid w:val="00E6207D"/>
    <w:rsid w:val="00E63BD8"/>
    <w:rsid w:val="00E63EE9"/>
    <w:rsid w:val="00E64627"/>
    <w:rsid w:val="00E64872"/>
    <w:rsid w:val="00E70164"/>
    <w:rsid w:val="00E7073B"/>
    <w:rsid w:val="00E7124E"/>
    <w:rsid w:val="00E71B0C"/>
    <w:rsid w:val="00E71FA0"/>
    <w:rsid w:val="00E724C5"/>
    <w:rsid w:val="00E744EC"/>
    <w:rsid w:val="00E74C46"/>
    <w:rsid w:val="00E74CE5"/>
    <w:rsid w:val="00E75D7C"/>
    <w:rsid w:val="00E772C3"/>
    <w:rsid w:val="00E7734B"/>
    <w:rsid w:val="00E773DC"/>
    <w:rsid w:val="00E80012"/>
    <w:rsid w:val="00E803EA"/>
    <w:rsid w:val="00E805DE"/>
    <w:rsid w:val="00E808AF"/>
    <w:rsid w:val="00E8175A"/>
    <w:rsid w:val="00E82079"/>
    <w:rsid w:val="00E8262D"/>
    <w:rsid w:val="00E82652"/>
    <w:rsid w:val="00E82D7F"/>
    <w:rsid w:val="00E830B7"/>
    <w:rsid w:val="00E83354"/>
    <w:rsid w:val="00E84752"/>
    <w:rsid w:val="00E857C1"/>
    <w:rsid w:val="00E85C3E"/>
    <w:rsid w:val="00E86110"/>
    <w:rsid w:val="00E9042A"/>
    <w:rsid w:val="00E90F82"/>
    <w:rsid w:val="00E9141D"/>
    <w:rsid w:val="00E91DA1"/>
    <w:rsid w:val="00E92ABD"/>
    <w:rsid w:val="00E9349A"/>
    <w:rsid w:val="00E93D54"/>
    <w:rsid w:val="00E93E77"/>
    <w:rsid w:val="00E93EDB"/>
    <w:rsid w:val="00E94214"/>
    <w:rsid w:val="00E94ABA"/>
    <w:rsid w:val="00E95A82"/>
    <w:rsid w:val="00E95E68"/>
    <w:rsid w:val="00E96A00"/>
    <w:rsid w:val="00E96B90"/>
    <w:rsid w:val="00E9700C"/>
    <w:rsid w:val="00E97BE4"/>
    <w:rsid w:val="00EA02B6"/>
    <w:rsid w:val="00EA048F"/>
    <w:rsid w:val="00EA07E1"/>
    <w:rsid w:val="00EA08B8"/>
    <w:rsid w:val="00EA0AD2"/>
    <w:rsid w:val="00EA0C0B"/>
    <w:rsid w:val="00EA0C8F"/>
    <w:rsid w:val="00EA3608"/>
    <w:rsid w:val="00EA444C"/>
    <w:rsid w:val="00EA4BC2"/>
    <w:rsid w:val="00EA7BD8"/>
    <w:rsid w:val="00EB1618"/>
    <w:rsid w:val="00EB2078"/>
    <w:rsid w:val="00EB279C"/>
    <w:rsid w:val="00EB2A6F"/>
    <w:rsid w:val="00EB2C90"/>
    <w:rsid w:val="00EB3BB1"/>
    <w:rsid w:val="00EB3C41"/>
    <w:rsid w:val="00EB40B0"/>
    <w:rsid w:val="00EB4557"/>
    <w:rsid w:val="00EB4C3B"/>
    <w:rsid w:val="00EB4DD1"/>
    <w:rsid w:val="00EB6BDC"/>
    <w:rsid w:val="00EB77FF"/>
    <w:rsid w:val="00EB78EE"/>
    <w:rsid w:val="00EB7A51"/>
    <w:rsid w:val="00EC039E"/>
    <w:rsid w:val="00EC1633"/>
    <w:rsid w:val="00EC2E14"/>
    <w:rsid w:val="00EC2E64"/>
    <w:rsid w:val="00EC3844"/>
    <w:rsid w:val="00EC3D66"/>
    <w:rsid w:val="00EC42E0"/>
    <w:rsid w:val="00EC4CDD"/>
    <w:rsid w:val="00EC525D"/>
    <w:rsid w:val="00EC5A68"/>
    <w:rsid w:val="00EC5E58"/>
    <w:rsid w:val="00EC7515"/>
    <w:rsid w:val="00EC78AC"/>
    <w:rsid w:val="00EC7A7F"/>
    <w:rsid w:val="00EC7B7D"/>
    <w:rsid w:val="00ED06CD"/>
    <w:rsid w:val="00ED076A"/>
    <w:rsid w:val="00ED077B"/>
    <w:rsid w:val="00ED0B5F"/>
    <w:rsid w:val="00ED225F"/>
    <w:rsid w:val="00ED238C"/>
    <w:rsid w:val="00ED2A93"/>
    <w:rsid w:val="00ED3CE2"/>
    <w:rsid w:val="00ED5BFC"/>
    <w:rsid w:val="00ED5F25"/>
    <w:rsid w:val="00ED674A"/>
    <w:rsid w:val="00ED67D0"/>
    <w:rsid w:val="00ED76EF"/>
    <w:rsid w:val="00EE3C2E"/>
    <w:rsid w:val="00EE43FB"/>
    <w:rsid w:val="00EE4E1E"/>
    <w:rsid w:val="00EE52E7"/>
    <w:rsid w:val="00EE57DC"/>
    <w:rsid w:val="00EE5872"/>
    <w:rsid w:val="00EE5A0E"/>
    <w:rsid w:val="00EE6E81"/>
    <w:rsid w:val="00EE7F37"/>
    <w:rsid w:val="00EF129C"/>
    <w:rsid w:val="00EF1464"/>
    <w:rsid w:val="00EF224B"/>
    <w:rsid w:val="00EF32F7"/>
    <w:rsid w:val="00EF3B7F"/>
    <w:rsid w:val="00EF40BE"/>
    <w:rsid w:val="00EF49E1"/>
    <w:rsid w:val="00EF53C0"/>
    <w:rsid w:val="00EF5792"/>
    <w:rsid w:val="00EF59AB"/>
    <w:rsid w:val="00EF641F"/>
    <w:rsid w:val="00EF6871"/>
    <w:rsid w:val="00EF6BF4"/>
    <w:rsid w:val="00F0070A"/>
    <w:rsid w:val="00F00746"/>
    <w:rsid w:val="00F015BA"/>
    <w:rsid w:val="00F025BD"/>
    <w:rsid w:val="00F0293D"/>
    <w:rsid w:val="00F02F97"/>
    <w:rsid w:val="00F03080"/>
    <w:rsid w:val="00F03E06"/>
    <w:rsid w:val="00F051AE"/>
    <w:rsid w:val="00F05658"/>
    <w:rsid w:val="00F0627E"/>
    <w:rsid w:val="00F068AE"/>
    <w:rsid w:val="00F06D31"/>
    <w:rsid w:val="00F10FC1"/>
    <w:rsid w:val="00F11F26"/>
    <w:rsid w:val="00F12992"/>
    <w:rsid w:val="00F1470E"/>
    <w:rsid w:val="00F176F6"/>
    <w:rsid w:val="00F17AF7"/>
    <w:rsid w:val="00F20003"/>
    <w:rsid w:val="00F20289"/>
    <w:rsid w:val="00F20F7B"/>
    <w:rsid w:val="00F211D9"/>
    <w:rsid w:val="00F21FED"/>
    <w:rsid w:val="00F23A01"/>
    <w:rsid w:val="00F23ED4"/>
    <w:rsid w:val="00F243E2"/>
    <w:rsid w:val="00F24671"/>
    <w:rsid w:val="00F2492C"/>
    <w:rsid w:val="00F24F69"/>
    <w:rsid w:val="00F25C52"/>
    <w:rsid w:val="00F26B9B"/>
    <w:rsid w:val="00F31CF8"/>
    <w:rsid w:val="00F31F6B"/>
    <w:rsid w:val="00F31FCE"/>
    <w:rsid w:val="00F3258A"/>
    <w:rsid w:val="00F325BF"/>
    <w:rsid w:val="00F3405B"/>
    <w:rsid w:val="00F349B7"/>
    <w:rsid w:val="00F34F89"/>
    <w:rsid w:val="00F35309"/>
    <w:rsid w:val="00F3533E"/>
    <w:rsid w:val="00F3568C"/>
    <w:rsid w:val="00F36FF5"/>
    <w:rsid w:val="00F37209"/>
    <w:rsid w:val="00F37E5A"/>
    <w:rsid w:val="00F404FB"/>
    <w:rsid w:val="00F40BFA"/>
    <w:rsid w:val="00F428CF"/>
    <w:rsid w:val="00F431D0"/>
    <w:rsid w:val="00F440BA"/>
    <w:rsid w:val="00F44641"/>
    <w:rsid w:val="00F44ED7"/>
    <w:rsid w:val="00F4652C"/>
    <w:rsid w:val="00F471CD"/>
    <w:rsid w:val="00F47450"/>
    <w:rsid w:val="00F47CDE"/>
    <w:rsid w:val="00F47EDE"/>
    <w:rsid w:val="00F47F20"/>
    <w:rsid w:val="00F52179"/>
    <w:rsid w:val="00F559DD"/>
    <w:rsid w:val="00F56596"/>
    <w:rsid w:val="00F5729F"/>
    <w:rsid w:val="00F57964"/>
    <w:rsid w:val="00F601B8"/>
    <w:rsid w:val="00F60681"/>
    <w:rsid w:val="00F606B7"/>
    <w:rsid w:val="00F6083D"/>
    <w:rsid w:val="00F60DC7"/>
    <w:rsid w:val="00F60E42"/>
    <w:rsid w:val="00F613B7"/>
    <w:rsid w:val="00F621B5"/>
    <w:rsid w:val="00F62832"/>
    <w:rsid w:val="00F63615"/>
    <w:rsid w:val="00F63EFE"/>
    <w:rsid w:val="00F64A62"/>
    <w:rsid w:val="00F64DC5"/>
    <w:rsid w:val="00F656DC"/>
    <w:rsid w:val="00F675A3"/>
    <w:rsid w:val="00F70080"/>
    <w:rsid w:val="00F71055"/>
    <w:rsid w:val="00F721DB"/>
    <w:rsid w:val="00F72E2D"/>
    <w:rsid w:val="00F74E9B"/>
    <w:rsid w:val="00F752BC"/>
    <w:rsid w:val="00F757B6"/>
    <w:rsid w:val="00F761D8"/>
    <w:rsid w:val="00F769DB"/>
    <w:rsid w:val="00F76B31"/>
    <w:rsid w:val="00F7719D"/>
    <w:rsid w:val="00F77386"/>
    <w:rsid w:val="00F8211A"/>
    <w:rsid w:val="00F828EC"/>
    <w:rsid w:val="00F83E8B"/>
    <w:rsid w:val="00F841EC"/>
    <w:rsid w:val="00F84987"/>
    <w:rsid w:val="00F84CB3"/>
    <w:rsid w:val="00F85C70"/>
    <w:rsid w:val="00F85D8A"/>
    <w:rsid w:val="00F87CAE"/>
    <w:rsid w:val="00F9056F"/>
    <w:rsid w:val="00F90A32"/>
    <w:rsid w:val="00F90D90"/>
    <w:rsid w:val="00F92236"/>
    <w:rsid w:val="00F92817"/>
    <w:rsid w:val="00F92C2E"/>
    <w:rsid w:val="00F94193"/>
    <w:rsid w:val="00F94286"/>
    <w:rsid w:val="00F94A0A"/>
    <w:rsid w:val="00F95BD4"/>
    <w:rsid w:val="00F96430"/>
    <w:rsid w:val="00F96D40"/>
    <w:rsid w:val="00F97DF3"/>
    <w:rsid w:val="00F97F6A"/>
    <w:rsid w:val="00FA075B"/>
    <w:rsid w:val="00FA0E4F"/>
    <w:rsid w:val="00FA10A3"/>
    <w:rsid w:val="00FA1590"/>
    <w:rsid w:val="00FA15A7"/>
    <w:rsid w:val="00FA1AF9"/>
    <w:rsid w:val="00FA33A7"/>
    <w:rsid w:val="00FA396E"/>
    <w:rsid w:val="00FA3A12"/>
    <w:rsid w:val="00FA4385"/>
    <w:rsid w:val="00FA4465"/>
    <w:rsid w:val="00FA47ED"/>
    <w:rsid w:val="00FA5C44"/>
    <w:rsid w:val="00FA6130"/>
    <w:rsid w:val="00FB10B1"/>
    <w:rsid w:val="00FB16DB"/>
    <w:rsid w:val="00FB2510"/>
    <w:rsid w:val="00FB26D8"/>
    <w:rsid w:val="00FB3A1C"/>
    <w:rsid w:val="00FB3F73"/>
    <w:rsid w:val="00FB455A"/>
    <w:rsid w:val="00FB5609"/>
    <w:rsid w:val="00FB6A78"/>
    <w:rsid w:val="00FB6F58"/>
    <w:rsid w:val="00FB731A"/>
    <w:rsid w:val="00FB73B7"/>
    <w:rsid w:val="00FB74D0"/>
    <w:rsid w:val="00FC0476"/>
    <w:rsid w:val="00FC0960"/>
    <w:rsid w:val="00FC0B12"/>
    <w:rsid w:val="00FC122E"/>
    <w:rsid w:val="00FC1508"/>
    <w:rsid w:val="00FC15E5"/>
    <w:rsid w:val="00FC1A58"/>
    <w:rsid w:val="00FC1ABA"/>
    <w:rsid w:val="00FC1C72"/>
    <w:rsid w:val="00FC2065"/>
    <w:rsid w:val="00FC445E"/>
    <w:rsid w:val="00FC44B6"/>
    <w:rsid w:val="00FC580E"/>
    <w:rsid w:val="00FC61C7"/>
    <w:rsid w:val="00FC6895"/>
    <w:rsid w:val="00FC6A66"/>
    <w:rsid w:val="00FC6D0D"/>
    <w:rsid w:val="00FC7AE1"/>
    <w:rsid w:val="00FD1208"/>
    <w:rsid w:val="00FD1E25"/>
    <w:rsid w:val="00FD2528"/>
    <w:rsid w:val="00FD292D"/>
    <w:rsid w:val="00FD2EE8"/>
    <w:rsid w:val="00FD3AD5"/>
    <w:rsid w:val="00FD3F9A"/>
    <w:rsid w:val="00FD5E27"/>
    <w:rsid w:val="00FD6D26"/>
    <w:rsid w:val="00FD6D43"/>
    <w:rsid w:val="00FD6E8E"/>
    <w:rsid w:val="00FD7265"/>
    <w:rsid w:val="00FD7440"/>
    <w:rsid w:val="00FD74A5"/>
    <w:rsid w:val="00FD7519"/>
    <w:rsid w:val="00FD7769"/>
    <w:rsid w:val="00FD7B17"/>
    <w:rsid w:val="00FD7C43"/>
    <w:rsid w:val="00FE02A7"/>
    <w:rsid w:val="00FE1383"/>
    <w:rsid w:val="00FE1736"/>
    <w:rsid w:val="00FE1770"/>
    <w:rsid w:val="00FE19D2"/>
    <w:rsid w:val="00FE2BCC"/>
    <w:rsid w:val="00FE3D1A"/>
    <w:rsid w:val="00FE4932"/>
    <w:rsid w:val="00FE4EEF"/>
    <w:rsid w:val="00FE5529"/>
    <w:rsid w:val="00FE5A4A"/>
    <w:rsid w:val="00FE6745"/>
    <w:rsid w:val="00FE707B"/>
    <w:rsid w:val="00FF0C14"/>
    <w:rsid w:val="00FF14BB"/>
    <w:rsid w:val="00FF1AFF"/>
    <w:rsid w:val="00FF32E9"/>
    <w:rsid w:val="00FF3CD6"/>
    <w:rsid w:val="00FF3F94"/>
    <w:rsid w:val="00FF40B1"/>
    <w:rsid w:val="00FF58EF"/>
    <w:rsid w:val="00FF59A5"/>
    <w:rsid w:val="00FF6103"/>
    <w:rsid w:val="00FF6AD3"/>
    <w:rsid w:val="00FF73F2"/>
    <w:rsid w:val="00FF7BF4"/>
    <w:rsid w:val="00FF7F9A"/>
    <w:rsid w:val="0124683C"/>
    <w:rsid w:val="0125646A"/>
    <w:rsid w:val="017738AF"/>
    <w:rsid w:val="01FC6752"/>
    <w:rsid w:val="01FD4469"/>
    <w:rsid w:val="02683825"/>
    <w:rsid w:val="027D0F8C"/>
    <w:rsid w:val="02C92414"/>
    <w:rsid w:val="02DB0AE4"/>
    <w:rsid w:val="02FF0750"/>
    <w:rsid w:val="030719AC"/>
    <w:rsid w:val="03373037"/>
    <w:rsid w:val="037D4849"/>
    <w:rsid w:val="038D0D6B"/>
    <w:rsid w:val="03D62017"/>
    <w:rsid w:val="03D8291E"/>
    <w:rsid w:val="040D00EE"/>
    <w:rsid w:val="0435334E"/>
    <w:rsid w:val="049820AD"/>
    <w:rsid w:val="04FA6940"/>
    <w:rsid w:val="05026CE4"/>
    <w:rsid w:val="054364BD"/>
    <w:rsid w:val="05B9052D"/>
    <w:rsid w:val="05CE27EA"/>
    <w:rsid w:val="069F7723"/>
    <w:rsid w:val="06FB026C"/>
    <w:rsid w:val="074107DA"/>
    <w:rsid w:val="075E65F7"/>
    <w:rsid w:val="07F66669"/>
    <w:rsid w:val="0858402D"/>
    <w:rsid w:val="08E616F2"/>
    <w:rsid w:val="0957288F"/>
    <w:rsid w:val="09A84B40"/>
    <w:rsid w:val="0AA5714F"/>
    <w:rsid w:val="0AB4341D"/>
    <w:rsid w:val="0B1E7981"/>
    <w:rsid w:val="0B6D4ED9"/>
    <w:rsid w:val="0BAA5B77"/>
    <w:rsid w:val="0BB23563"/>
    <w:rsid w:val="0BB6484B"/>
    <w:rsid w:val="0C887FEA"/>
    <w:rsid w:val="0C9F7DC2"/>
    <w:rsid w:val="0D5A426D"/>
    <w:rsid w:val="0DED4090"/>
    <w:rsid w:val="0E1F739B"/>
    <w:rsid w:val="0E3F272E"/>
    <w:rsid w:val="0E83792A"/>
    <w:rsid w:val="0EAB7F23"/>
    <w:rsid w:val="0EC07C41"/>
    <w:rsid w:val="0F1130C0"/>
    <w:rsid w:val="0F514856"/>
    <w:rsid w:val="0FAB4284"/>
    <w:rsid w:val="0FCE21B1"/>
    <w:rsid w:val="1080398B"/>
    <w:rsid w:val="10A477ED"/>
    <w:rsid w:val="10A75CE3"/>
    <w:rsid w:val="10E02E12"/>
    <w:rsid w:val="111D0683"/>
    <w:rsid w:val="11F56B6F"/>
    <w:rsid w:val="123F43C4"/>
    <w:rsid w:val="125E52CB"/>
    <w:rsid w:val="127203E1"/>
    <w:rsid w:val="127B44F5"/>
    <w:rsid w:val="12DF17F8"/>
    <w:rsid w:val="12F86B39"/>
    <w:rsid w:val="130C6ECC"/>
    <w:rsid w:val="135062A3"/>
    <w:rsid w:val="13B74696"/>
    <w:rsid w:val="13B94F2E"/>
    <w:rsid w:val="13D11138"/>
    <w:rsid w:val="14363F8E"/>
    <w:rsid w:val="153118E1"/>
    <w:rsid w:val="154F0566"/>
    <w:rsid w:val="15693843"/>
    <w:rsid w:val="167C5FEE"/>
    <w:rsid w:val="168A3971"/>
    <w:rsid w:val="17833434"/>
    <w:rsid w:val="17895945"/>
    <w:rsid w:val="17AC7EF2"/>
    <w:rsid w:val="18025199"/>
    <w:rsid w:val="1838462F"/>
    <w:rsid w:val="196056EA"/>
    <w:rsid w:val="1974516C"/>
    <w:rsid w:val="19784798"/>
    <w:rsid w:val="19B3285C"/>
    <w:rsid w:val="19C71013"/>
    <w:rsid w:val="1A1934E5"/>
    <w:rsid w:val="1A227F1E"/>
    <w:rsid w:val="1A23669C"/>
    <w:rsid w:val="1A84066E"/>
    <w:rsid w:val="1AB74EEC"/>
    <w:rsid w:val="1AE71067"/>
    <w:rsid w:val="1B746F78"/>
    <w:rsid w:val="1BDD2ABA"/>
    <w:rsid w:val="1C784846"/>
    <w:rsid w:val="1CF163A7"/>
    <w:rsid w:val="1D4D13CE"/>
    <w:rsid w:val="1D931D3A"/>
    <w:rsid w:val="1DBA69BC"/>
    <w:rsid w:val="1E0D6DAC"/>
    <w:rsid w:val="1EC71AB5"/>
    <w:rsid w:val="1EEE4510"/>
    <w:rsid w:val="1F4145DE"/>
    <w:rsid w:val="1F481D86"/>
    <w:rsid w:val="1F550295"/>
    <w:rsid w:val="1F980D5B"/>
    <w:rsid w:val="1FDF698A"/>
    <w:rsid w:val="20766D73"/>
    <w:rsid w:val="20CA314D"/>
    <w:rsid w:val="20CD1D42"/>
    <w:rsid w:val="20EC5803"/>
    <w:rsid w:val="20F040BD"/>
    <w:rsid w:val="21134B3E"/>
    <w:rsid w:val="220152DE"/>
    <w:rsid w:val="220A2750"/>
    <w:rsid w:val="224B0307"/>
    <w:rsid w:val="22567656"/>
    <w:rsid w:val="2264521C"/>
    <w:rsid w:val="22872406"/>
    <w:rsid w:val="22DD50E3"/>
    <w:rsid w:val="230727E6"/>
    <w:rsid w:val="232F19D7"/>
    <w:rsid w:val="239A00BA"/>
    <w:rsid w:val="23AC7F3C"/>
    <w:rsid w:val="23CA7E50"/>
    <w:rsid w:val="23D135AE"/>
    <w:rsid w:val="23E24451"/>
    <w:rsid w:val="24333D63"/>
    <w:rsid w:val="26240AF9"/>
    <w:rsid w:val="26797B39"/>
    <w:rsid w:val="26AA4B36"/>
    <w:rsid w:val="27670D48"/>
    <w:rsid w:val="27BD5803"/>
    <w:rsid w:val="285C6759"/>
    <w:rsid w:val="28666BA9"/>
    <w:rsid w:val="28BC5BA0"/>
    <w:rsid w:val="28E004DD"/>
    <w:rsid w:val="28E35212"/>
    <w:rsid w:val="29585436"/>
    <w:rsid w:val="29D64EA3"/>
    <w:rsid w:val="29E62B97"/>
    <w:rsid w:val="2A047D12"/>
    <w:rsid w:val="2A186CEF"/>
    <w:rsid w:val="2A4F6F0B"/>
    <w:rsid w:val="2A56595E"/>
    <w:rsid w:val="2AE71DF0"/>
    <w:rsid w:val="2B622BC3"/>
    <w:rsid w:val="2BB05D69"/>
    <w:rsid w:val="2BDB26FC"/>
    <w:rsid w:val="2BE041B6"/>
    <w:rsid w:val="2BE45A54"/>
    <w:rsid w:val="2CA36425"/>
    <w:rsid w:val="2D0B5F28"/>
    <w:rsid w:val="2D1E6D44"/>
    <w:rsid w:val="2D3314AF"/>
    <w:rsid w:val="2E2959A0"/>
    <w:rsid w:val="2E933762"/>
    <w:rsid w:val="2E956743"/>
    <w:rsid w:val="2E9F7664"/>
    <w:rsid w:val="2EC954AE"/>
    <w:rsid w:val="2EF57F78"/>
    <w:rsid w:val="2F104DB2"/>
    <w:rsid w:val="2F902146"/>
    <w:rsid w:val="2F925982"/>
    <w:rsid w:val="30DB728D"/>
    <w:rsid w:val="30E20088"/>
    <w:rsid w:val="30EA47D4"/>
    <w:rsid w:val="30EF709E"/>
    <w:rsid w:val="312F6A43"/>
    <w:rsid w:val="313827D7"/>
    <w:rsid w:val="3143321D"/>
    <w:rsid w:val="315D5DB5"/>
    <w:rsid w:val="31D73965"/>
    <w:rsid w:val="323C5459"/>
    <w:rsid w:val="32D16607"/>
    <w:rsid w:val="33424C94"/>
    <w:rsid w:val="334F0940"/>
    <w:rsid w:val="33796518"/>
    <w:rsid w:val="33E9752E"/>
    <w:rsid w:val="33FA19A5"/>
    <w:rsid w:val="34316D0C"/>
    <w:rsid w:val="34CF1EBA"/>
    <w:rsid w:val="353008D5"/>
    <w:rsid w:val="35A869C4"/>
    <w:rsid w:val="35B93610"/>
    <w:rsid w:val="3643061A"/>
    <w:rsid w:val="364A3FA5"/>
    <w:rsid w:val="36872495"/>
    <w:rsid w:val="36F15A3F"/>
    <w:rsid w:val="36F51770"/>
    <w:rsid w:val="37FC71BF"/>
    <w:rsid w:val="38706120"/>
    <w:rsid w:val="38881A8D"/>
    <w:rsid w:val="39F72DF7"/>
    <w:rsid w:val="3B5D2FC4"/>
    <w:rsid w:val="3BA4741A"/>
    <w:rsid w:val="3C9F23E8"/>
    <w:rsid w:val="3CF12B26"/>
    <w:rsid w:val="3D0E79E1"/>
    <w:rsid w:val="3D7A1E60"/>
    <w:rsid w:val="3D7E7D22"/>
    <w:rsid w:val="3DD5344F"/>
    <w:rsid w:val="3E233019"/>
    <w:rsid w:val="3E447F1F"/>
    <w:rsid w:val="3E68368B"/>
    <w:rsid w:val="3ECD64A2"/>
    <w:rsid w:val="3F012022"/>
    <w:rsid w:val="3F1838D2"/>
    <w:rsid w:val="3F1925D1"/>
    <w:rsid w:val="3FC27486"/>
    <w:rsid w:val="40275AB8"/>
    <w:rsid w:val="40866EAC"/>
    <w:rsid w:val="40CC5EF5"/>
    <w:rsid w:val="41684D90"/>
    <w:rsid w:val="41A72ADD"/>
    <w:rsid w:val="42926FD8"/>
    <w:rsid w:val="42B05C5D"/>
    <w:rsid w:val="42FB3663"/>
    <w:rsid w:val="43125A96"/>
    <w:rsid w:val="43186CF5"/>
    <w:rsid w:val="435839D2"/>
    <w:rsid w:val="440E5F07"/>
    <w:rsid w:val="44330ECF"/>
    <w:rsid w:val="443F5AC6"/>
    <w:rsid w:val="44871A95"/>
    <w:rsid w:val="44BF2763"/>
    <w:rsid w:val="44C10289"/>
    <w:rsid w:val="44E37FCE"/>
    <w:rsid w:val="45232265"/>
    <w:rsid w:val="4535184A"/>
    <w:rsid w:val="45383140"/>
    <w:rsid w:val="458616E3"/>
    <w:rsid w:val="45AB7FB1"/>
    <w:rsid w:val="45D86360"/>
    <w:rsid w:val="45FB56D9"/>
    <w:rsid w:val="461A01D0"/>
    <w:rsid w:val="46C55F82"/>
    <w:rsid w:val="47222314"/>
    <w:rsid w:val="47796812"/>
    <w:rsid w:val="48124F71"/>
    <w:rsid w:val="48AE4FC8"/>
    <w:rsid w:val="48C95DC7"/>
    <w:rsid w:val="48F40E29"/>
    <w:rsid w:val="49415E3C"/>
    <w:rsid w:val="49430CDD"/>
    <w:rsid w:val="49543DC1"/>
    <w:rsid w:val="49C4115E"/>
    <w:rsid w:val="4A3272AE"/>
    <w:rsid w:val="4A673681"/>
    <w:rsid w:val="4B1C1647"/>
    <w:rsid w:val="4B1D432D"/>
    <w:rsid w:val="4B4B73DD"/>
    <w:rsid w:val="4BB260DE"/>
    <w:rsid w:val="4C3B0AE9"/>
    <w:rsid w:val="4C5B236A"/>
    <w:rsid w:val="4C63431C"/>
    <w:rsid w:val="4C64045E"/>
    <w:rsid w:val="4CD6689C"/>
    <w:rsid w:val="4CE60E9A"/>
    <w:rsid w:val="4DB0533F"/>
    <w:rsid w:val="4DB820D9"/>
    <w:rsid w:val="4E307F8B"/>
    <w:rsid w:val="4E38162C"/>
    <w:rsid w:val="4EB0594F"/>
    <w:rsid w:val="4EBA59CB"/>
    <w:rsid w:val="4F2E120E"/>
    <w:rsid w:val="4F9231DA"/>
    <w:rsid w:val="4F9D18F3"/>
    <w:rsid w:val="4FD62D63"/>
    <w:rsid w:val="4FFD31F9"/>
    <w:rsid w:val="500362DF"/>
    <w:rsid w:val="50421F61"/>
    <w:rsid w:val="50536C11"/>
    <w:rsid w:val="50577E57"/>
    <w:rsid w:val="506F72BD"/>
    <w:rsid w:val="508B5BEF"/>
    <w:rsid w:val="51181B78"/>
    <w:rsid w:val="51821EAD"/>
    <w:rsid w:val="51935BB5"/>
    <w:rsid w:val="51C72AFE"/>
    <w:rsid w:val="527D649D"/>
    <w:rsid w:val="52DA24BF"/>
    <w:rsid w:val="5310285D"/>
    <w:rsid w:val="53230361"/>
    <w:rsid w:val="5334770E"/>
    <w:rsid w:val="541E7891"/>
    <w:rsid w:val="54295F2E"/>
    <w:rsid w:val="54AC7A3E"/>
    <w:rsid w:val="54B72B11"/>
    <w:rsid w:val="55020B76"/>
    <w:rsid w:val="553E1482"/>
    <w:rsid w:val="55C148A9"/>
    <w:rsid w:val="55E92AFF"/>
    <w:rsid w:val="563B1615"/>
    <w:rsid w:val="5688106B"/>
    <w:rsid w:val="56D05B1A"/>
    <w:rsid w:val="5721105B"/>
    <w:rsid w:val="5854400C"/>
    <w:rsid w:val="58893182"/>
    <w:rsid w:val="593F3A1A"/>
    <w:rsid w:val="59756D76"/>
    <w:rsid w:val="59FE4105"/>
    <w:rsid w:val="5A495263"/>
    <w:rsid w:val="5AAD1AE8"/>
    <w:rsid w:val="5B8A2B56"/>
    <w:rsid w:val="5BE10DB9"/>
    <w:rsid w:val="5C773E66"/>
    <w:rsid w:val="5D4D4FBA"/>
    <w:rsid w:val="5D8154CF"/>
    <w:rsid w:val="5D9923EC"/>
    <w:rsid w:val="5DCF111D"/>
    <w:rsid w:val="5DDD21F2"/>
    <w:rsid w:val="5E141AFE"/>
    <w:rsid w:val="5E4B07EF"/>
    <w:rsid w:val="5E5B3BCE"/>
    <w:rsid w:val="5E7E13F0"/>
    <w:rsid w:val="5EDB2372"/>
    <w:rsid w:val="5F3D27AA"/>
    <w:rsid w:val="5F473E49"/>
    <w:rsid w:val="5F763674"/>
    <w:rsid w:val="5F82503C"/>
    <w:rsid w:val="5F9D3BEB"/>
    <w:rsid w:val="5FC70EB1"/>
    <w:rsid w:val="5FD77B34"/>
    <w:rsid w:val="5FE01F7F"/>
    <w:rsid w:val="5FE1430F"/>
    <w:rsid w:val="601E0A8A"/>
    <w:rsid w:val="609B3C2C"/>
    <w:rsid w:val="609E39CD"/>
    <w:rsid w:val="60E70C20"/>
    <w:rsid w:val="60EE1E17"/>
    <w:rsid w:val="61E77A74"/>
    <w:rsid w:val="623358B0"/>
    <w:rsid w:val="623D4573"/>
    <w:rsid w:val="636F08D1"/>
    <w:rsid w:val="63977D34"/>
    <w:rsid w:val="63F43506"/>
    <w:rsid w:val="64146173"/>
    <w:rsid w:val="647554C3"/>
    <w:rsid w:val="64D8378B"/>
    <w:rsid w:val="650B1656"/>
    <w:rsid w:val="65267312"/>
    <w:rsid w:val="653A1489"/>
    <w:rsid w:val="65D2640D"/>
    <w:rsid w:val="66102A2C"/>
    <w:rsid w:val="66715E2F"/>
    <w:rsid w:val="669041DD"/>
    <w:rsid w:val="66A75FC4"/>
    <w:rsid w:val="66E520A5"/>
    <w:rsid w:val="67915D89"/>
    <w:rsid w:val="686B6F60"/>
    <w:rsid w:val="686F4240"/>
    <w:rsid w:val="69365A50"/>
    <w:rsid w:val="69690360"/>
    <w:rsid w:val="69FE1723"/>
    <w:rsid w:val="6A3271A6"/>
    <w:rsid w:val="6A9C057A"/>
    <w:rsid w:val="6ABB339F"/>
    <w:rsid w:val="6B573D7E"/>
    <w:rsid w:val="6BBA3D96"/>
    <w:rsid w:val="6C2D26D8"/>
    <w:rsid w:val="6C5E0930"/>
    <w:rsid w:val="6C7A2348"/>
    <w:rsid w:val="6C9E4692"/>
    <w:rsid w:val="6CC87B57"/>
    <w:rsid w:val="6D204668"/>
    <w:rsid w:val="6D2E0FD0"/>
    <w:rsid w:val="6D336AB4"/>
    <w:rsid w:val="6D841522"/>
    <w:rsid w:val="6DA92024"/>
    <w:rsid w:val="6DE42B74"/>
    <w:rsid w:val="6E311D8F"/>
    <w:rsid w:val="6F013B3F"/>
    <w:rsid w:val="6F581EB7"/>
    <w:rsid w:val="6F585FB4"/>
    <w:rsid w:val="6FAC2509"/>
    <w:rsid w:val="6FB25D0A"/>
    <w:rsid w:val="6FE548EA"/>
    <w:rsid w:val="70453BB5"/>
    <w:rsid w:val="7148395C"/>
    <w:rsid w:val="715167B0"/>
    <w:rsid w:val="718933E0"/>
    <w:rsid w:val="71B20C4E"/>
    <w:rsid w:val="72425336"/>
    <w:rsid w:val="72721ECF"/>
    <w:rsid w:val="731D57F6"/>
    <w:rsid w:val="73AB17E9"/>
    <w:rsid w:val="73D4588D"/>
    <w:rsid w:val="73E536E4"/>
    <w:rsid w:val="74253A54"/>
    <w:rsid w:val="7463285B"/>
    <w:rsid w:val="74865ADD"/>
    <w:rsid w:val="753F2744"/>
    <w:rsid w:val="75895579"/>
    <w:rsid w:val="76B37ACA"/>
    <w:rsid w:val="76DD68F5"/>
    <w:rsid w:val="76DE441B"/>
    <w:rsid w:val="770F4B00"/>
    <w:rsid w:val="7734470B"/>
    <w:rsid w:val="77756B2D"/>
    <w:rsid w:val="77D01D36"/>
    <w:rsid w:val="78006396"/>
    <w:rsid w:val="78364072"/>
    <w:rsid w:val="78640748"/>
    <w:rsid w:val="78736567"/>
    <w:rsid w:val="78B155C3"/>
    <w:rsid w:val="78ED0487"/>
    <w:rsid w:val="797D3399"/>
    <w:rsid w:val="79A94DE0"/>
    <w:rsid w:val="79C31CC3"/>
    <w:rsid w:val="79F3642F"/>
    <w:rsid w:val="7A7960A2"/>
    <w:rsid w:val="7ABA3AA8"/>
    <w:rsid w:val="7AE552F3"/>
    <w:rsid w:val="7AFA3202"/>
    <w:rsid w:val="7B152B01"/>
    <w:rsid w:val="7B497797"/>
    <w:rsid w:val="7B9559F0"/>
    <w:rsid w:val="7CAF4890"/>
    <w:rsid w:val="7CDC3977"/>
    <w:rsid w:val="7D0B7F22"/>
    <w:rsid w:val="7D216AED"/>
    <w:rsid w:val="7D5255E0"/>
    <w:rsid w:val="7E2128FB"/>
    <w:rsid w:val="7F437B5A"/>
    <w:rsid w:val="7F8E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nhideWhenUsed="0"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iPriority="39" w:name="toc 2"/>
    <w:lsdException w:qFormat="1"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uiPriority="0" w:name="envelope address"/>
    <w:lsdException w:qFormat="1" w:uiPriority="99" w:semiHidden="0" w:name="envelope return"/>
    <w:lsdException w:qFormat="1" w:uiPriority="0" w:semiHidden="0" w:name="footnote reference"/>
    <w:lsdException w:qFormat="1" w:unhideWhenUsed="0" w:uiPriority="99" w:semiHidden="0" w:name="annotation reference"/>
    <w:lsdException w:uiPriority="0" w:name="line number"/>
    <w:lsdException w:qFormat="1"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iPriority="0" w:semiHidden="0" w:name="List Number"/>
    <w:lsdException w:uiPriority="0" w:name="List 2"/>
    <w:lsdException w:uiPriority="0" w:name="List 3"/>
    <w:lsdException w:uiPriority="0" w:name="List 4"/>
    <w:lsdException w:uiPriority="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qFormat="1"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iPriority="0" w:semiHidden="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0"/>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81"/>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82"/>
    <w:qFormat/>
    <w:uiPriority w:val="0"/>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83"/>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84"/>
    <w:qFormat/>
    <w:uiPriority w:val="0"/>
    <w:pPr>
      <w:keepNext/>
      <w:keepLines/>
      <w:spacing w:before="240" w:after="64" w:line="320" w:lineRule="auto"/>
      <w:outlineLvl w:val="5"/>
    </w:pPr>
    <w:rPr>
      <w:rFonts w:ascii="Cambria" w:hAnsi="Cambria"/>
      <w:b/>
      <w:bCs/>
      <w:kern w:val="0"/>
      <w:sz w:val="24"/>
    </w:rPr>
  </w:style>
  <w:style w:type="paragraph" w:styleId="8">
    <w:name w:val="heading 7"/>
    <w:basedOn w:val="1"/>
    <w:next w:val="1"/>
    <w:link w:val="85"/>
    <w:qFormat/>
    <w:uiPriority w:val="0"/>
    <w:pPr>
      <w:keepNext/>
      <w:keepLines/>
      <w:spacing w:line="360" w:lineRule="auto"/>
      <w:ind w:left="425" w:hanging="425"/>
      <w:outlineLvl w:val="6"/>
    </w:pPr>
    <w:rPr>
      <w:b/>
      <w:bCs/>
      <w:sz w:val="24"/>
    </w:rPr>
  </w:style>
  <w:style w:type="paragraph" w:styleId="9">
    <w:name w:val="heading 8"/>
    <w:basedOn w:val="1"/>
    <w:next w:val="1"/>
    <w:link w:val="86"/>
    <w:qFormat/>
    <w:uiPriority w:val="0"/>
    <w:pPr>
      <w:keepNext/>
      <w:keepLines/>
      <w:spacing w:line="360" w:lineRule="auto"/>
      <w:ind w:left="425" w:hanging="425"/>
      <w:outlineLvl w:val="7"/>
    </w:pPr>
    <w:rPr>
      <w:b/>
      <w:sz w:val="24"/>
    </w:rPr>
  </w:style>
  <w:style w:type="paragraph" w:styleId="10">
    <w:name w:val="heading 9"/>
    <w:basedOn w:val="1"/>
    <w:next w:val="1"/>
    <w:link w:val="87"/>
    <w:qFormat/>
    <w:uiPriority w:val="0"/>
    <w:pPr>
      <w:keepNext/>
      <w:spacing w:line="600" w:lineRule="exact"/>
      <w:jc w:val="center"/>
      <w:outlineLvl w:val="8"/>
    </w:pPr>
    <w:rPr>
      <w:rFonts w:ascii="仿宋_GB2312" w:hAnsi="Calibri" w:eastAsia="仿宋_GB2312"/>
      <w:sz w:val="32"/>
      <w:szCs w:val="22"/>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Calibri" w:hAnsi="Calibri" w:cs="Calibri"/>
      <w:sz w:val="18"/>
      <w:szCs w:val="18"/>
    </w:rPr>
  </w:style>
  <w:style w:type="paragraph" w:styleId="12">
    <w:name w:val="List Bullet 4"/>
    <w:basedOn w:val="1"/>
    <w:unhideWhenUsed/>
    <w:qFormat/>
    <w:uiPriority w:val="0"/>
    <w:pPr>
      <w:tabs>
        <w:tab w:val="left" w:pos="360"/>
      </w:tabs>
      <w:spacing w:line="380" w:lineRule="exact"/>
      <w:ind w:left="360" w:hanging="360"/>
    </w:pPr>
    <w:rPr>
      <w:rFonts w:ascii="Calibri" w:hAnsi="Calibri"/>
      <w:sz w:val="28"/>
      <w:szCs w:val="22"/>
    </w:rPr>
  </w:style>
  <w:style w:type="paragraph" w:styleId="13">
    <w:name w:val="index 8"/>
    <w:basedOn w:val="1"/>
    <w:next w:val="1"/>
    <w:unhideWhenUsed/>
    <w:qFormat/>
    <w:uiPriority w:val="0"/>
    <w:pPr>
      <w:ind w:left="1400" w:leftChars="1400"/>
    </w:pPr>
    <w:rPr>
      <w:rFonts w:ascii="Calibri" w:hAnsi="Calibri"/>
      <w:szCs w:val="22"/>
    </w:rPr>
  </w:style>
  <w:style w:type="paragraph" w:styleId="14">
    <w:name w:val="List Number"/>
    <w:basedOn w:val="1"/>
    <w:unhideWhenUsed/>
    <w:qFormat/>
    <w:uiPriority w:val="0"/>
    <w:pPr>
      <w:tabs>
        <w:tab w:val="left" w:pos="0"/>
        <w:tab w:val="left" w:pos="840"/>
      </w:tabs>
      <w:spacing w:line="360" w:lineRule="auto"/>
    </w:pPr>
    <w:rPr>
      <w:rFonts w:ascii="Calibri" w:hAnsi="Calibri"/>
      <w:szCs w:val="22"/>
    </w:rPr>
  </w:style>
  <w:style w:type="paragraph" w:styleId="15">
    <w:name w:val="Normal Indent"/>
    <w:basedOn w:val="1"/>
    <w:link w:val="88"/>
    <w:unhideWhenUsed/>
    <w:qFormat/>
    <w:uiPriority w:val="0"/>
    <w:pPr>
      <w:ind w:firstLine="420" w:firstLineChars="200"/>
    </w:pPr>
    <w:rPr>
      <w:kern w:val="0"/>
      <w:sz w:val="20"/>
    </w:rPr>
  </w:style>
  <w:style w:type="paragraph" w:styleId="16">
    <w:name w:val="caption"/>
    <w:basedOn w:val="1"/>
    <w:next w:val="1"/>
    <w:link w:val="89"/>
    <w:qFormat/>
    <w:uiPriority w:val="0"/>
    <w:pPr>
      <w:spacing w:beforeLines="50" w:afterLines="50" w:line="360" w:lineRule="auto"/>
      <w:jc w:val="center"/>
    </w:pPr>
    <w:rPr>
      <w:rFonts w:ascii="Arial" w:hAnsi="Arial"/>
      <w:sz w:val="24"/>
      <w:szCs w:val="20"/>
    </w:rPr>
  </w:style>
  <w:style w:type="paragraph" w:styleId="17">
    <w:name w:val="index 5"/>
    <w:basedOn w:val="1"/>
    <w:next w:val="1"/>
    <w:unhideWhenUsed/>
    <w:qFormat/>
    <w:uiPriority w:val="0"/>
    <w:pPr>
      <w:ind w:left="800" w:leftChars="800"/>
    </w:pPr>
    <w:rPr>
      <w:rFonts w:ascii="Calibri" w:hAnsi="Calibri"/>
      <w:szCs w:val="22"/>
    </w:rPr>
  </w:style>
  <w:style w:type="paragraph" w:styleId="18">
    <w:name w:val="List Bullet"/>
    <w:basedOn w:val="1"/>
    <w:unhideWhenUsed/>
    <w:qFormat/>
    <w:uiPriority w:val="0"/>
    <w:pPr>
      <w:tabs>
        <w:tab w:val="left" w:pos="840"/>
      </w:tabs>
      <w:spacing w:line="360" w:lineRule="auto"/>
      <w:ind w:left="962" w:hanging="480"/>
    </w:pPr>
    <w:rPr>
      <w:rFonts w:ascii="Calibri" w:hAnsi="Calibri"/>
      <w:sz w:val="24"/>
      <w:szCs w:val="22"/>
    </w:rPr>
  </w:style>
  <w:style w:type="paragraph" w:styleId="19">
    <w:name w:val="Document Map"/>
    <w:basedOn w:val="1"/>
    <w:link w:val="90"/>
    <w:qFormat/>
    <w:uiPriority w:val="99"/>
    <w:pPr>
      <w:shd w:val="clear" w:color="auto" w:fill="000080"/>
    </w:pPr>
  </w:style>
  <w:style w:type="paragraph" w:styleId="20">
    <w:name w:val="annotation text"/>
    <w:basedOn w:val="1"/>
    <w:link w:val="91"/>
    <w:unhideWhenUsed/>
    <w:qFormat/>
    <w:uiPriority w:val="99"/>
    <w:pPr>
      <w:jc w:val="left"/>
    </w:pPr>
  </w:style>
  <w:style w:type="paragraph" w:styleId="21">
    <w:name w:val="index 6"/>
    <w:basedOn w:val="1"/>
    <w:next w:val="1"/>
    <w:unhideWhenUsed/>
    <w:qFormat/>
    <w:uiPriority w:val="0"/>
    <w:pPr>
      <w:ind w:left="1000" w:leftChars="1000"/>
    </w:pPr>
    <w:rPr>
      <w:rFonts w:ascii="Calibri" w:hAnsi="Calibri"/>
      <w:szCs w:val="22"/>
    </w:rPr>
  </w:style>
  <w:style w:type="paragraph" w:styleId="22">
    <w:name w:val="Body Text 3"/>
    <w:basedOn w:val="1"/>
    <w:link w:val="92"/>
    <w:qFormat/>
    <w:uiPriority w:val="0"/>
    <w:rPr>
      <w:rFonts w:ascii="楷体_GB2312" w:hAnsi="Arial" w:eastAsia="楷体_GB2312"/>
      <w:b/>
      <w:bCs/>
      <w:color w:val="000000"/>
      <w:sz w:val="24"/>
    </w:rPr>
  </w:style>
  <w:style w:type="paragraph" w:styleId="23">
    <w:name w:val="List Bullet 3"/>
    <w:basedOn w:val="1"/>
    <w:unhideWhenUsed/>
    <w:qFormat/>
    <w:uiPriority w:val="0"/>
    <w:pPr>
      <w:tabs>
        <w:tab w:val="left" w:pos="1200"/>
      </w:tabs>
      <w:spacing w:line="380" w:lineRule="exact"/>
      <w:ind w:left="1200" w:hanging="360"/>
    </w:pPr>
    <w:rPr>
      <w:rFonts w:ascii="Calibri" w:hAnsi="Calibri"/>
      <w:sz w:val="28"/>
      <w:szCs w:val="22"/>
    </w:rPr>
  </w:style>
  <w:style w:type="paragraph" w:styleId="24">
    <w:name w:val="Body Text"/>
    <w:basedOn w:val="1"/>
    <w:next w:val="25"/>
    <w:link w:val="77"/>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customStyle="1" w:styleId="25">
    <w:name w:val="style4"/>
    <w:basedOn w:val="1"/>
    <w:next w:val="26"/>
    <w:qFormat/>
    <w:uiPriority w:val="0"/>
    <w:pPr>
      <w:widowControl/>
      <w:spacing w:before="280" w:after="280"/>
    </w:pPr>
    <w:rPr>
      <w:rFonts w:ascii="宋体"/>
      <w:sz w:val="18"/>
    </w:rPr>
  </w:style>
  <w:style w:type="paragraph" w:customStyle="1" w:styleId="26">
    <w:name w:val="2"/>
    <w:basedOn w:val="1"/>
    <w:next w:val="1"/>
    <w:qFormat/>
    <w:uiPriority w:val="0"/>
    <w:rPr>
      <w:rFonts w:ascii="宋体"/>
      <w:b/>
      <w:bCs/>
      <w:sz w:val="24"/>
    </w:rPr>
  </w:style>
  <w:style w:type="paragraph" w:styleId="27">
    <w:name w:val="Body Text Indent"/>
    <w:basedOn w:val="1"/>
    <w:next w:val="28"/>
    <w:link w:val="93"/>
    <w:unhideWhenUsed/>
    <w:qFormat/>
    <w:uiPriority w:val="0"/>
    <w:pPr>
      <w:spacing w:after="120"/>
      <w:ind w:left="420" w:leftChars="200"/>
    </w:pPr>
    <w:rPr>
      <w:kern w:val="0"/>
      <w:sz w:val="20"/>
    </w:rPr>
  </w:style>
  <w:style w:type="paragraph" w:styleId="28">
    <w:name w:val="envelope return"/>
    <w:basedOn w:val="1"/>
    <w:unhideWhenUsed/>
    <w:qFormat/>
    <w:uiPriority w:val="99"/>
    <w:pPr>
      <w:snapToGrid w:val="0"/>
    </w:pPr>
    <w:rPr>
      <w:rFonts w:ascii="Arial" w:hAnsi="Arial"/>
    </w:rPr>
  </w:style>
  <w:style w:type="paragraph" w:styleId="29">
    <w:name w:val="Block Text"/>
    <w:basedOn w:val="1"/>
    <w:qFormat/>
    <w:uiPriority w:val="0"/>
    <w:pPr>
      <w:adjustRightInd w:val="0"/>
      <w:ind w:left="420" w:right="33"/>
      <w:jc w:val="left"/>
      <w:textAlignment w:val="baseline"/>
    </w:pPr>
    <w:rPr>
      <w:kern w:val="0"/>
      <w:sz w:val="24"/>
      <w:szCs w:val="20"/>
    </w:rPr>
  </w:style>
  <w:style w:type="paragraph" w:styleId="30">
    <w:name w:val="List Bullet 2"/>
    <w:basedOn w:val="1"/>
    <w:unhideWhenUsed/>
    <w:qFormat/>
    <w:uiPriority w:val="0"/>
    <w:pPr>
      <w:tabs>
        <w:tab w:val="left" w:pos="720"/>
      </w:tabs>
      <w:spacing w:line="360" w:lineRule="auto"/>
      <w:ind w:left="720" w:hanging="360"/>
    </w:pPr>
    <w:rPr>
      <w:rFonts w:ascii="Calibri" w:hAnsi="Calibri"/>
      <w:sz w:val="24"/>
      <w:szCs w:val="22"/>
    </w:rPr>
  </w:style>
  <w:style w:type="paragraph" w:styleId="31">
    <w:name w:val="HTML Address"/>
    <w:basedOn w:val="1"/>
    <w:link w:val="94"/>
    <w:unhideWhenUsed/>
    <w:qFormat/>
    <w:uiPriority w:val="0"/>
    <w:rPr>
      <w:rFonts w:ascii="Calibri" w:hAnsi="Calibri"/>
      <w:i/>
      <w:iCs/>
      <w:szCs w:val="22"/>
    </w:rPr>
  </w:style>
  <w:style w:type="paragraph" w:styleId="32">
    <w:name w:val="index 4"/>
    <w:basedOn w:val="1"/>
    <w:next w:val="1"/>
    <w:qFormat/>
    <w:uiPriority w:val="0"/>
    <w:pPr>
      <w:ind w:left="600" w:leftChars="600"/>
    </w:pPr>
    <w:rPr>
      <w:rFonts w:ascii="Verdana" w:hAnsi="Verdana"/>
      <w:szCs w:val="20"/>
    </w:rPr>
  </w:style>
  <w:style w:type="paragraph" w:styleId="33">
    <w:name w:val="toc 5"/>
    <w:basedOn w:val="1"/>
    <w:next w:val="1"/>
    <w:unhideWhenUsed/>
    <w:qFormat/>
    <w:uiPriority w:val="39"/>
    <w:pPr>
      <w:ind w:left="840"/>
      <w:jc w:val="left"/>
    </w:pPr>
    <w:rPr>
      <w:rFonts w:ascii="Calibri" w:hAnsi="Calibri" w:cs="Calibri"/>
      <w:sz w:val="18"/>
      <w:szCs w:val="18"/>
    </w:rPr>
  </w:style>
  <w:style w:type="paragraph" w:styleId="34">
    <w:name w:val="Plain Text"/>
    <w:basedOn w:val="1"/>
    <w:link w:val="95"/>
    <w:qFormat/>
    <w:uiPriority w:val="0"/>
    <w:rPr>
      <w:rFonts w:ascii="宋体" w:hAnsi="Courier New"/>
      <w:szCs w:val="20"/>
    </w:rPr>
  </w:style>
  <w:style w:type="paragraph" w:styleId="35">
    <w:name w:val="List Bullet 5"/>
    <w:basedOn w:val="1"/>
    <w:unhideWhenUsed/>
    <w:qFormat/>
    <w:uiPriority w:val="0"/>
    <w:pPr>
      <w:tabs>
        <w:tab w:val="left" w:pos="720"/>
      </w:tabs>
      <w:spacing w:line="380" w:lineRule="exact"/>
      <w:ind w:left="720" w:hanging="360"/>
    </w:pPr>
    <w:rPr>
      <w:rFonts w:ascii="Calibri" w:hAnsi="Calibri"/>
      <w:sz w:val="28"/>
      <w:szCs w:val="22"/>
    </w:rPr>
  </w:style>
  <w:style w:type="paragraph" w:styleId="36">
    <w:name w:val="toc 8"/>
    <w:basedOn w:val="1"/>
    <w:next w:val="1"/>
    <w:unhideWhenUsed/>
    <w:qFormat/>
    <w:uiPriority w:val="39"/>
    <w:pPr>
      <w:ind w:left="1470"/>
      <w:jc w:val="left"/>
    </w:pPr>
    <w:rPr>
      <w:rFonts w:ascii="Calibri" w:hAnsi="Calibri" w:cs="Calibri"/>
      <w:sz w:val="18"/>
      <w:szCs w:val="18"/>
    </w:rPr>
  </w:style>
  <w:style w:type="paragraph" w:styleId="37">
    <w:name w:val="index 3"/>
    <w:basedOn w:val="1"/>
    <w:next w:val="1"/>
    <w:unhideWhenUsed/>
    <w:qFormat/>
    <w:uiPriority w:val="0"/>
    <w:pPr>
      <w:ind w:left="400" w:leftChars="400"/>
    </w:pPr>
    <w:rPr>
      <w:rFonts w:ascii="Calibri" w:hAnsi="Calibri"/>
      <w:szCs w:val="22"/>
    </w:rPr>
  </w:style>
  <w:style w:type="paragraph" w:styleId="38">
    <w:name w:val="Date"/>
    <w:basedOn w:val="1"/>
    <w:next w:val="1"/>
    <w:link w:val="96"/>
    <w:qFormat/>
    <w:uiPriority w:val="0"/>
    <w:pPr>
      <w:ind w:left="100"/>
    </w:pPr>
    <w:rPr>
      <w:rFonts w:ascii="仿宋_GB2312" w:hAnsi="Courier New" w:eastAsia="仿宋_GB2312"/>
      <w:sz w:val="28"/>
      <w:szCs w:val="20"/>
    </w:rPr>
  </w:style>
  <w:style w:type="paragraph" w:styleId="39">
    <w:name w:val="Body Text Indent 2"/>
    <w:basedOn w:val="1"/>
    <w:link w:val="97"/>
    <w:qFormat/>
    <w:uiPriority w:val="99"/>
    <w:pPr>
      <w:spacing w:after="120" w:line="480" w:lineRule="auto"/>
      <w:ind w:left="420" w:leftChars="200"/>
    </w:pPr>
  </w:style>
  <w:style w:type="paragraph" w:styleId="40">
    <w:name w:val="endnote text"/>
    <w:basedOn w:val="1"/>
    <w:link w:val="98"/>
    <w:unhideWhenUsed/>
    <w:qFormat/>
    <w:uiPriority w:val="0"/>
    <w:pPr>
      <w:widowControl/>
      <w:snapToGrid w:val="0"/>
      <w:jc w:val="left"/>
    </w:pPr>
    <w:rPr>
      <w:rFonts w:ascii="宋体" w:hAnsi="Calibri"/>
      <w:bCs/>
      <w:kern w:val="0"/>
      <w:szCs w:val="21"/>
    </w:rPr>
  </w:style>
  <w:style w:type="paragraph" w:styleId="41">
    <w:name w:val="Balloon Text"/>
    <w:basedOn w:val="1"/>
    <w:link w:val="99"/>
    <w:unhideWhenUsed/>
    <w:qFormat/>
    <w:uiPriority w:val="99"/>
    <w:rPr>
      <w:kern w:val="0"/>
      <w:sz w:val="18"/>
      <w:szCs w:val="18"/>
    </w:rPr>
  </w:style>
  <w:style w:type="paragraph" w:styleId="42">
    <w:name w:val="footer"/>
    <w:basedOn w:val="1"/>
    <w:link w:val="100"/>
    <w:unhideWhenUsed/>
    <w:qFormat/>
    <w:uiPriority w:val="99"/>
    <w:pPr>
      <w:tabs>
        <w:tab w:val="center" w:pos="4153"/>
        <w:tab w:val="right" w:pos="8306"/>
      </w:tabs>
      <w:snapToGrid w:val="0"/>
      <w:jc w:val="left"/>
    </w:pPr>
    <w:rPr>
      <w:sz w:val="18"/>
      <w:szCs w:val="18"/>
    </w:rPr>
  </w:style>
  <w:style w:type="paragraph" w:styleId="43">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4">
    <w:name w:val="toc 1"/>
    <w:basedOn w:val="1"/>
    <w:next w:val="1"/>
    <w:qFormat/>
    <w:uiPriority w:val="39"/>
  </w:style>
  <w:style w:type="paragraph" w:styleId="45">
    <w:name w:val="toc 4"/>
    <w:basedOn w:val="1"/>
    <w:next w:val="1"/>
    <w:unhideWhenUsed/>
    <w:qFormat/>
    <w:uiPriority w:val="39"/>
    <w:pPr>
      <w:ind w:left="630"/>
      <w:jc w:val="left"/>
    </w:pPr>
    <w:rPr>
      <w:rFonts w:ascii="Calibri" w:hAnsi="Calibri" w:cs="Calibri"/>
      <w:sz w:val="18"/>
      <w:szCs w:val="18"/>
    </w:rPr>
  </w:style>
  <w:style w:type="paragraph" w:styleId="46">
    <w:name w:val="index heading"/>
    <w:basedOn w:val="1"/>
    <w:next w:val="47"/>
    <w:unhideWhenUsed/>
    <w:qFormat/>
    <w:uiPriority w:val="0"/>
    <w:rPr>
      <w:rFonts w:ascii="Calibri" w:hAnsi="Calibri"/>
      <w:szCs w:val="22"/>
    </w:rPr>
  </w:style>
  <w:style w:type="paragraph" w:styleId="47">
    <w:name w:val="index 1"/>
    <w:basedOn w:val="1"/>
    <w:next w:val="1"/>
    <w:unhideWhenUsed/>
    <w:qFormat/>
    <w:uiPriority w:val="0"/>
    <w:rPr>
      <w:rFonts w:ascii="Calibri" w:hAnsi="Calibri"/>
      <w:szCs w:val="22"/>
    </w:rPr>
  </w:style>
  <w:style w:type="paragraph" w:styleId="48">
    <w:name w:val="List"/>
    <w:basedOn w:val="1"/>
    <w:qFormat/>
    <w:uiPriority w:val="0"/>
    <w:pPr>
      <w:ind w:left="200" w:hanging="200" w:hangingChars="200"/>
    </w:pPr>
  </w:style>
  <w:style w:type="paragraph" w:styleId="49">
    <w:name w:val="footnote text"/>
    <w:basedOn w:val="1"/>
    <w:link w:val="102"/>
    <w:unhideWhenUsed/>
    <w:qFormat/>
    <w:uiPriority w:val="0"/>
    <w:pPr>
      <w:adjustRightInd w:val="0"/>
      <w:snapToGrid w:val="0"/>
      <w:jc w:val="left"/>
    </w:pPr>
    <w:rPr>
      <w:rFonts w:ascii="宋体" w:hAnsi="Calibri"/>
      <w:bCs/>
      <w:kern w:val="0"/>
      <w:sz w:val="18"/>
      <w:szCs w:val="18"/>
    </w:rPr>
  </w:style>
  <w:style w:type="paragraph" w:styleId="50">
    <w:name w:val="toc 6"/>
    <w:basedOn w:val="1"/>
    <w:next w:val="1"/>
    <w:unhideWhenUsed/>
    <w:qFormat/>
    <w:uiPriority w:val="39"/>
    <w:pPr>
      <w:ind w:left="1050"/>
      <w:jc w:val="left"/>
    </w:pPr>
    <w:rPr>
      <w:rFonts w:ascii="Calibri" w:hAnsi="Calibri" w:cs="Calibri"/>
      <w:sz w:val="18"/>
      <w:szCs w:val="18"/>
    </w:rPr>
  </w:style>
  <w:style w:type="paragraph" w:styleId="51">
    <w:name w:val="Body Text Indent 3"/>
    <w:basedOn w:val="1"/>
    <w:link w:val="103"/>
    <w:qFormat/>
    <w:uiPriority w:val="0"/>
    <w:pPr>
      <w:ind w:firstLine="420" w:firstLineChars="200"/>
    </w:pPr>
    <w:rPr>
      <w:rFonts w:eastAsia="楷体_GB2312"/>
    </w:rPr>
  </w:style>
  <w:style w:type="paragraph" w:styleId="52">
    <w:name w:val="index 7"/>
    <w:basedOn w:val="1"/>
    <w:next w:val="1"/>
    <w:unhideWhenUsed/>
    <w:qFormat/>
    <w:uiPriority w:val="0"/>
    <w:pPr>
      <w:ind w:left="1200" w:leftChars="1200"/>
    </w:pPr>
    <w:rPr>
      <w:rFonts w:ascii="Calibri" w:hAnsi="Calibri"/>
      <w:szCs w:val="22"/>
    </w:rPr>
  </w:style>
  <w:style w:type="paragraph" w:styleId="53">
    <w:name w:val="index 9"/>
    <w:basedOn w:val="1"/>
    <w:next w:val="1"/>
    <w:unhideWhenUsed/>
    <w:qFormat/>
    <w:uiPriority w:val="0"/>
    <w:pPr>
      <w:ind w:left="1600" w:leftChars="1600"/>
    </w:pPr>
    <w:rPr>
      <w:rFonts w:ascii="Calibri" w:hAnsi="Calibri"/>
      <w:szCs w:val="22"/>
    </w:rPr>
  </w:style>
  <w:style w:type="paragraph" w:styleId="54">
    <w:name w:val="table of figures"/>
    <w:basedOn w:val="1"/>
    <w:next w:val="1"/>
    <w:unhideWhenUsed/>
    <w:qFormat/>
    <w:uiPriority w:val="0"/>
    <w:pPr>
      <w:widowControl/>
      <w:ind w:left="400" w:leftChars="200" w:hanging="200" w:hangingChars="200"/>
      <w:jc w:val="left"/>
    </w:pPr>
    <w:rPr>
      <w:rFonts w:ascii="宋体" w:hAnsi="Calibri"/>
      <w:bCs/>
      <w:kern w:val="0"/>
      <w:szCs w:val="21"/>
    </w:rPr>
  </w:style>
  <w:style w:type="paragraph" w:styleId="55">
    <w:name w:val="toc 9"/>
    <w:basedOn w:val="1"/>
    <w:next w:val="1"/>
    <w:unhideWhenUsed/>
    <w:qFormat/>
    <w:uiPriority w:val="39"/>
    <w:pPr>
      <w:ind w:left="1680"/>
      <w:jc w:val="left"/>
    </w:pPr>
    <w:rPr>
      <w:rFonts w:ascii="Calibri" w:hAnsi="Calibri" w:cs="Calibri"/>
      <w:sz w:val="18"/>
      <w:szCs w:val="18"/>
    </w:rPr>
  </w:style>
  <w:style w:type="paragraph" w:styleId="56">
    <w:name w:val="Body Text 2"/>
    <w:basedOn w:val="1"/>
    <w:link w:val="104"/>
    <w:qFormat/>
    <w:uiPriority w:val="99"/>
    <w:pPr>
      <w:spacing w:line="440" w:lineRule="exact"/>
    </w:pPr>
    <w:rPr>
      <w:rFonts w:ascii="楷体_GB2312" w:eastAsia="楷体_GB2312"/>
      <w:sz w:val="28"/>
    </w:rPr>
  </w:style>
  <w:style w:type="paragraph" w:styleId="57">
    <w:name w:val="List Continue 2"/>
    <w:basedOn w:val="1"/>
    <w:unhideWhenUsed/>
    <w:qFormat/>
    <w:uiPriority w:val="0"/>
    <w:pPr>
      <w:spacing w:after="120"/>
      <w:ind w:left="840" w:leftChars="400"/>
    </w:pPr>
    <w:rPr>
      <w:rFonts w:ascii="Calibri" w:hAnsi="Calibri"/>
      <w:szCs w:val="22"/>
    </w:rPr>
  </w:style>
  <w:style w:type="paragraph" w:styleId="58">
    <w:name w:val="HTML Preformatted"/>
    <w:basedOn w:val="1"/>
    <w:link w:val="10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2"/>
    </w:rPr>
  </w:style>
  <w:style w:type="paragraph" w:styleId="5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0">
    <w:name w:val="index 2"/>
    <w:basedOn w:val="1"/>
    <w:next w:val="1"/>
    <w:unhideWhenUsed/>
    <w:qFormat/>
    <w:uiPriority w:val="0"/>
    <w:pPr>
      <w:ind w:left="200" w:leftChars="200"/>
    </w:pPr>
    <w:rPr>
      <w:rFonts w:ascii="Calibri" w:hAnsi="Calibri"/>
      <w:szCs w:val="22"/>
    </w:rPr>
  </w:style>
  <w:style w:type="paragraph" w:styleId="61">
    <w:name w:val="Title"/>
    <w:basedOn w:val="1"/>
    <w:link w:val="106"/>
    <w:qFormat/>
    <w:uiPriority w:val="0"/>
    <w:pPr>
      <w:spacing w:before="240" w:after="60"/>
      <w:jc w:val="center"/>
      <w:outlineLvl w:val="0"/>
    </w:pPr>
    <w:rPr>
      <w:rFonts w:ascii="Cambria" w:hAnsi="Cambria"/>
      <w:b/>
      <w:bCs/>
      <w:sz w:val="32"/>
      <w:szCs w:val="32"/>
    </w:rPr>
  </w:style>
  <w:style w:type="paragraph" w:styleId="62">
    <w:name w:val="annotation subject"/>
    <w:basedOn w:val="20"/>
    <w:next w:val="20"/>
    <w:link w:val="107"/>
    <w:unhideWhenUsed/>
    <w:qFormat/>
    <w:uiPriority w:val="99"/>
    <w:rPr>
      <w:b/>
      <w:bCs/>
    </w:rPr>
  </w:style>
  <w:style w:type="paragraph" w:styleId="63">
    <w:name w:val="Body Text First Indent"/>
    <w:basedOn w:val="24"/>
    <w:link w:val="78"/>
    <w:qFormat/>
    <w:uiPriority w:val="0"/>
    <w:pPr>
      <w:spacing w:after="291" w:afterLines="100"/>
      <w:jc w:val="center"/>
    </w:pPr>
  </w:style>
  <w:style w:type="paragraph" w:styleId="64">
    <w:name w:val="Body Text First Indent 2"/>
    <w:basedOn w:val="27"/>
    <w:link w:val="108"/>
    <w:qFormat/>
    <w:uiPriority w:val="99"/>
    <w:pPr>
      <w:widowControl/>
      <w:ind w:firstLine="420" w:firstLineChars="200"/>
    </w:pPr>
    <w:rPr>
      <w:rFonts w:ascii="仿宋_GB2312" w:eastAsia="仿宋_GB2312"/>
      <w:color w:val="FF6600"/>
      <w:kern w:val="2"/>
      <w:sz w:val="21"/>
      <w:szCs w:val="20"/>
    </w:rPr>
  </w:style>
  <w:style w:type="table" w:styleId="66">
    <w:name w:val="Table Grid"/>
    <w:basedOn w:val="6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basedOn w:val="67"/>
    <w:qFormat/>
    <w:uiPriority w:val="0"/>
    <w:rPr>
      <w:b/>
    </w:rPr>
  </w:style>
  <w:style w:type="character" w:styleId="69">
    <w:name w:val="endnote reference"/>
    <w:unhideWhenUsed/>
    <w:qFormat/>
    <w:uiPriority w:val="0"/>
    <w:rPr>
      <w:vertAlign w:val="superscript"/>
    </w:rPr>
  </w:style>
  <w:style w:type="character" w:styleId="70">
    <w:name w:val="page number"/>
    <w:unhideWhenUsed/>
    <w:qFormat/>
    <w:uiPriority w:val="0"/>
  </w:style>
  <w:style w:type="character" w:styleId="71">
    <w:name w:val="FollowedHyperlink"/>
    <w:unhideWhenUsed/>
    <w:qFormat/>
    <w:uiPriority w:val="99"/>
    <w:rPr>
      <w:color w:val="954F72"/>
      <w:u w:val="single"/>
    </w:rPr>
  </w:style>
  <w:style w:type="character" w:styleId="72">
    <w:name w:val="Emphasis"/>
    <w:qFormat/>
    <w:uiPriority w:val="0"/>
    <w:rPr>
      <w:i/>
      <w:iCs/>
    </w:rPr>
  </w:style>
  <w:style w:type="character" w:styleId="73">
    <w:name w:val="HTML Typewriter"/>
    <w:unhideWhenUsed/>
    <w:qFormat/>
    <w:uiPriority w:val="0"/>
    <w:rPr>
      <w:rFonts w:hint="eastAsia" w:ascii="宋体" w:hAnsi="Times New Roman" w:eastAsia="宋体" w:cs="宋体"/>
      <w:sz w:val="24"/>
      <w:szCs w:val="24"/>
      <w:lang w:bidi="ar-SA"/>
    </w:rPr>
  </w:style>
  <w:style w:type="character" w:styleId="74">
    <w:name w:val="Hyperlink"/>
    <w:unhideWhenUsed/>
    <w:qFormat/>
    <w:uiPriority w:val="99"/>
    <w:rPr>
      <w:color w:val="0000FF"/>
      <w:u w:val="single"/>
    </w:rPr>
  </w:style>
  <w:style w:type="character" w:styleId="75">
    <w:name w:val="annotation reference"/>
    <w:qFormat/>
    <w:uiPriority w:val="99"/>
    <w:rPr>
      <w:sz w:val="21"/>
      <w:szCs w:val="21"/>
    </w:rPr>
  </w:style>
  <w:style w:type="character" w:styleId="76">
    <w:name w:val="footnote reference"/>
    <w:unhideWhenUsed/>
    <w:qFormat/>
    <w:uiPriority w:val="0"/>
    <w:rPr>
      <w:vertAlign w:val="superscript"/>
    </w:rPr>
  </w:style>
  <w:style w:type="character" w:customStyle="1" w:styleId="77">
    <w:name w:val="正文文本 Char"/>
    <w:link w:val="24"/>
    <w:qFormat/>
    <w:uiPriority w:val="0"/>
    <w:rPr>
      <w:rFonts w:ascii="华文彩云" w:hAnsi="宋体" w:eastAsia="华文彩云"/>
      <w:bCs/>
      <w:color w:val="000000"/>
      <w:kern w:val="2"/>
      <w:sz w:val="28"/>
      <w:szCs w:val="24"/>
    </w:rPr>
  </w:style>
  <w:style w:type="character" w:customStyle="1" w:styleId="78">
    <w:name w:val="正文首行缩进 Char"/>
    <w:link w:val="63"/>
    <w:qFormat/>
    <w:uiPriority w:val="0"/>
    <w:rPr>
      <w:rFonts w:ascii="华文彩云" w:hAnsi="宋体" w:eastAsia="华文彩云"/>
      <w:bCs/>
      <w:color w:val="000000"/>
      <w:kern w:val="2"/>
      <w:sz w:val="28"/>
      <w:szCs w:val="24"/>
    </w:rPr>
  </w:style>
  <w:style w:type="character" w:customStyle="1" w:styleId="79">
    <w:name w:val="标题 1 Char"/>
    <w:link w:val="2"/>
    <w:qFormat/>
    <w:uiPriority w:val="0"/>
    <w:rPr>
      <w:rFonts w:ascii="Times New Roman" w:hAnsi="Times New Roman" w:eastAsia="宋体" w:cs="Times New Roman"/>
      <w:b/>
      <w:bCs/>
      <w:kern w:val="44"/>
      <w:sz w:val="44"/>
      <w:szCs w:val="44"/>
    </w:rPr>
  </w:style>
  <w:style w:type="character" w:customStyle="1" w:styleId="80">
    <w:name w:val="标题 2 Char"/>
    <w:link w:val="3"/>
    <w:qFormat/>
    <w:uiPriority w:val="0"/>
    <w:rPr>
      <w:rFonts w:ascii="Cambria" w:hAnsi="Cambria" w:eastAsia="宋体" w:cs="黑体"/>
      <w:b/>
      <w:bCs/>
      <w:sz w:val="32"/>
      <w:szCs w:val="32"/>
    </w:rPr>
  </w:style>
  <w:style w:type="character" w:customStyle="1" w:styleId="81">
    <w:name w:val="标题 3 Char"/>
    <w:link w:val="4"/>
    <w:qFormat/>
    <w:uiPriority w:val="0"/>
    <w:rPr>
      <w:rFonts w:ascii="Times New Roman" w:hAnsi="Times New Roman" w:eastAsia="宋体" w:cs="Times New Roman"/>
      <w:b/>
      <w:bCs/>
      <w:sz w:val="32"/>
      <w:szCs w:val="32"/>
    </w:rPr>
  </w:style>
  <w:style w:type="character" w:customStyle="1" w:styleId="82">
    <w:name w:val="标题 4 Char"/>
    <w:link w:val="5"/>
    <w:qFormat/>
    <w:uiPriority w:val="0"/>
    <w:rPr>
      <w:rFonts w:ascii="Cambria" w:hAnsi="Cambria" w:eastAsia="宋体" w:cs="黑体"/>
      <w:b/>
      <w:bCs/>
      <w:sz w:val="28"/>
      <w:szCs w:val="28"/>
    </w:rPr>
  </w:style>
  <w:style w:type="character" w:customStyle="1" w:styleId="83">
    <w:name w:val="标题 5 Char"/>
    <w:link w:val="6"/>
    <w:qFormat/>
    <w:uiPriority w:val="0"/>
    <w:rPr>
      <w:rFonts w:ascii="Times New Roman" w:hAnsi="Times New Roman" w:eastAsia="宋体" w:cs="Times New Roman"/>
      <w:b/>
      <w:bCs/>
      <w:sz w:val="28"/>
      <w:szCs w:val="28"/>
    </w:rPr>
  </w:style>
  <w:style w:type="character" w:customStyle="1" w:styleId="84">
    <w:name w:val="标题 6 Char"/>
    <w:link w:val="7"/>
    <w:qFormat/>
    <w:uiPriority w:val="0"/>
    <w:rPr>
      <w:rFonts w:ascii="Cambria" w:hAnsi="Cambria" w:eastAsia="宋体" w:cs="黑体"/>
      <w:b/>
      <w:bCs/>
      <w:sz w:val="24"/>
      <w:szCs w:val="24"/>
    </w:rPr>
  </w:style>
  <w:style w:type="character" w:customStyle="1" w:styleId="85">
    <w:name w:val="标题 7 Char"/>
    <w:link w:val="8"/>
    <w:qFormat/>
    <w:uiPriority w:val="0"/>
    <w:rPr>
      <w:b/>
      <w:bCs/>
      <w:kern w:val="2"/>
      <w:sz w:val="24"/>
      <w:szCs w:val="24"/>
    </w:rPr>
  </w:style>
  <w:style w:type="character" w:customStyle="1" w:styleId="86">
    <w:name w:val="标题 8 Char"/>
    <w:link w:val="9"/>
    <w:qFormat/>
    <w:uiPriority w:val="0"/>
    <w:rPr>
      <w:b/>
      <w:kern w:val="2"/>
      <w:sz w:val="24"/>
      <w:szCs w:val="24"/>
    </w:rPr>
  </w:style>
  <w:style w:type="character" w:customStyle="1" w:styleId="87">
    <w:name w:val="标题 9 Char"/>
    <w:link w:val="10"/>
    <w:qFormat/>
    <w:uiPriority w:val="0"/>
    <w:rPr>
      <w:rFonts w:ascii="仿宋_GB2312" w:hAnsi="Calibri" w:eastAsia="仿宋_GB2312"/>
      <w:kern w:val="2"/>
      <w:sz w:val="32"/>
      <w:szCs w:val="22"/>
    </w:rPr>
  </w:style>
  <w:style w:type="character" w:customStyle="1" w:styleId="88">
    <w:name w:val="正文缩进 Char"/>
    <w:link w:val="15"/>
    <w:qFormat/>
    <w:locked/>
    <w:uiPriority w:val="0"/>
    <w:rPr>
      <w:szCs w:val="24"/>
    </w:rPr>
  </w:style>
  <w:style w:type="character" w:customStyle="1" w:styleId="89">
    <w:name w:val="题注 Char"/>
    <w:link w:val="16"/>
    <w:qFormat/>
    <w:locked/>
    <w:uiPriority w:val="0"/>
    <w:rPr>
      <w:rFonts w:ascii="Arial" w:hAnsi="Arial" w:cs="Arial"/>
      <w:kern w:val="2"/>
      <w:sz w:val="24"/>
    </w:rPr>
  </w:style>
  <w:style w:type="character" w:customStyle="1" w:styleId="90">
    <w:name w:val="文档结构图 Char"/>
    <w:link w:val="19"/>
    <w:qFormat/>
    <w:uiPriority w:val="99"/>
    <w:rPr>
      <w:kern w:val="2"/>
      <w:sz w:val="21"/>
      <w:szCs w:val="24"/>
      <w:shd w:val="clear" w:color="auto" w:fill="000080"/>
    </w:rPr>
  </w:style>
  <w:style w:type="character" w:customStyle="1" w:styleId="91">
    <w:name w:val="批注文字 Char"/>
    <w:link w:val="20"/>
    <w:qFormat/>
    <w:uiPriority w:val="99"/>
    <w:rPr>
      <w:kern w:val="2"/>
      <w:sz w:val="21"/>
      <w:szCs w:val="24"/>
    </w:rPr>
  </w:style>
  <w:style w:type="character" w:customStyle="1" w:styleId="92">
    <w:name w:val="正文文本 3 Char"/>
    <w:link w:val="22"/>
    <w:qFormat/>
    <w:uiPriority w:val="0"/>
    <w:rPr>
      <w:rFonts w:ascii="楷体_GB2312" w:hAnsi="Arial" w:eastAsia="楷体_GB2312" w:cs="Arial"/>
      <w:b/>
      <w:bCs/>
      <w:color w:val="000000"/>
      <w:kern w:val="2"/>
      <w:sz w:val="24"/>
      <w:szCs w:val="24"/>
    </w:rPr>
  </w:style>
  <w:style w:type="character" w:customStyle="1" w:styleId="93">
    <w:name w:val="正文文本缩进 Char"/>
    <w:link w:val="27"/>
    <w:qFormat/>
    <w:uiPriority w:val="0"/>
    <w:rPr>
      <w:rFonts w:ascii="Times New Roman" w:hAnsi="Times New Roman" w:eastAsia="宋体" w:cs="Times New Roman"/>
      <w:szCs w:val="24"/>
    </w:rPr>
  </w:style>
  <w:style w:type="character" w:customStyle="1" w:styleId="94">
    <w:name w:val="HTML 地址 Char"/>
    <w:link w:val="31"/>
    <w:qFormat/>
    <w:uiPriority w:val="0"/>
    <w:rPr>
      <w:rFonts w:ascii="Calibri" w:hAnsi="Calibri" w:cs="宋体"/>
      <w:i/>
      <w:iCs/>
      <w:kern w:val="2"/>
      <w:sz w:val="21"/>
      <w:szCs w:val="22"/>
    </w:rPr>
  </w:style>
  <w:style w:type="character" w:customStyle="1" w:styleId="95">
    <w:name w:val="纯文本 Char"/>
    <w:link w:val="34"/>
    <w:qFormat/>
    <w:uiPriority w:val="0"/>
    <w:rPr>
      <w:rFonts w:ascii="宋体" w:hAnsi="Courier New"/>
      <w:kern w:val="2"/>
      <w:sz w:val="21"/>
    </w:rPr>
  </w:style>
  <w:style w:type="character" w:customStyle="1" w:styleId="96">
    <w:name w:val="日期 Char"/>
    <w:link w:val="38"/>
    <w:qFormat/>
    <w:uiPriority w:val="0"/>
    <w:rPr>
      <w:rFonts w:ascii="仿宋_GB2312" w:hAnsi="Courier New" w:eastAsia="仿宋_GB2312"/>
      <w:kern w:val="2"/>
      <w:sz w:val="28"/>
    </w:rPr>
  </w:style>
  <w:style w:type="character" w:customStyle="1" w:styleId="97">
    <w:name w:val="正文文本缩进 2 Char"/>
    <w:link w:val="39"/>
    <w:qFormat/>
    <w:uiPriority w:val="99"/>
    <w:rPr>
      <w:kern w:val="2"/>
      <w:sz w:val="21"/>
      <w:szCs w:val="24"/>
    </w:rPr>
  </w:style>
  <w:style w:type="character" w:customStyle="1" w:styleId="98">
    <w:name w:val="尾注文本 Char"/>
    <w:link w:val="40"/>
    <w:qFormat/>
    <w:uiPriority w:val="0"/>
    <w:rPr>
      <w:rFonts w:ascii="宋体" w:hAnsi="Calibri"/>
      <w:bCs/>
      <w:sz w:val="21"/>
      <w:szCs w:val="21"/>
    </w:rPr>
  </w:style>
  <w:style w:type="character" w:customStyle="1" w:styleId="99">
    <w:name w:val="批注框文本 Char"/>
    <w:link w:val="41"/>
    <w:qFormat/>
    <w:uiPriority w:val="99"/>
    <w:rPr>
      <w:rFonts w:ascii="Times New Roman" w:hAnsi="Times New Roman" w:eastAsia="宋体" w:cs="Times New Roman"/>
      <w:sz w:val="18"/>
      <w:szCs w:val="18"/>
    </w:rPr>
  </w:style>
  <w:style w:type="character" w:customStyle="1" w:styleId="100">
    <w:name w:val="页脚 Char"/>
    <w:link w:val="42"/>
    <w:qFormat/>
    <w:uiPriority w:val="99"/>
    <w:rPr>
      <w:kern w:val="2"/>
      <w:sz w:val="18"/>
      <w:szCs w:val="18"/>
    </w:rPr>
  </w:style>
  <w:style w:type="character" w:customStyle="1" w:styleId="101">
    <w:name w:val="页眉 Char"/>
    <w:link w:val="43"/>
    <w:qFormat/>
    <w:uiPriority w:val="99"/>
    <w:rPr>
      <w:rFonts w:ascii="Times New Roman" w:hAnsi="Times New Roman" w:eastAsia="宋体" w:cs="Times New Roman"/>
      <w:sz w:val="18"/>
      <w:szCs w:val="18"/>
    </w:rPr>
  </w:style>
  <w:style w:type="character" w:customStyle="1" w:styleId="102">
    <w:name w:val="脚注文本 Char"/>
    <w:link w:val="49"/>
    <w:qFormat/>
    <w:uiPriority w:val="0"/>
    <w:rPr>
      <w:rFonts w:ascii="宋体" w:hAnsi="Calibri"/>
      <w:bCs/>
      <w:sz w:val="18"/>
      <w:szCs w:val="18"/>
    </w:rPr>
  </w:style>
  <w:style w:type="character" w:customStyle="1" w:styleId="103">
    <w:name w:val="正文文本缩进 3 Char"/>
    <w:link w:val="51"/>
    <w:qFormat/>
    <w:uiPriority w:val="0"/>
    <w:rPr>
      <w:rFonts w:eastAsia="楷体_GB2312"/>
      <w:kern w:val="2"/>
      <w:sz w:val="21"/>
      <w:szCs w:val="24"/>
    </w:rPr>
  </w:style>
  <w:style w:type="character" w:customStyle="1" w:styleId="104">
    <w:name w:val="正文文本 2 Char"/>
    <w:link w:val="56"/>
    <w:qFormat/>
    <w:uiPriority w:val="99"/>
    <w:rPr>
      <w:rFonts w:ascii="楷体_GB2312" w:eastAsia="楷体_GB2312"/>
      <w:kern w:val="2"/>
      <w:sz w:val="28"/>
      <w:szCs w:val="24"/>
    </w:rPr>
  </w:style>
  <w:style w:type="character" w:customStyle="1" w:styleId="105">
    <w:name w:val="HTML 预设格式 Char"/>
    <w:link w:val="58"/>
    <w:qFormat/>
    <w:uiPriority w:val="0"/>
    <w:rPr>
      <w:rFonts w:ascii="Arial" w:hAnsi="Arial" w:cs="Arial"/>
      <w:sz w:val="24"/>
      <w:szCs w:val="22"/>
    </w:rPr>
  </w:style>
  <w:style w:type="character" w:customStyle="1" w:styleId="106">
    <w:name w:val="标题 Char"/>
    <w:link w:val="61"/>
    <w:qFormat/>
    <w:uiPriority w:val="0"/>
    <w:rPr>
      <w:rFonts w:ascii="Cambria" w:hAnsi="Cambria"/>
      <w:b/>
      <w:bCs/>
      <w:kern w:val="2"/>
      <w:sz w:val="32"/>
      <w:szCs w:val="32"/>
    </w:rPr>
  </w:style>
  <w:style w:type="character" w:customStyle="1" w:styleId="107">
    <w:name w:val="批注主题 Char"/>
    <w:link w:val="62"/>
    <w:qFormat/>
    <w:uiPriority w:val="99"/>
    <w:rPr>
      <w:b/>
      <w:bCs/>
      <w:kern w:val="2"/>
      <w:sz w:val="21"/>
      <w:szCs w:val="24"/>
    </w:rPr>
  </w:style>
  <w:style w:type="character" w:customStyle="1" w:styleId="108">
    <w:name w:val="正文首行缩进 2 Char"/>
    <w:link w:val="64"/>
    <w:qFormat/>
    <w:uiPriority w:val="99"/>
    <w:rPr>
      <w:rFonts w:ascii="仿宋_GB2312" w:eastAsia="仿宋_GB2312"/>
      <w:color w:val="FF6600"/>
      <w:kern w:val="2"/>
      <w:sz w:val="21"/>
    </w:rPr>
  </w:style>
  <w:style w:type="character" w:customStyle="1" w:styleId="109">
    <w:name w:val="样式2 Char Char"/>
    <w:link w:val="110"/>
    <w:qFormat/>
    <w:uiPriority w:val="0"/>
    <w:rPr>
      <w:b/>
      <w:bCs/>
      <w:kern w:val="44"/>
      <w:sz w:val="28"/>
      <w:szCs w:val="44"/>
    </w:rPr>
  </w:style>
  <w:style w:type="paragraph" w:customStyle="1" w:styleId="110">
    <w:name w:val="样式2"/>
    <w:basedOn w:val="2"/>
    <w:link w:val="109"/>
    <w:qFormat/>
    <w:uiPriority w:val="0"/>
    <w:pPr>
      <w:adjustRightInd w:val="0"/>
      <w:snapToGrid w:val="0"/>
      <w:spacing w:line="360" w:lineRule="auto"/>
    </w:pPr>
    <w:rPr>
      <w:sz w:val="28"/>
    </w:rPr>
  </w:style>
  <w:style w:type="character" w:customStyle="1" w:styleId="111">
    <w:name w:val="param-name"/>
    <w:qFormat/>
    <w:uiPriority w:val="0"/>
  </w:style>
  <w:style w:type="character" w:customStyle="1" w:styleId="112">
    <w:name w:val="纯文本 Char1"/>
    <w:semiHidden/>
    <w:qFormat/>
    <w:uiPriority w:val="0"/>
    <w:rPr>
      <w:rFonts w:ascii="宋体" w:hAnsi="Courier New" w:cs="Courier New"/>
      <w:kern w:val="2"/>
      <w:sz w:val="21"/>
      <w:szCs w:val="21"/>
    </w:rPr>
  </w:style>
  <w:style w:type="character" w:customStyle="1" w:styleId="113">
    <w:name w:val="正文缩进2格 Char Char"/>
    <w:link w:val="114"/>
    <w:qFormat/>
    <w:locked/>
    <w:uiPriority w:val="0"/>
    <w:rPr>
      <w:rFonts w:ascii="仿宋_GB2312" w:hAnsi="宋体" w:eastAsia="仿宋_GB2312"/>
      <w:sz w:val="31"/>
      <w:szCs w:val="28"/>
    </w:rPr>
  </w:style>
  <w:style w:type="paragraph" w:customStyle="1" w:styleId="114">
    <w:name w:val="正文缩进2格"/>
    <w:basedOn w:val="1"/>
    <w:link w:val="113"/>
    <w:qFormat/>
    <w:uiPriority w:val="0"/>
    <w:pPr>
      <w:spacing w:line="600" w:lineRule="exact"/>
      <w:ind w:firstLine="639" w:firstLineChars="206"/>
    </w:pPr>
    <w:rPr>
      <w:rFonts w:ascii="仿宋_GB2312" w:hAnsi="宋体" w:eastAsia="仿宋_GB2312"/>
      <w:kern w:val="0"/>
      <w:sz w:val="31"/>
      <w:szCs w:val="28"/>
    </w:rPr>
  </w:style>
  <w:style w:type="character" w:customStyle="1" w:styleId="115">
    <w:name w:val="列出段落 Char"/>
    <w:link w:val="116"/>
    <w:qFormat/>
    <w:locked/>
    <w:uiPriority w:val="34"/>
  </w:style>
  <w:style w:type="paragraph" w:customStyle="1" w:styleId="116">
    <w:name w:val="列出段落1"/>
    <w:basedOn w:val="1"/>
    <w:link w:val="115"/>
    <w:qFormat/>
    <w:uiPriority w:val="34"/>
    <w:pPr>
      <w:ind w:firstLine="420" w:firstLineChars="200"/>
    </w:pPr>
    <w:rPr>
      <w:rFonts w:ascii="Calibri" w:hAnsi="Calibri" w:cs="黑体"/>
      <w:szCs w:val="22"/>
    </w:rPr>
  </w:style>
  <w:style w:type="character" w:customStyle="1" w:styleId="117">
    <w:name w:val="段落正文 字符"/>
    <w:link w:val="118"/>
    <w:qFormat/>
    <w:uiPriority w:val="0"/>
    <w:rPr>
      <w:kern w:val="2"/>
      <w:sz w:val="24"/>
      <w:szCs w:val="21"/>
    </w:rPr>
  </w:style>
  <w:style w:type="paragraph" w:customStyle="1" w:styleId="118">
    <w:name w:val="段落正文"/>
    <w:basedOn w:val="1"/>
    <w:link w:val="117"/>
    <w:qFormat/>
    <w:uiPriority w:val="0"/>
    <w:pPr>
      <w:spacing w:line="360" w:lineRule="auto"/>
      <w:ind w:firstLine="200" w:firstLineChars="200"/>
    </w:pPr>
    <w:rPr>
      <w:sz w:val="24"/>
      <w:szCs w:val="21"/>
    </w:rPr>
  </w:style>
  <w:style w:type="character" w:customStyle="1" w:styleId="119">
    <w:name w:val="纯文本 Char Char Char Char"/>
    <w:qFormat/>
    <w:uiPriority w:val="0"/>
    <w:rPr>
      <w:rFonts w:ascii="宋体" w:hAnsi="Courier New"/>
      <w:kern w:val="2"/>
      <w:sz w:val="21"/>
    </w:rPr>
  </w:style>
  <w:style w:type="character" w:customStyle="1" w:styleId="120">
    <w:name w:val="apple-converted-space"/>
    <w:qFormat/>
    <w:uiPriority w:val="0"/>
  </w:style>
  <w:style w:type="character" w:customStyle="1" w:styleId="121">
    <w:name w:val="fontstyle01"/>
    <w:qFormat/>
    <w:uiPriority w:val="0"/>
    <w:rPr>
      <w:rFonts w:hint="eastAsia" w:ascii="宋体" w:hAnsi="宋体" w:eastAsia="宋体"/>
      <w:color w:val="000000"/>
      <w:sz w:val="22"/>
      <w:szCs w:val="22"/>
    </w:rPr>
  </w:style>
  <w:style w:type="character" w:customStyle="1" w:styleId="122">
    <w:name w:val="无间隔 Char"/>
    <w:link w:val="123"/>
    <w:qFormat/>
    <w:uiPriority w:val="1"/>
    <w:rPr>
      <w:rFonts w:ascii="Calibri" w:hAnsi="Calibri" w:eastAsia="仿宋_GB2312"/>
      <w:kern w:val="2"/>
      <w:sz w:val="28"/>
      <w:szCs w:val="22"/>
      <w:lang w:val="en-US" w:eastAsia="zh-CN" w:bidi="ar-SA"/>
    </w:rPr>
  </w:style>
  <w:style w:type="paragraph" w:styleId="123">
    <w:name w:val="No Spacing"/>
    <w:link w:val="122"/>
    <w:qFormat/>
    <w:uiPriority w:val="1"/>
    <w:pPr>
      <w:widowControl w:val="0"/>
      <w:ind w:firstLine="200" w:firstLineChars="200"/>
      <w:contextualSpacing/>
      <w:jc w:val="both"/>
    </w:pPr>
    <w:rPr>
      <w:rFonts w:ascii="Calibri" w:hAnsi="Calibri" w:eastAsia="仿宋_GB2312" w:cs="Times New Roman"/>
      <w:kern w:val="2"/>
      <w:sz w:val="28"/>
      <w:szCs w:val="22"/>
      <w:lang w:val="en-US" w:eastAsia="zh-CN" w:bidi="ar-SA"/>
    </w:rPr>
  </w:style>
  <w:style w:type="character" w:customStyle="1" w:styleId="124">
    <w:name w:val="标题 1 Char Char"/>
    <w:qFormat/>
    <w:uiPriority w:val="0"/>
    <w:rPr>
      <w:rFonts w:hint="eastAsia" w:ascii="宋体" w:hAnsi="宋体" w:eastAsia="宋体"/>
      <w:b/>
      <w:spacing w:val="-2"/>
      <w:sz w:val="24"/>
      <w:lang w:val="en-US" w:eastAsia="zh-CN"/>
    </w:rPr>
  </w:style>
  <w:style w:type="character" w:customStyle="1" w:styleId="125">
    <w:name w:val="fontstyle21"/>
    <w:qFormat/>
    <w:uiPriority w:val="0"/>
    <w:rPr>
      <w:rFonts w:hint="default" w:ascii="Calibri" w:hAnsi="Calibri" w:cs="Calibri"/>
      <w:color w:val="000000"/>
      <w:sz w:val="22"/>
      <w:szCs w:val="22"/>
    </w:rPr>
  </w:style>
  <w:style w:type="paragraph" w:customStyle="1" w:styleId="126">
    <w:name w:val="表中文字"/>
    <w:basedOn w:val="1"/>
    <w:next w:val="1"/>
    <w:qFormat/>
    <w:uiPriority w:val="0"/>
    <w:pPr>
      <w:widowControl/>
      <w:spacing w:line="320" w:lineRule="exact"/>
      <w:jc w:val="center"/>
    </w:pPr>
    <w:rPr>
      <w:color w:val="000000"/>
      <w:szCs w:val="20"/>
    </w:rPr>
  </w:style>
  <w:style w:type="paragraph" w:customStyle="1" w:styleId="127">
    <w:name w:val="Style Normal Indent表正文正文非缩进特点ALT+Z标题4段1正文（首行缩进两字） Char正文（首行...1"/>
    <w:basedOn w:val="15"/>
    <w:qFormat/>
    <w:uiPriority w:val="0"/>
    <w:pPr>
      <w:spacing w:line="360" w:lineRule="auto"/>
      <w:ind w:firstLine="590" w:firstLineChars="246"/>
    </w:pPr>
    <w:rPr>
      <w:sz w:val="24"/>
    </w:rPr>
  </w:style>
  <w:style w:type="paragraph" w:styleId="128">
    <w:name w:val="List Paragraph"/>
    <w:basedOn w:val="1"/>
    <w:qFormat/>
    <w:uiPriority w:val="1"/>
    <w:pPr>
      <w:widowControl/>
      <w:autoSpaceDE w:val="0"/>
      <w:autoSpaceDN w:val="0"/>
      <w:adjustRightInd w:val="0"/>
      <w:snapToGrid w:val="0"/>
      <w:spacing w:afterLines="50"/>
      <w:ind w:firstLine="420" w:firstLineChars="200"/>
      <w:jc w:val="left"/>
    </w:pPr>
    <w:rPr>
      <w:rFonts w:ascii="宋体" w:hAnsi="宋体"/>
      <w:sz w:val="24"/>
    </w:rPr>
  </w:style>
  <w:style w:type="paragraph" w:customStyle="1" w:styleId="129">
    <w:name w:val="列出段落2"/>
    <w:basedOn w:val="1"/>
    <w:qFormat/>
    <w:uiPriority w:val="34"/>
    <w:pPr>
      <w:ind w:firstLine="420" w:firstLineChars="200"/>
    </w:pPr>
    <w:rPr>
      <w:szCs w:val="20"/>
    </w:rPr>
  </w:style>
  <w:style w:type="paragraph" w:customStyle="1" w:styleId="130">
    <w:name w:val="正文1"/>
    <w:basedOn w:val="1"/>
    <w:qFormat/>
    <w:uiPriority w:val="0"/>
    <w:pPr>
      <w:spacing w:line="300" w:lineRule="auto"/>
      <w:contextualSpacing/>
    </w:pPr>
    <w:rPr>
      <w:rFonts w:ascii="Arial" w:hAnsi="Arial" w:cs="Arial"/>
      <w:sz w:val="24"/>
    </w:rPr>
  </w:style>
  <w:style w:type="paragraph" w:customStyle="1" w:styleId="13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GP正文(首行缩进)"/>
    <w:basedOn w:val="1"/>
    <w:qFormat/>
    <w:uiPriority w:val="0"/>
    <w:pPr>
      <w:spacing w:line="360" w:lineRule="auto"/>
      <w:ind w:firstLine="480" w:firstLineChars="200"/>
      <w:jc w:val="left"/>
    </w:pPr>
    <w:rPr>
      <w:rFonts w:hAnsi="宋体"/>
      <w:sz w:val="24"/>
    </w:rPr>
  </w:style>
  <w:style w:type="paragraph" w:customStyle="1" w:styleId="13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34">
    <w:name w:val="表内容"/>
    <w:basedOn w:val="1"/>
    <w:qFormat/>
    <w:uiPriority w:val="0"/>
    <w:pPr>
      <w:widowControl/>
      <w:autoSpaceDE w:val="0"/>
      <w:autoSpaceDN w:val="0"/>
      <w:adjustRightInd w:val="0"/>
      <w:snapToGrid w:val="0"/>
      <w:spacing w:afterLines="50" w:line="288" w:lineRule="auto"/>
      <w:jc w:val="center"/>
    </w:pPr>
    <w:rPr>
      <w:rFonts w:ascii="宋体" w:hAnsi="宋体"/>
      <w:sz w:val="18"/>
      <w:szCs w:val="22"/>
    </w:rPr>
  </w:style>
  <w:style w:type="paragraph" w:customStyle="1" w:styleId="135">
    <w:name w:val="p0"/>
    <w:basedOn w:val="1"/>
    <w:qFormat/>
    <w:uiPriority w:val="0"/>
    <w:pPr>
      <w:widowControl/>
    </w:pPr>
    <w:rPr>
      <w:kern w:val="0"/>
      <w:szCs w:val="21"/>
    </w:rPr>
  </w:style>
  <w:style w:type="paragraph" w:customStyle="1" w:styleId="136">
    <w:name w:val="纯文本2"/>
    <w:basedOn w:val="1"/>
    <w:qFormat/>
    <w:uiPriority w:val="0"/>
    <w:rPr>
      <w:rFonts w:ascii="宋体" w:hAnsi="Courier New"/>
      <w:sz w:val="28"/>
    </w:rPr>
  </w:style>
  <w:style w:type="paragraph" w:customStyle="1" w:styleId="137">
    <w:name w:val="从CC出差"/>
    <w:basedOn w:val="110"/>
    <w:qFormat/>
    <w:uiPriority w:val="0"/>
    <w:pPr>
      <w:keepNext w:val="0"/>
      <w:keepLines w:val="0"/>
      <w:adjustRightInd/>
      <w:snapToGrid/>
      <w:spacing w:before="0" w:after="0" w:line="240" w:lineRule="auto"/>
      <w:outlineLvl w:val="9"/>
    </w:pPr>
    <w:rPr>
      <w:rFonts w:ascii="宋体" w:hAnsi="宋体"/>
      <w:bCs w:val="0"/>
      <w:kern w:val="2"/>
      <w:sz w:val="24"/>
      <w:szCs w:val="24"/>
    </w:rPr>
  </w:style>
  <w:style w:type="paragraph" w:customStyle="1" w:styleId="138">
    <w:name w:val="样式 标题 2 + 黑色 行距: 1.5 倍行距"/>
    <w:basedOn w:val="3"/>
    <w:qFormat/>
    <w:uiPriority w:val="99"/>
    <w:pPr>
      <w:spacing w:line="360" w:lineRule="auto"/>
      <w:ind w:firstLine="3502" w:firstLineChars="1246"/>
    </w:pPr>
    <w:rPr>
      <w:rFonts w:ascii="楷体_GB2312" w:hAnsi="宋体" w:eastAsia="楷体_GB2312" w:cs="仿宋_GB2312"/>
      <w:sz w:val="28"/>
      <w:szCs w:val="28"/>
    </w:rPr>
  </w:style>
  <w:style w:type="paragraph" w:customStyle="1" w:styleId="139">
    <w:name w:val="HU正文"/>
    <w:basedOn w:val="1"/>
    <w:qFormat/>
    <w:uiPriority w:val="0"/>
    <w:pPr>
      <w:adjustRightInd w:val="0"/>
      <w:spacing w:line="312" w:lineRule="auto"/>
      <w:ind w:left="420" w:firstLine="420" w:firstLineChars="200"/>
      <w:textAlignment w:val="baseline"/>
    </w:pPr>
    <w:rPr>
      <w:szCs w:val="21"/>
    </w:rPr>
  </w:style>
  <w:style w:type="table" w:customStyle="1" w:styleId="140">
    <w:name w:val="网格型1"/>
    <w:basedOn w:val="65"/>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1">
    <w:name w:val="p15"/>
    <w:basedOn w:val="1"/>
    <w:qFormat/>
    <w:uiPriority w:val="0"/>
    <w:pPr>
      <w:widowControl/>
      <w:ind w:firstLine="420"/>
    </w:pPr>
    <w:rPr>
      <w:kern w:val="0"/>
      <w:szCs w:val="20"/>
    </w:rPr>
  </w:style>
  <w:style w:type="paragraph" w:customStyle="1" w:styleId="142">
    <w:name w:val="_Style 88"/>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3">
    <w:name w:val="style91"/>
    <w:qFormat/>
    <w:uiPriority w:val="0"/>
    <w:rPr>
      <w:color w:val="2060C0"/>
      <w:sz w:val="24"/>
      <w:szCs w:val="24"/>
    </w:rPr>
  </w:style>
  <w:style w:type="character" w:customStyle="1" w:styleId="144">
    <w:name w:val="Comment Text Char"/>
    <w:qFormat/>
    <w:uiPriority w:val="0"/>
    <w:rPr>
      <w:rFonts w:hint="default" w:ascii="Times New Roman" w:hAnsi="Times New Roman" w:cs="Times New Roman"/>
      <w:sz w:val="21"/>
      <w:szCs w:val="21"/>
      <w:lang w:bidi="ar-SA"/>
    </w:rPr>
  </w:style>
  <w:style w:type="character" w:customStyle="1" w:styleId="145">
    <w:name w:val="ca-1"/>
    <w:qFormat/>
    <w:uiPriority w:val="0"/>
  </w:style>
  <w:style w:type="character" w:customStyle="1" w:styleId="146">
    <w:name w:val="纯文本 Char_0"/>
    <w:link w:val="147"/>
    <w:qFormat/>
    <w:locked/>
    <w:uiPriority w:val="0"/>
    <w:rPr>
      <w:rFonts w:ascii="宋体" w:hAnsi="Courier New"/>
      <w:kern w:val="2"/>
      <w:sz w:val="21"/>
      <w:szCs w:val="21"/>
    </w:rPr>
  </w:style>
  <w:style w:type="paragraph" w:customStyle="1" w:styleId="147">
    <w:name w:val="纯文本_0"/>
    <w:basedOn w:val="148"/>
    <w:link w:val="146"/>
    <w:qFormat/>
    <w:uiPriority w:val="0"/>
    <w:rPr>
      <w:rFonts w:ascii="宋体" w:hAnsi="Courier New"/>
      <w:szCs w:val="21"/>
    </w:rPr>
  </w:style>
  <w:style w:type="paragraph" w:customStyle="1" w:styleId="14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Char Char23"/>
    <w:qFormat/>
    <w:uiPriority w:val="0"/>
    <w:rPr>
      <w:kern w:val="2"/>
      <w:sz w:val="24"/>
      <w:szCs w:val="21"/>
      <w:lang w:bidi="ar-SA"/>
    </w:rPr>
  </w:style>
  <w:style w:type="character" w:customStyle="1" w:styleId="150">
    <w:name w:val="Char Char1"/>
    <w:qFormat/>
    <w:uiPriority w:val="0"/>
    <w:rPr>
      <w:rFonts w:hint="eastAsia" w:ascii="宋体" w:hAnsi="宋体" w:eastAsia="宋体"/>
      <w:kern w:val="2"/>
      <w:sz w:val="21"/>
      <w:lang w:val="en-US" w:eastAsia="zh-CN"/>
    </w:rPr>
  </w:style>
  <w:style w:type="character" w:customStyle="1" w:styleId="151">
    <w:name w:val="ca-31"/>
    <w:qFormat/>
    <w:uiPriority w:val="0"/>
    <w:rPr>
      <w:rFonts w:hint="eastAsia" w:ascii="宋体" w:hAnsi="宋体" w:eastAsia="宋体"/>
      <w:color w:val="000000"/>
      <w:sz w:val="21"/>
      <w:szCs w:val="21"/>
    </w:rPr>
  </w:style>
  <w:style w:type="character" w:customStyle="1" w:styleId="152">
    <w:name w:val="wj1"/>
    <w:qFormat/>
    <w:uiPriority w:val="0"/>
    <w:rPr>
      <w:color w:val="000000"/>
      <w:sz w:val="18"/>
      <w:szCs w:val="18"/>
      <w:u w:val="none"/>
    </w:rPr>
  </w:style>
  <w:style w:type="character" w:customStyle="1" w:styleId="153">
    <w:name w:val="Header Char"/>
    <w:qFormat/>
    <w:uiPriority w:val="0"/>
    <w:rPr>
      <w:rFonts w:hint="eastAsia" w:ascii="宋体" w:hAnsi="宋体" w:eastAsia="宋体"/>
      <w:kern w:val="2"/>
      <w:sz w:val="18"/>
      <w:lang w:val="en-US" w:eastAsia="zh-CN"/>
    </w:rPr>
  </w:style>
  <w:style w:type="character" w:customStyle="1" w:styleId="154">
    <w:name w:val="List Paragraph Char"/>
    <w:link w:val="155"/>
    <w:qFormat/>
    <w:locked/>
    <w:uiPriority w:val="99"/>
    <w:rPr>
      <w:rFonts w:ascii="Calibri" w:hAnsi="Calibri"/>
      <w:kern w:val="2"/>
      <w:sz w:val="21"/>
      <w:szCs w:val="22"/>
    </w:rPr>
  </w:style>
  <w:style w:type="paragraph" w:customStyle="1" w:styleId="155">
    <w:name w:val="列出段落11"/>
    <w:basedOn w:val="1"/>
    <w:link w:val="154"/>
    <w:qFormat/>
    <w:uiPriority w:val="99"/>
    <w:pPr>
      <w:ind w:firstLine="200" w:firstLineChars="200"/>
    </w:pPr>
    <w:rPr>
      <w:rFonts w:ascii="Calibri" w:hAnsi="Calibri"/>
      <w:szCs w:val="22"/>
    </w:rPr>
  </w:style>
  <w:style w:type="character" w:customStyle="1" w:styleId="156">
    <w:name w:val="ca-41"/>
    <w:qFormat/>
    <w:uiPriority w:val="0"/>
    <w:rPr>
      <w:rFonts w:hint="eastAsia" w:ascii="宋体" w:hAnsi="宋体" w:eastAsia="宋体"/>
      <w:b/>
      <w:bCs/>
      <w:color w:val="000000"/>
      <w:spacing w:val="-20"/>
      <w:sz w:val="21"/>
      <w:szCs w:val="21"/>
    </w:rPr>
  </w:style>
  <w:style w:type="character" w:customStyle="1" w:styleId="157">
    <w:name w:val="z12 style23"/>
    <w:qFormat/>
    <w:uiPriority w:val="0"/>
  </w:style>
  <w:style w:type="character" w:customStyle="1" w:styleId="158">
    <w:name w:val="段 Char"/>
    <w:link w:val="159"/>
    <w:qFormat/>
    <w:locked/>
    <w:uiPriority w:val="0"/>
    <w:rPr>
      <w:rFonts w:ascii="宋体"/>
      <w:sz w:val="21"/>
      <w:lang w:val="en-US" w:eastAsia="zh-CN" w:bidi="ar-SA"/>
    </w:rPr>
  </w:style>
  <w:style w:type="paragraph" w:customStyle="1" w:styleId="159">
    <w:name w:val="段"/>
    <w:link w:val="1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0">
    <w:name w:val="Heading 4 Char"/>
    <w:qFormat/>
    <w:uiPriority w:val="0"/>
    <w:rPr>
      <w:rFonts w:hint="default" w:ascii="Cambria" w:hAnsi="Cambria" w:eastAsia="宋体" w:cs="Cambria"/>
      <w:b/>
      <w:bCs/>
      <w:sz w:val="28"/>
      <w:szCs w:val="28"/>
      <w:lang w:bidi="ar-SA"/>
    </w:rPr>
  </w:style>
  <w:style w:type="character" w:customStyle="1" w:styleId="161">
    <w:name w:val="Heading 2 Char"/>
    <w:qFormat/>
    <w:uiPriority w:val="0"/>
    <w:rPr>
      <w:rFonts w:hint="default" w:ascii="Arial" w:hAnsi="Arial" w:eastAsia="黑体" w:cs="Arial"/>
      <w:b/>
      <w:bCs/>
      <w:kern w:val="2"/>
      <w:sz w:val="32"/>
      <w:szCs w:val="32"/>
      <w:lang w:val="en-US" w:eastAsia="zh-CN" w:bidi="ar-SA"/>
    </w:rPr>
  </w:style>
  <w:style w:type="character" w:customStyle="1" w:styleId="162">
    <w:name w:val="纯文本 Char_0_0"/>
    <w:link w:val="163"/>
    <w:qFormat/>
    <w:locked/>
    <w:uiPriority w:val="0"/>
    <w:rPr>
      <w:rFonts w:ascii="宋体" w:hAnsi="Courier New"/>
      <w:szCs w:val="21"/>
    </w:rPr>
  </w:style>
  <w:style w:type="paragraph" w:customStyle="1" w:styleId="163">
    <w:name w:val="纯文本_0_0"/>
    <w:basedOn w:val="164"/>
    <w:link w:val="162"/>
    <w:qFormat/>
    <w:uiPriority w:val="0"/>
    <w:rPr>
      <w:rFonts w:ascii="宋体" w:hAnsi="Courier New"/>
      <w:szCs w:val="21"/>
    </w:rPr>
  </w:style>
  <w:style w:type="paragraph" w:customStyle="1" w:styleId="164">
    <w:name w:val="正文_7_1_0_0"/>
    <w:qFormat/>
    <w:uiPriority w:val="0"/>
    <w:pPr>
      <w:widowControl w:val="0"/>
      <w:jc w:val="both"/>
    </w:pPr>
    <w:rPr>
      <w:rFonts w:ascii="Times New Roman" w:hAnsi="Times New Roman" w:eastAsia="宋体" w:cs="Times New Roman"/>
      <w:lang w:val="en-US" w:eastAsia="zh-CN" w:bidi="ar-SA"/>
    </w:rPr>
  </w:style>
  <w:style w:type="character" w:customStyle="1" w:styleId="165">
    <w:name w:val="Plain Text Char"/>
    <w:qFormat/>
    <w:locked/>
    <w:uiPriority w:val="0"/>
    <w:rPr>
      <w:rFonts w:ascii="宋体" w:hAnsi="Courier New" w:eastAsia="宋体"/>
      <w:kern w:val="2"/>
      <w:sz w:val="21"/>
      <w:lang w:val="en-US" w:eastAsia="zh-CN" w:bidi="ar-SA"/>
    </w:rPr>
  </w:style>
  <w:style w:type="character" w:customStyle="1" w:styleId="166">
    <w:name w:val="正文缩进 Char1_0"/>
    <w:link w:val="167"/>
    <w:qFormat/>
    <w:locked/>
    <w:uiPriority w:val="0"/>
    <w:rPr>
      <w:kern w:val="2"/>
      <w:sz w:val="21"/>
      <w:szCs w:val="22"/>
    </w:rPr>
  </w:style>
  <w:style w:type="paragraph" w:customStyle="1" w:styleId="167">
    <w:name w:val="正文缩进_0"/>
    <w:basedOn w:val="148"/>
    <w:link w:val="166"/>
    <w:qFormat/>
    <w:uiPriority w:val="0"/>
    <w:pPr>
      <w:ind w:firstLine="420" w:firstLineChars="200"/>
    </w:pPr>
    <w:rPr>
      <w:szCs w:val="22"/>
    </w:rPr>
  </w:style>
  <w:style w:type="character" w:customStyle="1" w:styleId="168">
    <w:name w:val="Char Char3"/>
    <w:qFormat/>
    <w:uiPriority w:val="0"/>
    <w:rPr>
      <w:rFonts w:hint="default" w:ascii="Arial" w:hAnsi="Arial" w:eastAsia="黑体" w:cs="Times New Roman"/>
      <w:b/>
      <w:bCs/>
      <w:kern w:val="2"/>
      <w:sz w:val="32"/>
      <w:szCs w:val="32"/>
      <w:lang w:val="en-US" w:eastAsia="zh-CN" w:bidi="ar-SA"/>
    </w:rPr>
  </w:style>
  <w:style w:type="character" w:customStyle="1" w:styleId="169">
    <w:name w:val="Font Style29"/>
    <w:qFormat/>
    <w:uiPriority w:val="0"/>
    <w:rPr>
      <w:rFonts w:ascii="Arial" w:hAnsi="Arial" w:cs="Arial"/>
      <w:sz w:val="14"/>
      <w:szCs w:val="14"/>
    </w:rPr>
  </w:style>
  <w:style w:type="character" w:customStyle="1" w:styleId="170">
    <w:name w:val="font21"/>
    <w:qFormat/>
    <w:uiPriority w:val="0"/>
    <w:rPr>
      <w:rFonts w:hint="default" w:ascii="Times New Roman" w:hAnsi="Times New Roman" w:cs="Times New Roman"/>
      <w:color w:val="000000"/>
      <w:sz w:val="20"/>
      <w:u w:val="none"/>
    </w:rPr>
  </w:style>
  <w:style w:type="character" w:customStyle="1" w:styleId="171">
    <w:name w:val="Font Style36"/>
    <w:qFormat/>
    <w:uiPriority w:val="0"/>
    <w:rPr>
      <w:rFonts w:ascii="宋体" w:eastAsia="宋体" w:cs="宋体"/>
      <w:sz w:val="16"/>
      <w:szCs w:val="16"/>
    </w:rPr>
  </w:style>
  <w:style w:type="character" w:customStyle="1" w:styleId="172">
    <w:name w:val="maywed421"/>
    <w:qFormat/>
    <w:uiPriority w:val="0"/>
    <w:rPr>
      <w:color w:val="366FB6"/>
      <w:u w:val="none"/>
    </w:rPr>
  </w:style>
  <w:style w:type="character" w:customStyle="1" w:styleId="173">
    <w:name w:val="ca-01"/>
    <w:qFormat/>
    <w:uiPriority w:val="0"/>
    <w:rPr>
      <w:rFonts w:hint="eastAsia" w:ascii="宋体" w:hAnsi="宋体" w:eastAsia="宋体"/>
      <w:b/>
      <w:bCs/>
      <w:spacing w:val="-20"/>
      <w:sz w:val="24"/>
      <w:szCs w:val="24"/>
    </w:rPr>
  </w:style>
  <w:style w:type="character" w:customStyle="1" w:styleId="174">
    <w:name w:val="正文文本 Char1"/>
    <w:qFormat/>
    <w:uiPriority w:val="0"/>
    <w:rPr>
      <w:rFonts w:ascii="华文彩云" w:hAnsi="宋体" w:eastAsia="华文彩云"/>
      <w:bCs/>
      <w:color w:val="000000"/>
      <w:kern w:val="2"/>
      <w:sz w:val="28"/>
      <w:szCs w:val="24"/>
    </w:rPr>
  </w:style>
  <w:style w:type="character" w:customStyle="1" w:styleId="175">
    <w:name w:val="正文（编号） Char Char"/>
    <w:link w:val="176"/>
    <w:qFormat/>
    <w:locked/>
    <w:uiPriority w:val="0"/>
    <w:rPr>
      <w:kern w:val="2"/>
      <w:sz w:val="24"/>
      <w:szCs w:val="24"/>
    </w:rPr>
  </w:style>
  <w:style w:type="paragraph" w:customStyle="1" w:styleId="176">
    <w:name w:val="正文（编号）"/>
    <w:basedOn w:val="177"/>
    <w:link w:val="175"/>
    <w:qFormat/>
    <w:uiPriority w:val="0"/>
    <w:pPr>
      <w:tabs>
        <w:tab w:val="left" w:pos="720"/>
        <w:tab w:val="left" w:pos="780"/>
      </w:tabs>
      <w:spacing w:beforeLines="0" w:afterLines="0"/>
      <w:ind w:left="720" w:firstLine="0" w:firstLineChars="0"/>
    </w:pPr>
    <w:rPr>
      <w:rFonts w:ascii="Times New Roman" w:hAnsi="Times New Roman"/>
      <w:szCs w:val="24"/>
    </w:rPr>
  </w:style>
  <w:style w:type="paragraph" w:customStyle="1" w:styleId="177">
    <w:name w:val="正文（缩进）"/>
    <w:basedOn w:val="1"/>
    <w:qFormat/>
    <w:uiPriority w:val="0"/>
    <w:pPr>
      <w:spacing w:beforeLines="50" w:afterLines="50" w:line="360" w:lineRule="auto"/>
      <w:ind w:firstLine="200" w:firstLineChars="200"/>
    </w:pPr>
    <w:rPr>
      <w:rFonts w:ascii="Calibri" w:hAnsi="Calibri"/>
      <w:sz w:val="24"/>
      <w:szCs w:val="22"/>
    </w:rPr>
  </w:style>
  <w:style w:type="character" w:customStyle="1" w:styleId="178">
    <w:name w:val="正文（缩进） Char Char"/>
    <w:qFormat/>
    <w:uiPriority w:val="0"/>
    <w:rPr>
      <w:rFonts w:hint="eastAsia" w:ascii="宋体" w:hAnsi="宋体" w:eastAsia="宋体"/>
      <w:kern w:val="2"/>
      <w:sz w:val="24"/>
      <w:szCs w:val="24"/>
      <w:lang w:val="en-US" w:eastAsia="zh-CN" w:bidi="ar-SA"/>
    </w:rPr>
  </w:style>
  <w:style w:type="character" w:customStyle="1" w:styleId="179">
    <w:name w:val="Footer Char"/>
    <w:qFormat/>
    <w:uiPriority w:val="0"/>
    <w:rPr>
      <w:rFonts w:hint="eastAsia" w:ascii="宋体" w:hAnsi="宋体" w:eastAsia="宋体"/>
      <w:kern w:val="2"/>
      <w:sz w:val="18"/>
      <w:lang w:val="en-US" w:eastAsia="zh-CN"/>
    </w:rPr>
  </w:style>
  <w:style w:type="character" w:customStyle="1" w:styleId="180">
    <w:name w:val="批注文字 Char2"/>
    <w:qFormat/>
    <w:uiPriority w:val="0"/>
    <w:rPr>
      <w:kern w:val="2"/>
      <w:sz w:val="21"/>
      <w:szCs w:val="24"/>
    </w:rPr>
  </w:style>
  <w:style w:type="character" w:customStyle="1" w:styleId="181">
    <w:name w:val="纯文本 Char_1"/>
    <w:link w:val="182"/>
    <w:qFormat/>
    <w:locked/>
    <w:uiPriority w:val="0"/>
    <w:rPr>
      <w:rFonts w:ascii="Calibri" w:hAnsi="Calibri"/>
      <w:kern w:val="2"/>
      <w:sz w:val="21"/>
      <w:szCs w:val="22"/>
    </w:rPr>
  </w:style>
  <w:style w:type="paragraph" w:customStyle="1" w:styleId="182">
    <w:name w:val="纯文本_1"/>
    <w:basedOn w:val="1"/>
    <w:link w:val="181"/>
    <w:qFormat/>
    <w:uiPriority w:val="0"/>
    <w:rPr>
      <w:rFonts w:ascii="Calibri" w:hAnsi="Calibri"/>
      <w:szCs w:val="22"/>
    </w:rPr>
  </w:style>
  <w:style w:type="character" w:customStyle="1" w:styleId="183">
    <w:name w:val="Char Char"/>
    <w:qFormat/>
    <w:uiPriority w:val="0"/>
    <w:rPr>
      <w:rFonts w:hint="eastAsia" w:ascii="宋体" w:hAnsi="宋体" w:eastAsia="宋体"/>
      <w:kern w:val="2"/>
      <w:sz w:val="18"/>
      <w:lang w:val="en-US" w:eastAsia="zh-CN"/>
    </w:rPr>
  </w:style>
  <w:style w:type="character" w:customStyle="1" w:styleId="184">
    <w:name w:val="Plain Text Char1"/>
    <w:qFormat/>
    <w:uiPriority w:val="0"/>
    <w:rPr>
      <w:rFonts w:hint="eastAsia" w:ascii="宋体" w:hAnsi="宋体" w:eastAsia="宋体"/>
      <w:kern w:val="2"/>
      <w:sz w:val="21"/>
      <w:szCs w:val="21"/>
      <w:lang w:val="en-US" w:eastAsia="zh-CN" w:bidi="ar-SA"/>
    </w:rPr>
  </w:style>
  <w:style w:type="character" w:customStyle="1" w:styleId="185">
    <w:name w:val="ca-51"/>
    <w:qFormat/>
    <w:uiPriority w:val="0"/>
    <w:rPr>
      <w:rFonts w:hint="eastAsia" w:ascii="楷体_GB2312" w:eastAsia="楷体_GB2312"/>
      <w:b/>
      <w:bCs/>
      <w:spacing w:val="-20"/>
      <w:sz w:val="24"/>
      <w:szCs w:val="24"/>
    </w:rPr>
  </w:style>
  <w:style w:type="character" w:customStyle="1" w:styleId="186">
    <w:name w:val="正文文本_"/>
    <w:link w:val="187"/>
    <w:qFormat/>
    <w:locked/>
    <w:uiPriority w:val="99"/>
    <w:rPr>
      <w:rFonts w:ascii="宋体" w:hAnsi="宋体"/>
      <w:sz w:val="22"/>
      <w:lang w:val="zh-CN"/>
    </w:rPr>
  </w:style>
  <w:style w:type="paragraph" w:customStyle="1" w:styleId="187">
    <w:name w:val="正文文本1"/>
    <w:basedOn w:val="1"/>
    <w:link w:val="186"/>
    <w:qFormat/>
    <w:uiPriority w:val="99"/>
    <w:pPr>
      <w:spacing w:line="432" w:lineRule="auto"/>
      <w:jc w:val="left"/>
    </w:pPr>
    <w:rPr>
      <w:rFonts w:ascii="宋体" w:hAnsi="宋体"/>
      <w:kern w:val="0"/>
      <w:sz w:val="22"/>
      <w:szCs w:val="20"/>
      <w:lang w:val="zh-CN"/>
    </w:rPr>
  </w:style>
  <w:style w:type="character" w:customStyle="1" w:styleId="188">
    <w:name w:val="Heading 3 Char"/>
    <w:qFormat/>
    <w:uiPriority w:val="0"/>
    <w:rPr>
      <w:rFonts w:hint="default" w:ascii="Times New Roman" w:hAnsi="Times New Roman" w:cs="Times New Roman"/>
      <w:b/>
      <w:bCs/>
      <w:sz w:val="32"/>
      <w:szCs w:val="32"/>
      <w:lang w:bidi="ar-SA"/>
    </w:rPr>
  </w:style>
  <w:style w:type="character" w:customStyle="1" w:styleId="189">
    <w:name w:val="ca-11"/>
    <w:qFormat/>
    <w:uiPriority w:val="0"/>
    <w:rPr>
      <w:rFonts w:hint="eastAsia" w:ascii="宋体" w:hAnsi="宋体" w:eastAsia="宋体"/>
      <w:b/>
      <w:bCs/>
      <w:color w:val="000000"/>
      <w:spacing w:val="-20"/>
      <w:sz w:val="28"/>
      <w:szCs w:val="28"/>
    </w:rPr>
  </w:style>
  <w:style w:type="character" w:customStyle="1" w:styleId="190">
    <w:name w:val="z1"/>
    <w:qFormat/>
    <w:uiPriority w:val="0"/>
  </w:style>
  <w:style w:type="character" w:customStyle="1" w:styleId="191">
    <w:name w:val="正文（标记） Char2"/>
    <w:link w:val="192"/>
    <w:qFormat/>
    <w:locked/>
    <w:uiPriority w:val="0"/>
    <w:rPr>
      <w:kern w:val="2"/>
      <w:sz w:val="24"/>
      <w:szCs w:val="24"/>
    </w:rPr>
  </w:style>
  <w:style w:type="paragraph" w:customStyle="1" w:styleId="192">
    <w:name w:val="正文（标记）"/>
    <w:basedOn w:val="1"/>
    <w:link w:val="191"/>
    <w:qFormat/>
    <w:uiPriority w:val="0"/>
    <w:pPr>
      <w:tabs>
        <w:tab w:val="left" w:pos="0"/>
        <w:tab w:val="left" w:pos="840"/>
      </w:tabs>
      <w:spacing w:beforeLines="50" w:afterLines="50"/>
    </w:pPr>
    <w:rPr>
      <w:sz w:val="24"/>
    </w:rPr>
  </w:style>
  <w:style w:type="character" w:customStyle="1" w:styleId="193">
    <w:name w:val="Header Char1"/>
    <w:qFormat/>
    <w:uiPriority w:val="0"/>
    <w:rPr>
      <w:rFonts w:hint="default" w:ascii="Times New Roman" w:hAnsi="Times New Roman" w:cs="Times New Roman"/>
      <w:sz w:val="18"/>
      <w:szCs w:val="18"/>
      <w:lang w:bidi="ar-SA"/>
    </w:rPr>
  </w:style>
  <w:style w:type="character" w:customStyle="1" w:styleId="194">
    <w:name w:val="Font Style37"/>
    <w:qFormat/>
    <w:uiPriority w:val="0"/>
    <w:rPr>
      <w:rFonts w:ascii="Arial" w:hAnsi="Arial" w:cs="Arial"/>
      <w:sz w:val="16"/>
      <w:szCs w:val="16"/>
    </w:rPr>
  </w:style>
  <w:style w:type="character" w:customStyle="1" w:styleId="195">
    <w:name w:val="Char Char2"/>
    <w:qFormat/>
    <w:uiPriority w:val="0"/>
    <w:rPr>
      <w:kern w:val="2"/>
      <w:sz w:val="18"/>
      <w:szCs w:val="18"/>
    </w:rPr>
  </w:style>
  <w:style w:type="character" w:customStyle="1" w:styleId="196">
    <w:name w:val="Font Style28"/>
    <w:qFormat/>
    <w:uiPriority w:val="0"/>
    <w:rPr>
      <w:rFonts w:ascii="Constantia" w:hAnsi="Constantia" w:cs="Constantia"/>
      <w:sz w:val="28"/>
      <w:szCs w:val="28"/>
    </w:rPr>
  </w:style>
  <w:style w:type="character" w:customStyle="1" w:styleId="197">
    <w:name w:val="style15"/>
    <w:qFormat/>
    <w:uiPriority w:val="0"/>
  </w:style>
  <w:style w:type="character" w:customStyle="1" w:styleId="198">
    <w:name w:val="+正文 Char3"/>
    <w:link w:val="199"/>
    <w:qFormat/>
    <w:uiPriority w:val="0"/>
    <w:rPr>
      <w:rFonts w:ascii="Calibri" w:hAnsi="Calibri"/>
      <w:kern w:val="2"/>
      <w:sz w:val="24"/>
      <w:szCs w:val="28"/>
    </w:rPr>
  </w:style>
  <w:style w:type="paragraph" w:customStyle="1" w:styleId="199">
    <w:name w:val="+正文"/>
    <w:basedOn w:val="1"/>
    <w:link w:val="198"/>
    <w:qFormat/>
    <w:uiPriority w:val="0"/>
    <w:pPr>
      <w:spacing w:line="360" w:lineRule="auto"/>
      <w:ind w:firstLine="200" w:firstLineChars="200"/>
    </w:pPr>
    <w:rPr>
      <w:rFonts w:ascii="Calibri" w:hAnsi="Calibri"/>
      <w:sz w:val="24"/>
      <w:szCs w:val="28"/>
    </w:rPr>
  </w:style>
  <w:style w:type="character" w:customStyle="1" w:styleId="200">
    <w:name w:val="Footer Char1"/>
    <w:qFormat/>
    <w:uiPriority w:val="0"/>
    <w:rPr>
      <w:rFonts w:hint="default" w:ascii="Times New Roman" w:hAnsi="Times New Roman" w:cs="Times New Roman"/>
      <w:sz w:val="18"/>
      <w:szCs w:val="18"/>
      <w:lang w:bidi="ar-SA"/>
    </w:rPr>
  </w:style>
  <w:style w:type="character" w:customStyle="1" w:styleId="201">
    <w:name w:val="Font Style30"/>
    <w:qFormat/>
    <w:uiPriority w:val="0"/>
    <w:rPr>
      <w:rFonts w:ascii="宋体" w:eastAsia="宋体" w:cs="宋体"/>
      <w:sz w:val="14"/>
      <w:szCs w:val="14"/>
    </w:rPr>
  </w:style>
  <w:style w:type="character" w:customStyle="1" w:styleId="202">
    <w:name w:val="ca-21"/>
    <w:qFormat/>
    <w:uiPriority w:val="0"/>
    <w:rPr>
      <w:rFonts w:hint="eastAsia" w:ascii="宋体" w:hAnsi="宋体" w:eastAsia="宋体"/>
      <w:sz w:val="21"/>
    </w:rPr>
  </w:style>
  <w:style w:type="character" w:customStyle="1" w:styleId="203">
    <w:name w:val="超链接_0"/>
    <w:qFormat/>
    <w:uiPriority w:val="99"/>
    <w:rPr>
      <w:rFonts w:hint="default" w:ascii="Calibri" w:hAnsi="Calibri"/>
      <w:color w:val="0000FF"/>
      <w:u w:val="single"/>
    </w:rPr>
  </w:style>
  <w:style w:type="character" w:customStyle="1" w:styleId="204">
    <w:name w:val="marklong"/>
    <w:qFormat/>
    <w:uiPriority w:val="0"/>
  </w:style>
  <w:style w:type="character" w:customStyle="1" w:styleId="205">
    <w:name w:val="style161"/>
    <w:qFormat/>
    <w:uiPriority w:val="0"/>
    <w:rPr>
      <w:rFonts w:hint="default" w:ascii="Verdana" w:hAnsi="Verdana" w:eastAsia="宋体"/>
      <w:b/>
      <w:color w:val="0A246A"/>
      <w:sz w:val="24"/>
      <w:szCs w:val="24"/>
      <w:lang w:val="en-US" w:eastAsia="zh-CN" w:bidi="ar-SA"/>
    </w:rPr>
  </w:style>
  <w:style w:type="character" w:customStyle="1" w:styleId="206">
    <w:name w:val="其他_"/>
    <w:link w:val="207"/>
    <w:qFormat/>
    <w:locked/>
    <w:uiPriority w:val="99"/>
    <w:rPr>
      <w:rFonts w:ascii="宋体" w:hAnsi="宋体"/>
      <w:sz w:val="22"/>
      <w:lang w:val="zh-CN"/>
    </w:rPr>
  </w:style>
  <w:style w:type="paragraph" w:customStyle="1" w:styleId="207">
    <w:name w:val="其他"/>
    <w:basedOn w:val="1"/>
    <w:link w:val="206"/>
    <w:qFormat/>
    <w:uiPriority w:val="99"/>
    <w:pPr>
      <w:spacing w:line="432" w:lineRule="auto"/>
      <w:jc w:val="left"/>
    </w:pPr>
    <w:rPr>
      <w:rFonts w:ascii="宋体" w:hAnsi="宋体"/>
      <w:kern w:val="0"/>
      <w:sz w:val="22"/>
      <w:szCs w:val="20"/>
      <w:lang w:val="zh-CN"/>
    </w:rPr>
  </w:style>
  <w:style w:type="character" w:customStyle="1" w:styleId="208">
    <w:name w:val="question-title"/>
    <w:qFormat/>
    <w:uiPriority w:val="0"/>
  </w:style>
  <w:style w:type="character" w:customStyle="1" w:styleId="209">
    <w:name w:val="标题 2 Char Char Char"/>
    <w:qFormat/>
    <w:uiPriority w:val="0"/>
    <w:rPr>
      <w:rFonts w:hint="default" w:ascii="Arial" w:hAnsi="Arial" w:eastAsia="宋体" w:cs="Arial"/>
      <w:b/>
      <w:bCs/>
      <w:i/>
      <w:iCs/>
      <w:sz w:val="28"/>
      <w:szCs w:val="28"/>
      <w:lang w:val="en-US" w:eastAsia="zh-CN" w:bidi="ar-SA"/>
    </w:rPr>
  </w:style>
  <w:style w:type="character" w:customStyle="1" w:styleId="210">
    <w:name w:val="段落 Char"/>
    <w:qFormat/>
    <w:uiPriority w:val="0"/>
    <w:rPr>
      <w:rFonts w:hint="eastAsia" w:ascii="仿宋_GB2312" w:eastAsia="仿宋_GB2312"/>
      <w:kern w:val="2"/>
      <w:sz w:val="24"/>
      <w:szCs w:val="24"/>
      <w:lang w:val="en-US" w:eastAsia="zh-CN" w:bidi="ar-SA"/>
    </w:rPr>
  </w:style>
  <w:style w:type="paragraph" w:customStyle="1" w:styleId="211">
    <w:name w:val="pa-4"/>
    <w:basedOn w:val="1"/>
    <w:qFormat/>
    <w:uiPriority w:val="0"/>
    <w:pPr>
      <w:widowControl/>
      <w:spacing w:line="280" w:lineRule="atLeast"/>
      <w:jc w:val="center"/>
    </w:pPr>
    <w:rPr>
      <w:rFonts w:ascii="宋体" w:hAnsi="Calibri" w:cs="宋体"/>
      <w:kern w:val="0"/>
      <w:sz w:val="24"/>
      <w:szCs w:val="22"/>
    </w:rPr>
  </w:style>
  <w:style w:type="paragraph" w:customStyle="1" w:styleId="212">
    <w:name w:val="_Style 56"/>
    <w:basedOn w:val="19"/>
    <w:qFormat/>
    <w:uiPriority w:val="0"/>
    <w:pPr>
      <w:spacing w:line="436" w:lineRule="exact"/>
    </w:pPr>
    <w:rPr>
      <w:szCs w:val="20"/>
    </w:rPr>
  </w:style>
  <w:style w:type="paragraph" w:customStyle="1" w:styleId="213">
    <w:name w:val="Normal_20_0"/>
    <w:qFormat/>
    <w:uiPriority w:val="0"/>
    <w:pPr>
      <w:widowControl w:val="0"/>
      <w:jc w:val="both"/>
    </w:pPr>
    <w:rPr>
      <w:rFonts w:ascii="Times New Roman" w:hAnsi="Times New Roman" w:eastAsia="Times New Roman" w:cs="Times New Roman"/>
      <w:lang w:val="en-US" w:eastAsia="zh-CN" w:bidi="ar-SA"/>
    </w:rPr>
  </w:style>
  <w:style w:type="paragraph" w:customStyle="1" w:styleId="214">
    <w:name w:val="Char Char Char Char Char Char Char1 Char"/>
    <w:basedOn w:val="1"/>
    <w:qFormat/>
    <w:uiPriority w:val="0"/>
    <w:rPr>
      <w:rFonts w:ascii="Tahoma" w:hAnsi="Tahoma"/>
      <w:sz w:val="24"/>
      <w:szCs w:val="20"/>
    </w:rPr>
  </w:style>
  <w:style w:type="paragraph" w:customStyle="1" w:styleId="215">
    <w:name w:val="三级条标题"/>
    <w:basedOn w:val="216"/>
    <w:next w:val="159"/>
    <w:qFormat/>
    <w:uiPriority w:val="0"/>
    <w:pPr>
      <w:ind w:left="1050"/>
      <w:outlineLvl w:val="4"/>
    </w:pPr>
  </w:style>
  <w:style w:type="paragraph" w:customStyle="1" w:styleId="216">
    <w:name w:val="二级条标题"/>
    <w:basedOn w:val="217"/>
    <w:next w:val="159"/>
    <w:qFormat/>
    <w:uiPriority w:val="0"/>
    <w:pPr>
      <w:ind w:left="360"/>
      <w:outlineLvl w:val="3"/>
    </w:pPr>
  </w:style>
  <w:style w:type="paragraph" w:customStyle="1" w:styleId="217">
    <w:name w:val="一级条标题"/>
    <w:next w:val="159"/>
    <w:qFormat/>
    <w:uiPriority w:val="0"/>
    <w:pPr>
      <w:outlineLvl w:val="2"/>
    </w:pPr>
    <w:rPr>
      <w:rFonts w:ascii="Times New Roman" w:hAnsi="Times New Roman" w:eastAsia="黑体" w:cs="Times New Roman"/>
      <w:sz w:val="21"/>
      <w:lang w:val="en-US" w:eastAsia="zh-CN" w:bidi="ar-SA"/>
    </w:rPr>
  </w:style>
  <w:style w:type="paragraph" w:customStyle="1" w:styleId="2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19">
    <w:name w:val="HTML 地址 Char1"/>
    <w:semiHidden/>
    <w:qFormat/>
    <w:uiPriority w:val="0"/>
    <w:rPr>
      <w:i/>
      <w:iCs/>
      <w:kern w:val="2"/>
      <w:sz w:val="21"/>
      <w:szCs w:val="24"/>
    </w:rPr>
  </w:style>
  <w:style w:type="paragraph" w:customStyle="1" w:styleId="220">
    <w:name w:val="技术方案正文"/>
    <w:basedOn w:val="1"/>
    <w:qFormat/>
    <w:uiPriority w:val="0"/>
    <w:pPr>
      <w:spacing w:line="360" w:lineRule="auto"/>
      <w:ind w:firstLine="480"/>
    </w:pPr>
    <w:rPr>
      <w:rFonts w:ascii="宋体" w:hAnsi="Calibri"/>
      <w:sz w:val="24"/>
      <w:szCs w:val="22"/>
    </w:rPr>
  </w:style>
  <w:style w:type="paragraph" w:customStyle="1" w:styleId="221">
    <w:name w:val="序号-----------"/>
    <w:basedOn w:val="1"/>
    <w:qFormat/>
    <w:uiPriority w:val="0"/>
    <w:pPr>
      <w:widowControl/>
      <w:jc w:val="left"/>
    </w:pPr>
    <w:rPr>
      <w:rFonts w:ascii="宋体" w:hAnsi="Calibri"/>
      <w:bCs/>
      <w:kern w:val="0"/>
      <w:szCs w:val="21"/>
    </w:rPr>
  </w:style>
  <w:style w:type="paragraph" w:customStyle="1" w:styleId="222">
    <w:name w:val="Normal_6"/>
    <w:qFormat/>
    <w:uiPriority w:val="0"/>
    <w:rPr>
      <w:rFonts w:ascii="黑体" w:hAnsi="黑体" w:eastAsia="黑体" w:cs="Times New Roman"/>
      <w:b/>
      <w:sz w:val="32"/>
      <w:szCs w:val="24"/>
      <w:lang w:val="en-US" w:eastAsia="zh-CN" w:bidi="ar-SA"/>
    </w:rPr>
  </w:style>
  <w:style w:type="character" w:customStyle="1" w:styleId="223">
    <w:name w:val="脚注文本 Char1"/>
    <w:semiHidden/>
    <w:qFormat/>
    <w:uiPriority w:val="0"/>
    <w:rPr>
      <w:kern w:val="2"/>
      <w:sz w:val="18"/>
      <w:szCs w:val="18"/>
    </w:rPr>
  </w:style>
  <w:style w:type="paragraph" w:customStyle="1" w:styleId="224">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39"/>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character" w:customStyle="1" w:styleId="226">
    <w:name w:val="正文文本缩进 2 Char1"/>
    <w:semiHidden/>
    <w:qFormat/>
    <w:uiPriority w:val="0"/>
    <w:rPr>
      <w:kern w:val="2"/>
      <w:sz w:val="21"/>
      <w:szCs w:val="24"/>
    </w:rPr>
  </w:style>
  <w:style w:type="paragraph" w:customStyle="1" w:styleId="227">
    <w:name w:val="Normal_0_3"/>
    <w:qFormat/>
    <w:uiPriority w:val="0"/>
    <w:rPr>
      <w:rFonts w:ascii="黑体" w:hAnsi="黑体" w:eastAsia="黑体" w:cs="Times New Roman"/>
      <w:b/>
      <w:sz w:val="32"/>
      <w:szCs w:val="24"/>
      <w:lang w:val="en-US" w:eastAsia="zh-CN" w:bidi="ar-SA"/>
    </w:rPr>
  </w:style>
  <w:style w:type="paragraph" w:customStyle="1" w:styleId="228">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9">
    <w:name w:val="Normal_1_2"/>
    <w:qFormat/>
    <w:uiPriority w:val="0"/>
    <w:rPr>
      <w:rFonts w:ascii="Times New Roman" w:hAnsi="Times New Roman" w:eastAsia="Times New Roman" w:cs="Times New Roman"/>
      <w:sz w:val="24"/>
      <w:szCs w:val="24"/>
      <w:lang w:val="en-US" w:eastAsia="zh-CN" w:bidi="ar-SA"/>
    </w:rPr>
  </w:style>
  <w:style w:type="paragraph" w:customStyle="1" w:styleId="230">
    <w:name w:val="Char"/>
    <w:basedOn w:val="1"/>
    <w:qFormat/>
    <w:uiPriority w:val="0"/>
    <w:pPr>
      <w:tabs>
        <w:tab w:val="left" w:pos="360"/>
      </w:tabs>
    </w:pPr>
    <w:rPr>
      <w:sz w:val="24"/>
    </w:rPr>
  </w:style>
  <w:style w:type="paragraph" w:customStyle="1" w:styleId="231">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233">
    <w:name w:val="Normal_11_0"/>
    <w:qFormat/>
    <w:uiPriority w:val="0"/>
    <w:rPr>
      <w:rFonts w:ascii="黑体" w:hAnsi="黑体" w:eastAsia="黑体" w:cs="Times New Roman"/>
      <w:b/>
      <w:sz w:val="32"/>
      <w:szCs w:val="24"/>
      <w:lang w:val="en-US" w:eastAsia="zh-CN" w:bidi="ar-SA"/>
    </w:rPr>
  </w:style>
  <w:style w:type="paragraph" w:customStyle="1" w:styleId="234">
    <w:name w:val="Char Char Char"/>
    <w:basedOn w:val="1"/>
    <w:qFormat/>
    <w:uiPriority w:val="0"/>
    <w:rPr>
      <w:rFonts w:ascii="Calibri" w:hAnsi="Calibri"/>
      <w:szCs w:val="21"/>
    </w:rPr>
  </w:style>
  <w:style w:type="paragraph" w:customStyle="1" w:styleId="235">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Normal_0_1"/>
    <w:qFormat/>
    <w:uiPriority w:val="0"/>
    <w:rPr>
      <w:rFonts w:ascii="黑体" w:hAnsi="黑体" w:eastAsia="黑体" w:cs="Times New Roman"/>
      <w:b/>
      <w:sz w:val="32"/>
      <w:szCs w:val="24"/>
      <w:lang w:val="en-US" w:eastAsia="zh-CN" w:bidi="ar-SA"/>
    </w:rPr>
  </w:style>
  <w:style w:type="character" w:customStyle="1" w:styleId="237">
    <w:name w:val="标题 Char1"/>
    <w:qFormat/>
    <w:uiPriority w:val="10"/>
    <w:rPr>
      <w:rFonts w:ascii="Cambria" w:hAnsi="Cambria" w:cs="Times New Roman"/>
      <w:b/>
      <w:bCs/>
      <w:kern w:val="2"/>
      <w:sz w:val="32"/>
      <w:szCs w:val="32"/>
    </w:rPr>
  </w:style>
  <w:style w:type="paragraph" w:customStyle="1" w:styleId="238">
    <w:name w:val="默认段落字体 Para Char Char Char Char Char Char Char Char Char1"/>
    <w:basedOn w:val="1"/>
    <w:qFormat/>
    <w:uiPriority w:val="0"/>
    <w:rPr>
      <w:rFonts w:ascii="Tahoma" w:hAnsi="Tahoma"/>
      <w:sz w:val="24"/>
      <w:szCs w:val="20"/>
    </w:rPr>
  </w:style>
  <w:style w:type="paragraph" w:customStyle="1" w:styleId="23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24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样式 正文2 + 首行缩进:  0 厘米 段后: 1.5 行"/>
    <w:basedOn w:val="1"/>
    <w:qFormat/>
    <w:uiPriority w:val="0"/>
    <w:pPr>
      <w:widowControl/>
      <w:tabs>
        <w:tab w:val="left" w:pos="987"/>
      </w:tabs>
      <w:spacing w:line="360" w:lineRule="auto"/>
      <w:ind w:left="985" w:hanging="567"/>
      <w:jc w:val="left"/>
    </w:pPr>
    <w:rPr>
      <w:rFonts w:ascii="Calibri" w:hAnsi="Calibri" w:eastAsia="楷体_GB2312"/>
      <w:kern w:val="0"/>
      <w:sz w:val="24"/>
      <w:szCs w:val="20"/>
      <w:lang w:eastAsia="en-US"/>
    </w:rPr>
  </w:style>
  <w:style w:type="paragraph" w:customStyle="1" w:styleId="243">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character" w:customStyle="1" w:styleId="244">
    <w:name w:val="正文首行缩进 2 Char1"/>
    <w:semiHidden/>
    <w:qFormat/>
    <w:uiPriority w:val="0"/>
    <w:rPr>
      <w:rFonts w:ascii="Times New Roman" w:hAnsi="Times New Roman" w:eastAsia="宋体" w:cs="Times New Roman"/>
      <w:kern w:val="2"/>
      <w:sz w:val="21"/>
      <w:szCs w:val="24"/>
    </w:rPr>
  </w:style>
  <w:style w:type="character" w:customStyle="1" w:styleId="245">
    <w:name w:val="正文文本 2 Char1"/>
    <w:semiHidden/>
    <w:qFormat/>
    <w:uiPriority w:val="0"/>
    <w:rPr>
      <w:kern w:val="2"/>
      <w:sz w:val="21"/>
      <w:szCs w:val="24"/>
    </w:rPr>
  </w:style>
  <w:style w:type="paragraph" w:customStyle="1" w:styleId="246">
    <w:name w:val="Normal_13_0"/>
    <w:qFormat/>
    <w:uiPriority w:val="0"/>
    <w:rPr>
      <w:rFonts w:ascii="黑体" w:hAnsi="黑体" w:eastAsia="黑体" w:cs="Times New Roman"/>
      <w:b/>
      <w:sz w:val="32"/>
      <w:szCs w:val="24"/>
      <w:lang w:val="en-US" w:eastAsia="zh-CN" w:bidi="ar-SA"/>
    </w:rPr>
  </w:style>
  <w:style w:type="paragraph" w:customStyle="1" w:styleId="247">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kern w:val="0"/>
      <w:sz w:val="18"/>
      <w:szCs w:val="18"/>
    </w:rPr>
  </w:style>
  <w:style w:type="paragraph" w:customStyle="1" w:styleId="248">
    <w:name w:val="xl41"/>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24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0">
    <w:name w:val="pa-2"/>
    <w:basedOn w:val="1"/>
    <w:qFormat/>
    <w:uiPriority w:val="0"/>
    <w:pPr>
      <w:widowControl/>
      <w:spacing w:line="360" w:lineRule="atLeast"/>
    </w:pPr>
    <w:rPr>
      <w:rFonts w:ascii="宋体" w:hAnsi="Calibri" w:cs="宋体"/>
      <w:kern w:val="0"/>
      <w:sz w:val="24"/>
      <w:szCs w:val="22"/>
    </w:rPr>
  </w:style>
  <w:style w:type="paragraph" w:customStyle="1" w:styleId="251">
    <w:name w:val="Normal_20"/>
    <w:qFormat/>
    <w:uiPriority w:val="0"/>
    <w:rPr>
      <w:rFonts w:ascii="黑体" w:hAnsi="黑体" w:eastAsia="黑体" w:cs="Times New Roman"/>
      <w:b/>
      <w:sz w:val="32"/>
      <w:szCs w:val="24"/>
      <w:lang w:val="en-US" w:eastAsia="zh-CN" w:bidi="ar-SA"/>
    </w:rPr>
  </w:style>
  <w:style w:type="paragraph" w:customStyle="1" w:styleId="252">
    <w:name w:val="正文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3">
    <w:name w:val="正文（首行缩进）"/>
    <w:basedOn w:val="1"/>
    <w:qFormat/>
    <w:uiPriority w:val="0"/>
    <w:pPr>
      <w:widowControl/>
      <w:spacing w:before="120" w:line="360" w:lineRule="auto"/>
      <w:ind w:firstLine="482"/>
    </w:pPr>
    <w:rPr>
      <w:rFonts w:ascii="Calibri" w:hAnsi="Calibri"/>
      <w:sz w:val="24"/>
      <w:szCs w:val="20"/>
    </w:rPr>
  </w:style>
  <w:style w:type="character" w:customStyle="1" w:styleId="254">
    <w:name w:val="HTML 预设格式 Char1"/>
    <w:semiHidden/>
    <w:qFormat/>
    <w:uiPriority w:val="0"/>
    <w:rPr>
      <w:rFonts w:ascii="Courier New" w:hAnsi="Courier New" w:cs="Courier New"/>
      <w:kern w:val="2"/>
    </w:rPr>
  </w:style>
  <w:style w:type="paragraph" w:customStyle="1" w:styleId="255">
    <w:name w:val="篇名"/>
    <w:next w:val="2"/>
    <w:qFormat/>
    <w:uiPriority w:val="0"/>
    <w:pPr>
      <w:pageBreakBefore/>
      <w:adjustRightInd w:val="0"/>
      <w:snapToGrid w:val="0"/>
      <w:spacing w:before="480" w:after="480"/>
      <w:jc w:val="center"/>
    </w:pPr>
    <w:rPr>
      <w:rFonts w:ascii="Times New Roman" w:hAnsi="Times New Roman" w:eastAsia="黑体" w:cs="Times New Roman"/>
      <w:b/>
      <w:kern w:val="2"/>
      <w:sz w:val="44"/>
      <w:szCs w:val="24"/>
      <w:lang w:val="en-US" w:eastAsia="zh-CN" w:bidi="ar-SA"/>
    </w:rPr>
  </w:style>
  <w:style w:type="paragraph" w:customStyle="1" w:styleId="256">
    <w:name w:val="英文音标"/>
    <w:qFormat/>
    <w:uiPriority w:val="0"/>
    <w:rPr>
      <w:rFonts w:ascii="Kingsoft Phonetic Plain" w:hAnsi="Kingsoft Phonetic Plain" w:eastAsia="Kingsoft Phonetic Plain" w:cs="Times New Roman"/>
      <w:kern w:val="2"/>
      <w:sz w:val="24"/>
      <w:szCs w:val="24"/>
      <w:lang w:val="en-US" w:eastAsia="zh-CN" w:bidi="ar-SA"/>
    </w:rPr>
  </w:style>
  <w:style w:type="character" w:customStyle="1" w:styleId="257">
    <w:name w:val="尾注文本 Char1"/>
    <w:semiHidden/>
    <w:qFormat/>
    <w:uiPriority w:val="0"/>
    <w:rPr>
      <w:kern w:val="2"/>
      <w:sz w:val="21"/>
      <w:szCs w:val="24"/>
    </w:rPr>
  </w:style>
  <w:style w:type="paragraph" w:customStyle="1" w:styleId="258">
    <w:name w:val="Normal_17"/>
    <w:qFormat/>
    <w:uiPriority w:val="0"/>
    <w:rPr>
      <w:rFonts w:ascii="黑体" w:hAnsi="黑体" w:eastAsia="黑体" w:cs="Times New Roman"/>
      <w:b/>
      <w:sz w:val="32"/>
      <w:szCs w:val="24"/>
      <w:lang w:val="en-US" w:eastAsia="zh-CN" w:bidi="ar-SA"/>
    </w:rPr>
  </w:style>
  <w:style w:type="paragraph" w:customStyle="1" w:styleId="259">
    <w:name w:val="font8"/>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60">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1">
    <w:name w:val="正文文本 3 Char1"/>
    <w:semiHidden/>
    <w:qFormat/>
    <w:uiPriority w:val="0"/>
    <w:rPr>
      <w:kern w:val="2"/>
      <w:sz w:val="16"/>
      <w:szCs w:val="16"/>
    </w:rPr>
  </w:style>
  <w:style w:type="paragraph" w:customStyle="1" w:styleId="26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Char111"/>
    <w:basedOn w:val="1"/>
    <w:qFormat/>
    <w:uiPriority w:val="0"/>
    <w:pPr>
      <w:tabs>
        <w:tab w:val="left" w:pos="420"/>
      </w:tabs>
      <w:ind w:left="420" w:hanging="420" w:firstLineChars="200"/>
      <w:jc w:val="left"/>
    </w:pPr>
    <w:rPr>
      <w:szCs w:val="20"/>
    </w:rPr>
  </w:style>
  <w:style w:type="paragraph" w:customStyle="1" w:styleId="264">
    <w:name w:val="正文_1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5">
    <w:name w:val="正文文本缩进 3 Char1"/>
    <w:semiHidden/>
    <w:qFormat/>
    <w:uiPriority w:val="0"/>
    <w:rPr>
      <w:kern w:val="2"/>
      <w:sz w:val="16"/>
      <w:szCs w:val="16"/>
    </w:rPr>
  </w:style>
  <w:style w:type="paragraph" w:customStyle="1" w:styleId="266">
    <w:name w:val="font9"/>
    <w:basedOn w:val="1"/>
    <w:qFormat/>
    <w:uiPriority w:val="0"/>
    <w:pPr>
      <w:widowControl/>
      <w:spacing w:before="100" w:beforeAutospacing="1" w:after="100" w:afterAutospacing="1"/>
      <w:jc w:val="left"/>
    </w:pPr>
    <w:rPr>
      <w:rFonts w:ascii="宋体" w:hAnsi="Calibri"/>
      <w:color w:val="000000"/>
      <w:kern w:val="0"/>
      <w:sz w:val="18"/>
      <w:szCs w:val="18"/>
    </w:rPr>
  </w:style>
  <w:style w:type="paragraph" w:customStyle="1" w:styleId="267">
    <w:name w:val="无间隔1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pa-9"/>
    <w:basedOn w:val="1"/>
    <w:qFormat/>
    <w:uiPriority w:val="0"/>
    <w:pPr>
      <w:widowControl/>
      <w:spacing w:line="360" w:lineRule="atLeast"/>
      <w:jc w:val="center"/>
    </w:pPr>
    <w:rPr>
      <w:rFonts w:ascii="宋体" w:hAnsi="Calibri" w:cs="宋体"/>
      <w:kern w:val="0"/>
      <w:sz w:val="24"/>
      <w:szCs w:val="22"/>
    </w:rPr>
  </w:style>
  <w:style w:type="paragraph" w:customStyle="1" w:styleId="269">
    <w:name w:val="pa-6"/>
    <w:basedOn w:val="1"/>
    <w:qFormat/>
    <w:uiPriority w:val="0"/>
    <w:pPr>
      <w:widowControl/>
      <w:spacing w:line="360" w:lineRule="atLeast"/>
    </w:pPr>
    <w:rPr>
      <w:rFonts w:ascii="宋体" w:hAnsi="Calibri"/>
      <w:kern w:val="0"/>
      <w:sz w:val="24"/>
      <w:szCs w:val="20"/>
    </w:rPr>
  </w:style>
  <w:style w:type="character" w:customStyle="1" w:styleId="270">
    <w:name w:val="文档结构图 Char1"/>
    <w:semiHidden/>
    <w:qFormat/>
    <w:uiPriority w:val="0"/>
    <w:rPr>
      <w:rFonts w:ascii="宋体"/>
      <w:kern w:val="2"/>
      <w:sz w:val="18"/>
      <w:szCs w:val="18"/>
    </w:rPr>
  </w:style>
  <w:style w:type="paragraph" w:customStyle="1" w:styleId="271">
    <w:name w:val="Normal_12"/>
    <w:qFormat/>
    <w:uiPriority w:val="0"/>
    <w:rPr>
      <w:rFonts w:ascii="黑体" w:hAnsi="黑体" w:eastAsia="黑体" w:cs="Times New Roman"/>
      <w:b/>
      <w:sz w:val="32"/>
      <w:szCs w:val="24"/>
      <w:lang w:val="en-US" w:eastAsia="zh-CN" w:bidi="ar-SA"/>
    </w:rPr>
  </w:style>
  <w:style w:type="paragraph" w:customStyle="1" w:styleId="27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73">
    <w:name w:val="样式3"/>
    <w:basedOn w:val="4"/>
    <w:qFormat/>
    <w:uiPriority w:val="0"/>
    <w:pPr>
      <w:spacing w:line="412" w:lineRule="auto"/>
    </w:pPr>
    <w:rPr>
      <w:rFonts w:ascii="Calibri" w:hAnsi="Calibri"/>
      <w:kern w:val="2"/>
      <w:sz w:val="28"/>
      <w:szCs w:val="28"/>
    </w:rPr>
  </w:style>
  <w:style w:type="paragraph" w:customStyle="1" w:styleId="274">
    <w:name w:val="pa-0"/>
    <w:basedOn w:val="1"/>
    <w:qFormat/>
    <w:uiPriority w:val="0"/>
    <w:pPr>
      <w:widowControl/>
      <w:spacing w:line="360" w:lineRule="atLeast"/>
      <w:ind w:firstLine="480"/>
    </w:pPr>
    <w:rPr>
      <w:rFonts w:ascii="宋体" w:hAnsi="Calibri" w:cs="宋体"/>
      <w:kern w:val="0"/>
      <w:sz w:val="24"/>
      <w:szCs w:val="22"/>
    </w:rPr>
  </w:style>
  <w:style w:type="paragraph" w:customStyle="1" w:styleId="275">
    <w:name w:val="Char Char1 Char Char Char Char Char Char"/>
    <w:basedOn w:val="1"/>
    <w:qFormat/>
    <w:uiPriority w:val="0"/>
    <w:pPr>
      <w:widowControl/>
      <w:jc w:val="center"/>
    </w:pPr>
    <w:rPr>
      <w:rFonts w:ascii="宋体" w:hAnsi="宋体"/>
      <w:b/>
      <w:kern w:val="0"/>
      <w:sz w:val="24"/>
      <w:lang w:eastAsia="en-US"/>
    </w:rPr>
  </w:style>
  <w:style w:type="paragraph" w:customStyle="1" w:styleId="276">
    <w:name w:val="默认段落字体 Para Char"/>
    <w:basedOn w:val="1"/>
    <w:qFormat/>
    <w:uiPriority w:val="0"/>
    <w:rPr>
      <w:rFonts w:ascii="宋体" w:hAnsi="Calibri"/>
      <w:b/>
      <w:sz w:val="28"/>
      <w:szCs w:val="28"/>
    </w:rPr>
  </w:style>
  <w:style w:type="paragraph" w:customStyle="1" w:styleId="277">
    <w:name w:val="编号2"/>
    <w:qFormat/>
    <w:uiPriority w:val="0"/>
    <w:pPr>
      <w:tabs>
        <w:tab w:val="left" w:pos="-40"/>
      </w:tabs>
      <w:spacing w:before="120" w:after="120" w:line="360" w:lineRule="auto"/>
      <w:ind w:left="720" w:hanging="360"/>
    </w:pPr>
    <w:rPr>
      <w:rFonts w:ascii="仿宋_GB2312" w:hAnsi="Times New Roman" w:eastAsia="仿宋_GB2312" w:cs="Times New Roman"/>
      <w:color w:val="FF0000"/>
      <w:kern w:val="2"/>
      <w:sz w:val="24"/>
      <w:szCs w:val="24"/>
      <w:lang w:val="en-US" w:eastAsia="zh-CN" w:bidi="ar-SA"/>
    </w:rPr>
  </w:style>
  <w:style w:type="paragraph" w:customStyle="1" w:styleId="278">
    <w:name w:val="ibm-list-ne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79">
    <w:name w:val="Normal_4"/>
    <w:qFormat/>
    <w:uiPriority w:val="0"/>
    <w:rPr>
      <w:rFonts w:ascii="黑体" w:hAnsi="黑体" w:eastAsia="黑体" w:cs="Times New Roman"/>
      <w:b/>
      <w:sz w:val="32"/>
      <w:szCs w:val="24"/>
      <w:lang w:val="en-US" w:eastAsia="zh-CN" w:bidi="ar-SA"/>
    </w:rPr>
  </w:style>
  <w:style w:type="paragraph" w:customStyle="1" w:styleId="280">
    <w:name w:val="正文（黑体）"/>
    <w:basedOn w:val="1"/>
    <w:next w:val="1"/>
    <w:qFormat/>
    <w:uiPriority w:val="0"/>
    <w:pPr>
      <w:spacing w:beforeLines="50" w:afterLines="50" w:line="360" w:lineRule="auto"/>
      <w:ind w:firstLine="200" w:firstLineChars="200"/>
    </w:pPr>
    <w:rPr>
      <w:rFonts w:ascii="黑体" w:hAnsi="Calibri" w:eastAsia="黑体"/>
      <w:color w:val="000080"/>
      <w:sz w:val="24"/>
      <w:szCs w:val="22"/>
    </w:rPr>
  </w:style>
  <w:style w:type="paragraph" w:customStyle="1" w:styleId="281">
    <w:name w:val="样式 序号----------- + 仿宋_GB2312"/>
    <w:basedOn w:val="221"/>
    <w:qFormat/>
    <w:uiPriority w:val="0"/>
    <w:pPr>
      <w:spacing w:line="360" w:lineRule="auto"/>
      <w:ind w:firstLine="200" w:firstLineChars="200"/>
    </w:pPr>
    <w:rPr>
      <w:rFonts w:ascii="仿宋_GB2312" w:eastAsia="仿宋_GB2312"/>
      <w:bCs w:val="0"/>
    </w:rPr>
  </w:style>
  <w:style w:type="paragraph" w:customStyle="1" w:styleId="282">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283">
    <w:name w:val="标题2"/>
    <w:basedOn w:val="1"/>
    <w:qFormat/>
    <w:uiPriority w:val="0"/>
    <w:pPr>
      <w:tabs>
        <w:tab w:val="left" w:pos="0"/>
      </w:tabs>
    </w:pPr>
    <w:rPr>
      <w:rFonts w:ascii="黑体" w:hAnsi="Calibri" w:eastAsia="黑体"/>
      <w:sz w:val="24"/>
      <w:szCs w:val="22"/>
    </w:rPr>
  </w:style>
  <w:style w:type="paragraph" w:customStyle="1" w:styleId="284">
    <w:name w:val="Normal_13"/>
    <w:qFormat/>
    <w:uiPriority w:val="0"/>
    <w:rPr>
      <w:rFonts w:ascii="黑体" w:hAnsi="黑体" w:eastAsia="黑体" w:cs="Times New Roman"/>
      <w:b/>
      <w:sz w:val="32"/>
      <w:szCs w:val="24"/>
      <w:lang w:val="en-US" w:eastAsia="zh-CN" w:bidi="ar-SA"/>
    </w:rPr>
  </w:style>
  <w:style w:type="paragraph" w:customStyle="1" w:styleId="285">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86">
    <w:name w:val="pa-8"/>
    <w:basedOn w:val="1"/>
    <w:qFormat/>
    <w:uiPriority w:val="0"/>
    <w:pPr>
      <w:widowControl/>
      <w:spacing w:line="280" w:lineRule="atLeast"/>
      <w:ind w:firstLine="480"/>
    </w:pPr>
    <w:rPr>
      <w:rFonts w:ascii="宋体" w:hAnsi="Calibri" w:cs="宋体"/>
      <w:kern w:val="0"/>
      <w:sz w:val="24"/>
      <w:szCs w:val="22"/>
    </w:rPr>
  </w:style>
  <w:style w:type="paragraph" w:customStyle="1" w:styleId="287">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8">
    <w:name w:val="四级条标题"/>
    <w:basedOn w:val="215"/>
    <w:next w:val="159"/>
    <w:qFormat/>
    <w:uiPriority w:val="0"/>
    <w:pPr>
      <w:ind w:left="0"/>
      <w:outlineLvl w:val="5"/>
    </w:pPr>
  </w:style>
  <w:style w:type="paragraph" w:customStyle="1" w:styleId="289">
    <w:name w:val="t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90">
    <w:name w:val="正文 + 宋体"/>
    <w:basedOn w:val="1"/>
    <w:qFormat/>
    <w:uiPriority w:val="0"/>
    <w:pPr>
      <w:ind w:firstLine="250" w:firstLineChars="250"/>
    </w:pPr>
    <w:rPr>
      <w:rFonts w:ascii="宋体" w:hAnsi="Calibri"/>
      <w:szCs w:val="21"/>
    </w:rPr>
  </w:style>
  <w:style w:type="paragraph" w:customStyle="1" w:styleId="291">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2">
    <w:name w:val="特点"/>
    <w:basedOn w:val="1"/>
    <w:next w:val="1"/>
    <w:qFormat/>
    <w:uiPriority w:val="0"/>
    <w:pPr>
      <w:spacing w:line="360" w:lineRule="auto"/>
      <w:jc w:val="center"/>
    </w:pPr>
    <w:rPr>
      <w:rFonts w:ascii="Arial" w:hAnsi="Arial"/>
      <w:sz w:val="24"/>
      <w:szCs w:val="20"/>
    </w:rPr>
  </w:style>
  <w:style w:type="paragraph" w:customStyle="1" w:styleId="293">
    <w:name w:val="Normal_0_0"/>
    <w:qFormat/>
    <w:uiPriority w:val="0"/>
    <w:rPr>
      <w:rFonts w:ascii="黑体" w:hAnsi="黑体" w:eastAsia="黑体" w:cs="Times New Roman"/>
      <w:b/>
      <w:sz w:val="40"/>
      <w:szCs w:val="24"/>
      <w:lang w:val="en-US" w:eastAsia="zh-CN" w:bidi="ar-SA"/>
    </w:rPr>
  </w:style>
  <w:style w:type="paragraph" w:customStyle="1" w:styleId="294">
    <w:name w:val="Normal Paragraph Char"/>
    <w:basedOn w:val="1"/>
    <w:qFormat/>
    <w:uiPriority w:val="0"/>
    <w:pPr>
      <w:widowControl/>
      <w:spacing w:before="120" w:line="360" w:lineRule="auto"/>
      <w:ind w:firstLine="425"/>
    </w:pPr>
    <w:rPr>
      <w:rFonts w:ascii="Calibri" w:hAnsi="Calibri"/>
      <w:kern w:val="0"/>
      <w:sz w:val="24"/>
      <w:szCs w:val="22"/>
    </w:rPr>
  </w:style>
  <w:style w:type="paragraph" w:customStyle="1" w:styleId="295">
    <w:name w:val="Char12"/>
    <w:basedOn w:val="1"/>
    <w:qFormat/>
    <w:uiPriority w:val="0"/>
    <w:pPr>
      <w:tabs>
        <w:tab w:val="left" w:pos="360"/>
      </w:tabs>
      <w:spacing w:line="480" w:lineRule="auto"/>
      <w:ind w:left="360" w:right="202" w:firstLine="360"/>
    </w:pPr>
    <w:rPr>
      <w:rFonts w:ascii="Calibri" w:hAnsi="Calibri"/>
      <w:sz w:val="24"/>
      <w:szCs w:val="22"/>
    </w:rPr>
  </w:style>
  <w:style w:type="paragraph" w:customStyle="1" w:styleId="296">
    <w:name w:val="五级条标题"/>
    <w:basedOn w:val="288"/>
    <w:next w:val="159"/>
    <w:qFormat/>
    <w:uiPriority w:val="0"/>
    <w:pPr>
      <w:outlineLvl w:val="6"/>
    </w:pPr>
  </w:style>
  <w:style w:type="paragraph" w:customStyle="1" w:styleId="297">
    <w:name w:val="Normal_15"/>
    <w:qFormat/>
    <w:uiPriority w:val="0"/>
    <w:rPr>
      <w:rFonts w:ascii="黑体" w:hAnsi="黑体" w:eastAsia="黑体" w:cs="Times New Roman"/>
      <w:b/>
      <w:sz w:val="32"/>
      <w:szCs w:val="24"/>
      <w:lang w:val="en-US" w:eastAsia="zh-CN" w:bidi="ar-SA"/>
    </w:rPr>
  </w:style>
  <w:style w:type="paragraph" w:customStyle="1" w:styleId="298">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9">
    <w:name w:val="正文_4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0">
    <w:name w:val="Char Char1 Char Char Char Char Char Char Char Char"/>
    <w:basedOn w:val="1"/>
    <w:qFormat/>
    <w:uiPriority w:val="0"/>
    <w:pPr>
      <w:widowControl/>
      <w:spacing w:after="160" w:line="240" w:lineRule="exact"/>
      <w:jc w:val="left"/>
    </w:pPr>
    <w:rPr>
      <w:rFonts w:ascii="Calibri" w:hAnsi="Calibri"/>
      <w:szCs w:val="22"/>
    </w:rPr>
  </w:style>
  <w:style w:type="paragraph" w:customStyle="1" w:styleId="301">
    <w:name w:val="Normal_16"/>
    <w:qFormat/>
    <w:uiPriority w:val="0"/>
    <w:rPr>
      <w:rFonts w:ascii="黑体" w:hAnsi="黑体" w:eastAsia="黑体" w:cs="Times New Roman"/>
      <w:b/>
      <w:sz w:val="32"/>
      <w:szCs w:val="24"/>
      <w:lang w:val="en-US" w:eastAsia="zh-CN" w:bidi="ar-SA"/>
    </w:rPr>
  </w:style>
  <w:style w:type="paragraph" w:customStyle="1" w:styleId="302">
    <w:name w:val="Char Char Char Char1"/>
    <w:basedOn w:val="1"/>
    <w:qFormat/>
    <w:uiPriority w:val="0"/>
    <w:pPr>
      <w:spacing w:line="360" w:lineRule="auto"/>
      <w:ind w:firstLine="200" w:firstLineChars="200"/>
    </w:pPr>
    <w:rPr>
      <w:rFonts w:ascii="Calibri" w:hAnsi="Calibri"/>
      <w:kern w:val="0"/>
      <w:sz w:val="24"/>
      <w:szCs w:val="20"/>
    </w:rPr>
  </w:style>
  <w:style w:type="paragraph" w:customStyle="1" w:styleId="30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Normal_23"/>
    <w:qFormat/>
    <w:uiPriority w:val="0"/>
    <w:rPr>
      <w:rFonts w:ascii="黑体" w:hAnsi="黑体" w:eastAsia="黑体" w:cs="Times New Roman"/>
      <w:b/>
      <w:sz w:val="32"/>
      <w:szCs w:val="24"/>
      <w:lang w:val="en-US" w:eastAsia="zh-CN" w:bidi="ar-SA"/>
    </w:rPr>
  </w:style>
  <w:style w:type="paragraph" w:customStyle="1" w:styleId="305">
    <w:name w:val="Normal_3"/>
    <w:qFormat/>
    <w:uiPriority w:val="0"/>
    <w:rPr>
      <w:rFonts w:ascii="黑体" w:hAnsi="黑体" w:eastAsia="黑体" w:cs="Times New Roman"/>
      <w:b/>
      <w:sz w:val="32"/>
      <w:szCs w:val="24"/>
      <w:lang w:val="en-US" w:eastAsia="zh-CN" w:bidi="ar-SA"/>
    </w:rPr>
  </w:style>
  <w:style w:type="paragraph" w:customStyle="1" w:styleId="306">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07">
    <w:name w:val="font7"/>
    <w:basedOn w:val="1"/>
    <w:qFormat/>
    <w:uiPriority w:val="0"/>
    <w:pPr>
      <w:widowControl/>
      <w:spacing w:before="100" w:beforeAutospacing="1" w:after="100" w:afterAutospacing="1"/>
      <w:jc w:val="left"/>
    </w:pPr>
    <w:rPr>
      <w:rFonts w:ascii="宋体" w:hAnsi="Calibri"/>
      <w:kern w:val="0"/>
      <w:sz w:val="20"/>
      <w:szCs w:val="20"/>
    </w:rPr>
  </w:style>
  <w:style w:type="paragraph" w:customStyle="1" w:styleId="308">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0">
    <w:name w:val="列出段落[858D7CFB-ED40-4347-BF05-701D383B685F][858D7CFB-ED40-4347-BF05-701D383B685F]"/>
    <w:basedOn w:val="1"/>
    <w:qFormat/>
    <w:uiPriority w:val="0"/>
    <w:pPr>
      <w:ind w:firstLine="200" w:firstLineChars="200"/>
    </w:pPr>
    <w:rPr>
      <w:rFonts w:ascii="Calibri" w:hAnsi="Calibri"/>
      <w:szCs w:val="22"/>
    </w:rPr>
  </w:style>
  <w:style w:type="paragraph" w:customStyle="1" w:styleId="311">
    <w:name w:val="正文段"/>
    <w:basedOn w:val="1"/>
    <w:qFormat/>
    <w:uiPriority w:val="0"/>
    <w:pPr>
      <w:widowControl/>
      <w:snapToGrid w:val="0"/>
      <w:spacing w:after="240" w:line="240" w:lineRule="atLeast"/>
      <w:ind w:firstLine="425"/>
    </w:pPr>
    <w:rPr>
      <w:rFonts w:ascii="Calibri" w:hAnsi="Calibri"/>
      <w:kern w:val="0"/>
      <w:sz w:val="24"/>
      <w:szCs w:val="20"/>
    </w:rPr>
  </w:style>
  <w:style w:type="paragraph" w:customStyle="1" w:styleId="312">
    <w:name w:val="首页标题小初"/>
    <w:qFormat/>
    <w:uiPriority w:val="0"/>
    <w:pPr>
      <w:adjustRightInd w:val="0"/>
      <w:snapToGrid w:val="0"/>
      <w:jc w:val="center"/>
    </w:pPr>
    <w:rPr>
      <w:rFonts w:ascii="黑体" w:hAnsi="Times New Roman" w:eastAsia="黑体" w:cs="宋体"/>
      <w:kern w:val="2"/>
      <w:sz w:val="72"/>
      <w:lang w:val="en-US" w:eastAsia="zh-CN" w:bidi="ar-SA"/>
    </w:rPr>
  </w:style>
  <w:style w:type="paragraph" w:customStyle="1" w:styleId="313">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kern w:val="0"/>
      <w:sz w:val="20"/>
      <w:szCs w:val="20"/>
      <w:lang w:eastAsia="en-US"/>
    </w:rPr>
  </w:style>
  <w:style w:type="paragraph" w:customStyle="1" w:styleId="314">
    <w:name w:val="默认段落字体 Para Char Char Char Char Char"/>
    <w:basedOn w:val="1"/>
    <w:qFormat/>
    <w:uiPriority w:val="0"/>
    <w:pPr>
      <w:spacing w:before="100" w:beforeAutospacing="1" w:after="100" w:afterAutospacing="1" w:line="360" w:lineRule="auto"/>
      <w:ind w:firstLine="200" w:firstLineChars="200"/>
      <w:jc w:val="left"/>
    </w:pPr>
    <w:rPr>
      <w:rFonts w:ascii="Arial" w:hAnsi="Arial"/>
      <w:kern w:val="0"/>
      <w:sz w:val="24"/>
      <w:szCs w:val="22"/>
      <w:lang w:eastAsia="en-US"/>
    </w:rPr>
  </w:style>
  <w:style w:type="paragraph" w:customStyle="1" w:styleId="315">
    <w:name w:val="Normal_8"/>
    <w:qFormat/>
    <w:uiPriority w:val="0"/>
    <w:rPr>
      <w:rFonts w:ascii="Times New Roman" w:hAnsi="Times New Roman" w:eastAsia="Times New Roman" w:cs="Times New Roman"/>
      <w:sz w:val="24"/>
      <w:szCs w:val="24"/>
      <w:lang w:val="en-US" w:eastAsia="zh-CN" w:bidi="ar-SA"/>
    </w:rPr>
  </w:style>
  <w:style w:type="paragraph" w:customStyle="1" w:styleId="316">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7">
    <w:name w:val="正文2"/>
    <w:qFormat/>
    <w:uiPriority w:val="0"/>
    <w:rPr>
      <w:rFonts w:ascii="Times New Roman" w:hAnsi="Times New Roman" w:eastAsia="Times New Roman" w:cs="Times New Roman"/>
      <w:sz w:val="24"/>
      <w:szCs w:val="24"/>
      <w:lang w:val="en-US" w:eastAsia="zh-CN" w:bidi="ar-SA"/>
    </w:rPr>
  </w:style>
  <w:style w:type="paragraph" w:customStyle="1" w:styleId="318">
    <w:name w:val="Normal_17_0"/>
    <w:qFormat/>
    <w:uiPriority w:val="0"/>
    <w:rPr>
      <w:rFonts w:ascii="黑体" w:hAnsi="黑体" w:eastAsia="黑体" w:cs="Times New Roman"/>
      <w:b/>
      <w:sz w:val="32"/>
      <w:szCs w:val="24"/>
      <w:lang w:val="en-US" w:eastAsia="zh-CN" w:bidi="ar-SA"/>
    </w:rPr>
  </w:style>
  <w:style w:type="paragraph" w:customStyle="1" w:styleId="319">
    <w:name w:val="正文文字缩进 3"/>
    <w:basedOn w:val="1"/>
    <w:qFormat/>
    <w:uiPriority w:val="0"/>
    <w:pPr>
      <w:spacing w:line="312" w:lineRule="auto"/>
      <w:ind w:left="420" w:firstLine="420"/>
    </w:pPr>
    <w:rPr>
      <w:rFonts w:ascii="黑体" w:hAnsi="黑体" w:cs="宋体"/>
      <w:bCs/>
      <w:color w:val="000000"/>
      <w:kern w:val="0"/>
      <w:sz w:val="24"/>
      <w:szCs w:val="22"/>
    </w:rPr>
  </w:style>
  <w:style w:type="paragraph" w:customStyle="1" w:styleId="320">
    <w:name w:val="Normal_14"/>
    <w:qFormat/>
    <w:uiPriority w:val="0"/>
    <w:rPr>
      <w:rFonts w:ascii="黑体" w:hAnsi="黑体" w:eastAsia="黑体" w:cs="Times New Roman"/>
      <w:b/>
      <w:sz w:val="32"/>
      <w:szCs w:val="24"/>
      <w:lang w:val="en-US" w:eastAsia="zh-CN" w:bidi="ar-SA"/>
    </w:rPr>
  </w:style>
  <w:style w:type="paragraph" w:customStyle="1" w:styleId="321">
    <w:name w:val="font6"/>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22">
    <w:name w:val="默认段落字体 Para Char Char Char Char Char Char Char Char Char1 Char Char Char Char Char Char Char Char"/>
    <w:basedOn w:val="19"/>
    <w:qFormat/>
    <w:uiPriority w:val="0"/>
    <w:rPr>
      <w:rFonts w:ascii="Calibri" w:hAnsi="Calibri"/>
      <w:szCs w:val="22"/>
    </w:rPr>
  </w:style>
  <w:style w:type="paragraph" w:customStyle="1" w:styleId="323">
    <w:name w:val="正文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25">
    <w:name w:val="样式 序号----------- + 仿宋_GB23121"/>
    <w:basedOn w:val="221"/>
    <w:qFormat/>
    <w:uiPriority w:val="0"/>
    <w:pPr>
      <w:spacing w:line="360" w:lineRule="auto"/>
    </w:pPr>
    <w:rPr>
      <w:rFonts w:ascii="仿宋_GB2312" w:eastAsia="仿宋_GB2312"/>
      <w:bCs w:val="0"/>
    </w:rPr>
  </w:style>
  <w:style w:type="paragraph" w:customStyle="1" w:styleId="326">
    <w:name w:val="Normal_18"/>
    <w:qFormat/>
    <w:uiPriority w:val="0"/>
    <w:rPr>
      <w:rFonts w:ascii="黑体" w:hAnsi="黑体" w:eastAsia="黑体" w:cs="Times New Roman"/>
      <w:b/>
      <w:sz w:val="32"/>
      <w:szCs w:val="24"/>
      <w:lang w:val="en-US" w:eastAsia="zh-CN" w:bidi="ar-SA"/>
    </w:rPr>
  </w:style>
  <w:style w:type="paragraph" w:customStyle="1" w:styleId="327">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首页单位日期"/>
    <w:basedOn w:val="1"/>
    <w:qFormat/>
    <w:uiPriority w:val="0"/>
    <w:pPr>
      <w:widowControl/>
      <w:adjustRightInd w:val="0"/>
      <w:snapToGrid w:val="0"/>
      <w:jc w:val="center"/>
    </w:pPr>
    <w:rPr>
      <w:rFonts w:ascii="宋体" w:hAnsi="Calibri" w:cs="宋体"/>
      <w:bCs/>
      <w:kern w:val="0"/>
      <w:sz w:val="28"/>
      <w:szCs w:val="20"/>
    </w:rPr>
  </w:style>
  <w:style w:type="paragraph" w:customStyle="1" w:styleId="329">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30">
    <w:name w:val="标题1"/>
    <w:basedOn w:val="2"/>
    <w:next w:val="1"/>
    <w:qFormat/>
    <w:uiPriority w:val="0"/>
    <w:pPr>
      <w:adjustRightInd w:val="0"/>
      <w:spacing w:line="578" w:lineRule="atLeast"/>
      <w:jc w:val="left"/>
      <w:textAlignment w:val="baseline"/>
    </w:pPr>
  </w:style>
  <w:style w:type="paragraph" w:customStyle="1" w:styleId="331">
    <w:name w:val="样式6"/>
    <w:basedOn w:val="232"/>
    <w:qFormat/>
    <w:uiPriority w:val="0"/>
    <w:pPr>
      <w:keepNext/>
      <w:keepLines/>
      <w:numPr>
        <w:numId w:val="0"/>
      </w:numPr>
      <w:tabs>
        <w:tab w:val="clear" w:pos="1110"/>
      </w:tabs>
      <w:adjustRightInd/>
      <w:spacing w:before="260" w:after="260" w:line="412" w:lineRule="auto"/>
      <w:textAlignment w:val="auto"/>
      <w:outlineLvl w:val="1"/>
    </w:pPr>
    <w:rPr>
      <w:rFonts w:ascii="Times New Roman" w:hAnsi="Times New Roman"/>
      <w:b/>
      <w:bCs/>
      <w:kern w:val="2"/>
      <w:sz w:val="32"/>
      <w:szCs w:val="32"/>
    </w:rPr>
  </w:style>
  <w:style w:type="paragraph" w:customStyle="1" w:styleId="332">
    <w:name w:val="要点标题"/>
    <w:basedOn w:val="1"/>
    <w:qFormat/>
    <w:uiPriority w:val="0"/>
    <w:pPr>
      <w:numPr>
        <w:ilvl w:val="0"/>
        <w:numId w:val="2"/>
      </w:numPr>
      <w:tabs>
        <w:tab w:val="left" w:pos="420"/>
      </w:tabs>
      <w:jc w:val="left"/>
    </w:pPr>
    <w:rPr>
      <w:rFonts w:ascii="宋体" w:hAnsi="宋体"/>
      <w:b/>
      <w:sz w:val="24"/>
    </w:rPr>
  </w:style>
  <w:style w:type="paragraph" w:customStyle="1" w:styleId="333">
    <w:name w:val="正文_1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4">
    <w:name w:val="说明书3级标题"/>
    <w:basedOn w:val="1"/>
    <w:next w:val="1"/>
    <w:qFormat/>
    <w:uiPriority w:val="0"/>
    <w:pPr>
      <w:numPr>
        <w:ilvl w:val="2"/>
        <w:numId w:val="3"/>
      </w:numPr>
      <w:tabs>
        <w:tab w:val="left" w:pos="0"/>
      </w:tabs>
      <w:spacing w:line="360" w:lineRule="auto"/>
    </w:pPr>
    <w:rPr>
      <w:rFonts w:ascii="Calibri" w:hAnsi="Calibri" w:eastAsia="黑体"/>
      <w:sz w:val="24"/>
      <w:szCs w:val="22"/>
    </w:rPr>
  </w:style>
  <w:style w:type="paragraph" w:customStyle="1" w:styleId="335">
    <w:name w:val="附图标题"/>
    <w:basedOn w:val="16"/>
    <w:next w:val="15"/>
    <w:qFormat/>
    <w:uiPriority w:val="0"/>
    <w:pPr>
      <w:tabs>
        <w:tab w:val="left" w:pos="780"/>
      </w:tabs>
      <w:spacing w:beforeLines="0" w:afterLines="100"/>
      <w:ind w:left="780" w:hanging="480"/>
    </w:pPr>
    <w:rPr>
      <w:rFonts w:eastAsia="黑体"/>
      <w:b/>
      <w:sz w:val="21"/>
    </w:rPr>
  </w:style>
  <w:style w:type="paragraph" w:customStyle="1" w:styleId="336">
    <w:name w:val="pa-5"/>
    <w:basedOn w:val="1"/>
    <w:qFormat/>
    <w:uiPriority w:val="0"/>
    <w:pPr>
      <w:widowControl/>
      <w:spacing w:line="280" w:lineRule="atLeast"/>
    </w:pPr>
    <w:rPr>
      <w:rFonts w:ascii="宋体" w:hAnsi="Calibri" w:cs="宋体"/>
      <w:kern w:val="0"/>
      <w:sz w:val="24"/>
      <w:szCs w:val="22"/>
    </w:rPr>
  </w:style>
  <w:style w:type="paragraph" w:customStyle="1" w:styleId="337">
    <w:name w:val="Normal_17_0_0"/>
    <w:qFormat/>
    <w:uiPriority w:val="0"/>
    <w:pPr>
      <w:widowControl w:val="0"/>
      <w:jc w:val="both"/>
    </w:pPr>
    <w:rPr>
      <w:rFonts w:ascii="Times New Roman" w:hAnsi="Times New Roman" w:eastAsia="宋体" w:cs="Times New Roman"/>
      <w:szCs w:val="24"/>
      <w:lang w:val="en-US" w:eastAsia="zh-CN" w:bidi="ar-SA"/>
    </w:rPr>
  </w:style>
  <w:style w:type="paragraph" w:customStyle="1" w:styleId="338">
    <w:name w:val="Normal_10_0"/>
    <w:qFormat/>
    <w:uiPriority w:val="0"/>
    <w:rPr>
      <w:rFonts w:ascii="Times New Roman" w:hAnsi="Times New Roman" w:eastAsia="Times New Roman" w:cs="Times New Roman"/>
      <w:sz w:val="24"/>
      <w:szCs w:val="24"/>
      <w:lang w:val="en-US" w:eastAsia="zh-CN" w:bidi="ar-SA"/>
    </w:rPr>
  </w:style>
  <w:style w:type="paragraph" w:customStyle="1" w:styleId="339">
    <w:name w:val="xl42"/>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40">
    <w:name w:val="正文_8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1">
    <w:name w:val="Char Char Char Char Char Char Char Char Char Char1"/>
    <w:basedOn w:val="1"/>
    <w:qFormat/>
    <w:uiPriority w:val="0"/>
    <w:rPr>
      <w:rFonts w:ascii="Tahoma" w:hAnsi="Tahoma" w:cs="Tahoma"/>
      <w:sz w:val="24"/>
      <w:szCs w:val="22"/>
    </w:rPr>
  </w:style>
  <w:style w:type="paragraph" w:customStyle="1" w:styleId="34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43">
    <w:name w:val="Normal_4_0"/>
    <w:qFormat/>
    <w:uiPriority w:val="0"/>
    <w:rPr>
      <w:rFonts w:ascii="黑体" w:hAnsi="黑体" w:eastAsia="黑体" w:cs="Times New Roman"/>
      <w:b/>
      <w:sz w:val="32"/>
      <w:szCs w:val="24"/>
      <w:lang w:val="en-US" w:eastAsia="zh-CN" w:bidi="ar-SA"/>
    </w:rPr>
  </w:style>
  <w:style w:type="paragraph" w:customStyle="1" w:styleId="344">
    <w:name w:val="列出段落_0"/>
    <w:basedOn w:val="249"/>
    <w:qFormat/>
    <w:uiPriority w:val="99"/>
    <w:pPr>
      <w:ind w:firstLine="420" w:firstLineChars="200"/>
    </w:pPr>
  </w:style>
  <w:style w:type="paragraph" w:customStyle="1" w:styleId="345">
    <w:name w:val="正文小四"/>
    <w:basedOn w:val="1"/>
    <w:qFormat/>
    <w:uiPriority w:val="0"/>
    <w:pPr>
      <w:spacing w:line="312" w:lineRule="auto"/>
    </w:pPr>
    <w:rPr>
      <w:rFonts w:ascii="Calibri" w:hAnsi="Calibri"/>
      <w:sz w:val="24"/>
      <w:szCs w:val="22"/>
    </w:rPr>
  </w:style>
  <w:style w:type="paragraph" w:customStyle="1" w:styleId="346">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7">
    <w:name w:val="说明书2级标题"/>
    <w:basedOn w:val="1"/>
    <w:next w:val="334"/>
    <w:qFormat/>
    <w:uiPriority w:val="0"/>
    <w:pPr>
      <w:numPr>
        <w:ilvl w:val="2"/>
        <w:numId w:val="4"/>
      </w:numPr>
      <w:tabs>
        <w:tab w:val="left" w:pos="1680"/>
      </w:tabs>
      <w:spacing w:beforeLines="100"/>
    </w:pPr>
    <w:rPr>
      <w:rFonts w:ascii="Calibri" w:hAnsi="Calibri" w:eastAsia="黑体"/>
      <w:sz w:val="28"/>
      <w:szCs w:val="28"/>
    </w:rPr>
  </w:style>
  <w:style w:type="paragraph" w:customStyle="1" w:styleId="348">
    <w:name w:val="È±Ê¡ÎÄ±¾"/>
    <w:basedOn w:val="1"/>
    <w:qFormat/>
    <w:uiPriority w:val="0"/>
    <w:pPr>
      <w:widowControl/>
      <w:overflowPunct w:val="0"/>
      <w:autoSpaceDE w:val="0"/>
      <w:autoSpaceDN w:val="0"/>
      <w:adjustRightInd w:val="0"/>
      <w:spacing w:line="360" w:lineRule="auto"/>
      <w:jc w:val="left"/>
    </w:pPr>
    <w:rPr>
      <w:rFonts w:ascii="Calibri" w:hAnsi="Calibri"/>
      <w:kern w:val="0"/>
      <w:sz w:val="24"/>
      <w:szCs w:val="20"/>
    </w:rPr>
  </w:style>
  <w:style w:type="paragraph" w:customStyle="1" w:styleId="349">
    <w:name w:val="正文_12_0"/>
    <w:qFormat/>
    <w:uiPriority w:val="0"/>
    <w:pPr>
      <w:widowControl w:val="0"/>
      <w:jc w:val="both"/>
    </w:pPr>
    <w:rPr>
      <w:rFonts w:ascii="Times New Roman" w:hAnsi="Times New Roman" w:eastAsia="宋体" w:cs="Times New Roman"/>
      <w:szCs w:val="24"/>
      <w:lang w:val="en-US" w:eastAsia="zh-CN" w:bidi="ar-SA"/>
    </w:rPr>
  </w:style>
  <w:style w:type="paragraph" w:customStyle="1" w:styleId="350">
    <w:name w:val="Indent Normal"/>
    <w:basedOn w:val="1"/>
    <w:qFormat/>
    <w:uiPriority w:val="0"/>
    <w:pPr>
      <w:ind w:firstLine="150" w:firstLineChars="150"/>
    </w:pPr>
    <w:rPr>
      <w:rFonts w:ascii="Calibri" w:hAnsi="Calibri"/>
      <w:sz w:val="24"/>
      <w:szCs w:val="20"/>
    </w:rPr>
  </w:style>
  <w:style w:type="paragraph" w:customStyle="1" w:styleId="351">
    <w:name w:val="缩进正文"/>
    <w:basedOn w:val="1"/>
    <w:qFormat/>
    <w:uiPriority w:val="0"/>
    <w:pPr>
      <w:widowControl/>
      <w:adjustRightInd w:val="0"/>
      <w:spacing w:after="200" w:line="400" w:lineRule="exact"/>
      <w:ind w:left="1418" w:firstLine="425"/>
      <w:jc w:val="left"/>
    </w:pPr>
    <w:rPr>
      <w:rFonts w:ascii="宋体" w:hAnsi="Calibri"/>
      <w:kern w:val="0"/>
      <w:sz w:val="24"/>
      <w:szCs w:val="20"/>
    </w:rPr>
  </w:style>
  <w:style w:type="paragraph" w:customStyle="1" w:styleId="352">
    <w:name w:val="列出段落_2"/>
    <w:basedOn w:val="340"/>
    <w:qFormat/>
    <w:uiPriority w:val="34"/>
    <w:pPr>
      <w:ind w:firstLine="420" w:firstLineChars="200"/>
    </w:pPr>
  </w:style>
  <w:style w:type="paragraph" w:customStyle="1" w:styleId="353">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54">
    <w:name w:val="正文_1_0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5">
    <w:name w:val="xl40"/>
    <w:basedOn w:val="1"/>
    <w:qFormat/>
    <w:uiPriority w:val="0"/>
    <w:pPr>
      <w:widowControl/>
      <w:pBdr>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56">
    <w:name w:val="我的样式"/>
    <w:basedOn w:val="2"/>
    <w:next w:val="1"/>
    <w:qFormat/>
    <w:uiPriority w:val="0"/>
    <w:pPr>
      <w:numPr>
        <w:ilvl w:val="0"/>
        <w:numId w:val="5"/>
      </w:numPr>
      <w:spacing w:line="360" w:lineRule="auto"/>
    </w:pPr>
    <w:rPr>
      <w:rFonts w:ascii="仿宋_GB2312" w:eastAsia="仿宋_GB2312"/>
      <w:sz w:val="32"/>
      <w:szCs w:val="30"/>
    </w:rPr>
  </w:style>
  <w:style w:type="paragraph" w:customStyle="1" w:styleId="357">
    <w:name w:val="Normal_9_0"/>
    <w:qFormat/>
    <w:uiPriority w:val="0"/>
    <w:rPr>
      <w:rFonts w:ascii="Times New Roman" w:hAnsi="Times New Roman" w:eastAsia="Times New Roman" w:cs="Times New Roman"/>
      <w:sz w:val="24"/>
      <w:szCs w:val="24"/>
      <w:lang w:val="en-US" w:eastAsia="zh-CN" w:bidi="ar-SA"/>
    </w:rPr>
  </w:style>
  <w:style w:type="paragraph" w:customStyle="1" w:styleId="3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59">
    <w:name w:val="Char Char Char Char Char Char Char Char Char Char2"/>
    <w:basedOn w:val="1"/>
    <w:qFormat/>
    <w:uiPriority w:val="0"/>
    <w:rPr>
      <w:rFonts w:ascii="Tahoma" w:hAnsi="Tahoma"/>
      <w:sz w:val="24"/>
      <w:szCs w:val="20"/>
    </w:rPr>
  </w:style>
  <w:style w:type="paragraph" w:customStyle="1" w:styleId="360">
    <w:name w:val="保密事宜格式"/>
    <w:basedOn w:val="16"/>
    <w:qFormat/>
    <w:uiPriority w:val="0"/>
    <w:pPr>
      <w:pBdr>
        <w:top w:val="single" w:color="auto" w:sz="4" w:space="1"/>
        <w:left w:val="single" w:color="auto" w:sz="4" w:space="4"/>
        <w:bottom w:val="single" w:color="auto" w:sz="4" w:space="1"/>
        <w:right w:val="single" w:color="auto" w:sz="4" w:space="4"/>
      </w:pBdr>
      <w:shd w:val="clear" w:color="auto" w:fill="E6E6E6"/>
      <w:spacing w:beforeLines="0" w:afterLines="0"/>
      <w:jc w:val="both"/>
    </w:pPr>
    <w:rPr>
      <w:rFonts w:ascii="Tahoma" w:hAnsi="Tahoma" w:eastAsia="楷体_GB2312" w:cs="宋体"/>
      <w:b/>
      <w:kern w:val="0"/>
      <w:sz w:val="32"/>
    </w:rPr>
  </w:style>
  <w:style w:type="paragraph" w:customStyle="1" w:styleId="361">
    <w:name w:val="Normal_2"/>
    <w:qFormat/>
    <w:uiPriority w:val="0"/>
    <w:rPr>
      <w:rFonts w:ascii="黑体" w:hAnsi="黑体" w:eastAsia="黑体" w:cs="Times New Roman"/>
      <w:b/>
      <w:sz w:val="32"/>
      <w:szCs w:val="24"/>
      <w:lang w:val="en-US" w:eastAsia="zh-CN" w:bidi="ar-SA"/>
    </w:rPr>
  </w:style>
  <w:style w:type="paragraph" w:customStyle="1" w:styleId="362">
    <w:name w:val="Normal_8_0"/>
    <w:qFormat/>
    <w:uiPriority w:val="0"/>
    <w:rPr>
      <w:rFonts w:ascii="黑体" w:hAnsi="黑体" w:eastAsia="黑体" w:cs="Times New Roman"/>
      <w:b/>
      <w:sz w:val="32"/>
      <w:szCs w:val="24"/>
      <w:lang w:val="en-US" w:eastAsia="zh-CN" w:bidi="ar-SA"/>
    </w:rPr>
  </w:style>
  <w:style w:type="paragraph" w:customStyle="1" w:styleId="363">
    <w:name w:val="表格文字"/>
    <w:basedOn w:val="1"/>
    <w:qFormat/>
    <w:uiPriority w:val="0"/>
    <w:pPr>
      <w:jc w:val="left"/>
    </w:pPr>
    <w:rPr>
      <w:rFonts w:ascii="Calibri" w:hAnsi="Calibri"/>
      <w:sz w:val="18"/>
      <w:szCs w:val="22"/>
    </w:rPr>
  </w:style>
  <w:style w:type="paragraph" w:customStyle="1" w:styleId="364">
    <w:name w:val="Style10"/>
    <w:basedOn w:val="1"/>
    <w:qFormat/>
    <w:uiPriority w:val="0"/>
    <w:pPr>
      <w:adjustRightInd w:val="0"/>
      <w:jc w:val="left"/>
    </w:pPr>
    <w:rPr>
      <w:rFonts w:ascii="宋体"/>
      <w:kern w:val="0"/>
      <w:sz w:val="24"/>
    </w:rPr>
  </w:style>
  <w:style w:type="paragraph" w:customStyle="1" w:styleId="365">
    <w:name w:val="表头"/>
    <w:basedOn w:val="130"/>
    <w:qFormat/>
    <w:uiPriority w:val="0"/>
    <w:pPr>
      <w:widowControl/>
      <w:spacing w:line="240" w:lineRule="auto"/>
      <w:jc w:val="left"/>
    </w:pPr>
    <w:rPr>
      <w:rFonts w:ascii="Times New Roman" w:hAnsi="Times New Roman"/>
      <w:sz w:val="20"/>
      <w:szCs w:val="20"/>
    </w:rPr>
  </w:style>
  <w:style w:type="paragraph" w:customStyle="1" w:styleId="366">
    <w:name w:val="Normal_21"/>
    <w:qFormat/>
    <w:uiPriority w:val="0"/>
    <w:pPr>
      <w:widowControl w:val="0"/>
      <w:jc w:val="both"/>
    </w:pPr>
    <w:rPr>
      <w:rFonts w:ascii="Times New Roman" w:hAnsi="Times New Roman" w:eastAsia="宋体" w:cs="Times New Roman"/>
      <w:szCs w:val="24"/>
      <w:lang w:val="en-US" w:eastAsia="zh-CN" w:bidi="ar-SA"/>
    </w:rPr>
  </w:style>
  <w:style w:type="paragraph" w:customStyle="1" w:styleId="367">
    <w:name w:val="ul"/>
    <w:basedOn w:val="1"/>
    <w:qFormat/>
    <w:uiPriority w:val="0"/>
    <w:pPr>
      <w:widowControl/>
      <w:numPr>
        <w:ilvl w:val="0"/>
        <w:numId w:val="6"/>
      </w:numPr>
      <w:tabs>
        <w:tab w:val="left" w:pos="842"/>
        <w:tab w:val="left" w:pos="930"/>
        <w:tab w:val="clear" w:pos="840"/>
      </w:tabs>
      <w:spacing w:line="360" w:lineRule="auto"/>
      <w:ind w:left="567" w:hanging="85"/>
      <w:jc w:val="left"/>
    </w:pPr>
    <w:rPr>
      <w:rFonts w:ascii="Calibri" w:hAnsi="Calibri"/>
      <w:kern w:val="0"/>
      <w:sz w:val="24"/>
      <w:szCs w:val="22"/>
    </w:rPr>
  </w:style>
  <w:style w:type="paragraph" w:customStyle="1" w:styleId="368">
    <w:name w:val="tabletext"/>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36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图号"/>
    <w:basedOn w:val="1"/>
    <w:qFormat/>
    <w:uiPriority w:val="0"/>
    <w:pPr>
      <w:keepNext/>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71">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372">
    <w:name w:val="TOC 标题1"/>
    <w:basedOn w:val="2"/>
    <w:next w:val="1"/>
    <w:qFormat/>
    <w:uiPriority w:val="0"/>
    <w:pPr>
      <w:widowControl/>
      <w:spacing w:before="480" w:after="0" w:line="276" w:lineRule="auto"/>
      <w:outlineLvl w:val="9"/>
    </w:pPr>
    <w:rPr>
      <w:rFonts w:ascii="Cambria" w:hAnsi="Cambria"/>
      <w:bCs w:val="0"/>
      <w:color w:val="365F91"/>
      <w:kern w:val="0"/>
      <w:sz w:val="28"/>
      <w:szCs w:val="20"/>
    </w:rPr>
  </w:style>
  <w:style w:type="paragraph" w:customStyle="1" w:styleId="373">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2"/>
    </w:rPr>
  </w:style>
  <w:style w:type="paragraph" w:customStyle="1" w:styleId="374">
    <w:name w:val="首页空格"/>
    <w:qFormat/>
    <w:uiPriority w:val="0"/>
    <w:pPr>
      <w:adjustRightInd w:val="0"/>
      <w:snapToGrid w:val="0"/>
      <w:jc w:val="center"/>
    </w:pPr>
    <w:rPr>
      <w:rFonts w:ascii="Times New Roman" w:hAnsi="Times New Roman" w:eastAsia="宋体" w:cs="宋体"/>
      <w:kern w:val="2"/>
      <w:sz w:val="72"/>
      <w:lang w:val="en-US" w:eastAsia="zh-CN" w:bidi="ar-SA"/>
    </w:rPr>
  </w:style>
  <w:style w:type="paragraph" w:customStyle="1" w:styleId="375">
    <w:name w:val="Normal_0"/>
    <w:qFormat/>
    <w:uiPriority w:val="0"/>
    <w:rPr>
      <w:rFonts w:ascii="黑体" w:hAnsi="黑体" w:eastAsia="黑体" w:cs="Times New Roman"/>
      <w:b/>
      <w:sz w:val="32"/>
      <w:szCs w:val="24"/>
      <w:lang w:val="en-US" w:eastAsia="zh-CN" w:bidi="ar-SA"/>
    </w:rPr>
  </w:style>
  <w:style w:type="paragraph" w:customStyle="1" w:styleId="376">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7">
    <w:name w:val="列出段落3"/>
    <w:basedOn w:val="1"/>
    <w:qFormat/>
    <w:uiPriority w:val="0"/>
    <w:pPr>
      <w:ind w:firstLine="420" w:firstLineChars="200"/>
    </w:pPr>
    <w:rPr>
      <w:rFonts w:ascii="Calibri" w:hAnsi="Calibri"/>
      <w:szCs w:val="22"/>
    </w:rPr>
  </w:style>
  <w:style w:type="paragraph" w:customStyle="1" w:styleId="378">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80">
    <w:name w:val="style42"/>
    <w:basedOn w:val="1"/>
    <w:qFormat/>
    <w:uiPriority w:val="0"/>
    <w:pPr>
      <w:widowControl/>
      <w:spacing w:before="100" w:beforeAutospacing="1" w:after="100" w:afterAutospacing="1"/>
      <w:jc w:val="left"/>
    </w:pPr>
    <w:rPr>
      <w:rFonts w:ascii="宋体" w:hAnsi="Calibri" w:cs="宋体"/>
      <w:color w:val="000000"/>
      <w:kern w:val="0"/>
      <w:sz w:val="15"/>
      <w:szCs w:val="15"/>
    </w:rPr>
  </w:style>
  <w:style w:type="paragraph" w:customStyle="1" w:styleId="381">
    <w:name w:val="保密事宜内容"/>
    <w:basedOn w:val="1"/>
    <w:qFormat/>
    <w:uiPriority w:val="0"/>
    <w:pPr>
      <w:pBdr>
        <w:top w:val="single" w:color="auto" w:sz="4" w:space="1"/>
        <w:left w:val="single" w:color="auto" w:sz="4" w:space="4"/>
        <w:bottom w:val="single" w:color="auto" w:sz="4" w:space="1"/>
        <w:right w:val="single" w:color="auto" w:sz="4" w:space="4"/>
      </w:pBdr>
      <w:adjustRightInd w:val="0"/>
      <w:snapToGrid w:val="0"/>
      <w:spacing w:line="360" w:lineRule="auto"/>
      <w:ind w:firstLine="200" w:firstLineChars="200"/>
    </w:pPr>
    <w:rPr>
      <w:rFonts w:ascii="Tahoma" w:hAnsi="Tahoma" w:eastAsia="楷体_GB2312" w:cs="宋体"/>
      <w:bCs/>
      <w:kern w:val="0"/>
      <w:sz w:val="24"/>
      <w:szCs w:val="20"/>
    </w:rPr>
  </w:style>
  <w:style w:type="paragraph" w:customStyle="1" w:styleId="382">
    <w:name w:val="表格样式居左"/>
    <w:qFormat/>
    <w:uiPriority w:val="0"/>
    <w:pPr>
      <w:adjustRightInd w:val="0"/>
      <w:snapToGrid w:val="0"/>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383">
    <w:name w:val="正文（缩进） Char1"/>
    <w:basedOn w:val="1"/>
    <w:qFormat/>
    <w:uiPriority w:val="0"/>
    <w:pPr>
      <w:spacing w:beforeLines="50" w:afterLines="50" w:line="360" w:lineRule="auto"/>
      <w:ind w:firstLine="480" w:firstLineChars="200"/>
    </w:pPr>
    <w:rPr>
      <w:sz w:val="24"/>
    </w:rPr>
  </w:style>
  <w:style w:type="paragraph" w:customStyle="1" w:styleId="384">
    <w:name w:val="正文_1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附图居中"/>
    <w:basedOn w:val="1"/>
    <w:next w:val="335"/>
    <w:qFormat/>
    <w:uiPriority w:val="0"/>
    <w:pPr>
      <w:keepNext/>
      <w:tabs>
        <w:tab w:val="left" w:pos="0"/>
      </w:tabs>
      <w:spacing w:line="360" w:lineRule="auto"/>
      <w:ind w:left="1271" w:hanging="420"/>
      <w:jc w:val="center"/>
    </w:pPr>
    <w:rPr>
      <w:rFonts w:ascii="Calibri" w:hAnsi="Calibri"/>
      <w:caps/>
      <w:sz w:val="24"/>
      <w:szCs w:val="22"/>
    </w:rPr>
  </w:style>
  <w:style w:type="paragraph" w:customStyle="1" w:styleId="388">
    <w:name w:val="Normal_22"/>
    <w:qFormat/>
    <w:uiPriority w:val="0"/>
    <w:rPr>
      <w:rFonts w:ascii="黑体" w:hAnsi="黑体" w:eastAsia="黑体" w:cs="Times New Roman"/>
      <w:b/>
      <w:sz w:val="32"/>
      <w:szCs w:val="24"/>
      <w:lang w:val="en-US" w:eastAsia="zh-CN" w:bidi="ar-SA"/>
    </w:rPr>
  </w:style>
  <w:style w:type="paragraph" w:customStyle="1" w:styleId="389">
    <w:name w:val="Normal_16_0"/>
    <w:qFormat/>
    <w:uiPriority w:val="0"/>
    <w:pPr>
      <w:widowControl w:val="0"/>
      <w:jc w:val="both"/>
    </w:pPr>
    <w:rPr>
      <w:rFonts w:ascii="Times New Roman" w:hAnsi="Times New Roman" w:eastAsia="Times New Roman" w:cs="Times New Roman"/>
      <w:lang w:val="en-US" w:eastAsia="zh-CN" w:bidi="ar-SA"/>
    </w:rPr>
  </w:style>
  <w:style w:type="paragraph" w:customStyle="1" w:styleId="390">
    <w:name w:val="首页标题 一号"/>
    <w:basedOn w:val="312"/>
    <w:qFormat/>
    <w:uiPriority w:val="0"/>
    <w:rPr>
      <w:sz w:val="52"/>
    </w:rPr>
  </w:style>
  <w:style w:type="paragraph" w:customStyle="1" w:styleId="391">
    <w:name w:val="Normal_1_1"/>
    <w:qFormat/>
    <w:uiPriority w:val="0"/>
    <w:rPr>
      <w:rFonts w:ascii="黑体" w:hAnsi="黑体" w:eastAsia="黑体" w:cs="Times New Roman"/>
      <w:b/>
      <w:sz w:val="32"/>
      <w:szCs w:val="24"/>
      <w:lang w:val="en-US" w:eastAsia="zh-CN" w:bidi="ar-SA"/>
    </w:rPr>
  </w:style>
  <w:style w:type="paragraph" w:customStyle="1" w:styleId="392">
    <w:name w:val="Normal_11"/>
    <w:qFormat/>
    <w:uiPriority w:val="0"/>
    <w:rPr>
      <w:rFonts w:ascii="黑体" w:hAnsi="黑体" w:eastAsia="黑体" w:cs="Times New Roman"/>
      <w:b/>
      <w:sz w:val="32"/>
      <w:szCs w:val="24"/>
      <w:lang w:val="en-US" w:eastAsia="zh-CN" w:bidi="ar-SA"/>
    </w:rPr>
  </w:style>
  <w:style w:type="paragraph" w:customStyle="1" w:styleId="393">
    <w:name w:val="Char1"/>
    <w:basedOn w:val="1"/>
    <w:qFormat/>
    <w:uiPriority w:val="0"/>
    <w:pPr>
      <w:tabs>
        <w:tab w:val="left" w:pos="840"/>
      </w:tabs>
      <w:ind w:left="840" w:hanging="420"/>
    </w:pPr>
    <w:rPr>
      <w:sz w:val="24"/>
    </w:rPr>
  </w:style>
  <w:style w:type="paragraph" w:customStyle="1" w:styleId="394">
    <w:name w:val="Normal_14_0_0"/>
    <w:qFormat/>
    <w:uiPriority w:val="0"/>
    <w:rPr>
      <w:rFonts w:ascii="黑体" w:hAnsi="黑体" w:eastAsia="黑体" w:cs="Times New Roman"/>
      <w:b/>
      <w:sz w:val="32"/>
      <w:szCs w:val="24"/>
      <w:lang w:val="en-US" w:eastAsia="zh-CN" w:bidi="ar-SA"/>
    </w:rPr>
  </w:style>
  <w:style w:type="paragraph" w:customStyle="1" w:styleId="395">
    <w:name w:val="Normal_18_0"/>
    <w:qFormat/>
    <w:uiPriority w:val="0"/>
    <w:rPr>
      <w:rFonts w:ascii="黑体" w:hAnsi="黑体" w:eastAsia="黑体" w:cs="Times New Roman"/>
      <w:b/>
      <w:sz w:val="32"/>
      <w:szCs w:val="24"/>
      <w:lang w:val="en-US" w:eastAsia="zh-CN" w:bidi="ar-SA"/>
    </w:rPr>
  </w:style>
  <w:style w:type="paragraph" w:customStyle="1" w:styleId="396">
    <w:name w:val="样式5"/>
    <w:basedOn w:val="4"/>
    <w:qFormat/>
    <w:uiPriority w:val="0"/>
    <w:pPr>
      <w:spacing w:line="412" w:lineRule="auto"/>
    </w:pPr>
    <w:rPr>
      <w:rFonts w:ascii="Calibri" w:hAnsi="Calibri"/>
      <w:kern w:val="2"/>
      <w:sz w:val="28"/>
      <w:szCs w:val="28"/>
    </w:rPr>
  </w:style>
  <w:style w:type="paragraph" w:customStyle="1" w:styleId="397">
    <w:name w:val="正文_4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8">
    <w:name w:val="技术方案正文样式"/>
    <w:basedOn w:val="1"/>
    <w:qFormat/>
    <w:uiPriority w:val="0"/>
    <w:pPr>
      <w:autoSpaceDE w:val="0"/>
      <w:autoSpaceDN w:val="0"/>
      <w:adjustRightInd w:val="0"/>
      <w:spacing w:line="400" w:lineRule="exact"/>
      <w:ind w:firstLine="200" w:firstLineChars="200"/>
    </w:pPr>
    <w:rPr>
      <w:rFonts w:ascii="宋体" w:hAnsi="Calibri" w:cs="宋体"/>
      <w:sz w:val="24"/>
      <w:szCs w:val="21"/>
    </w:rPr>
  </w:style>
  <w:style w:type="paragraph" w:customStyle="1" w:styleId="399">
    <w:name w:val="样式4"/>
    <w:basedOn w:val="4"/>
    <w:qFormat/>
    <w:uiPriority w:val="0"/>
    <w:pPr>
      <w:spacing w:line="412" w:lineRule="auto"/>
    </w:pPr>
    <w:rPr>
      <w:rFonts w:ascii="Calibri" w:hAnsi="Calibri"/>
      <w:kern w:val="2"/>
      <w:sz w:val="28"/>
      <w:szCs w:val="28"/>
    </w:rPr>
  </w:style>
  <w:style w:type="paragraph" w:customStyle="1" w:styleId="400">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1">
    <w:name w:val="Char11"/>
    <w:basedOn w:val="1"/>
    <w:qFormat/>
    <w:uiPriority w:val="0"/>
    <w:rPr>
      <w:rFonts w:ascii="Calibri" w:hAnsi="Calibri"/>
      <w:szCs w:val="21"/>
    </w:rPr>
  </w:style>
  <w:style w:type="paragraph" w:customStyle="1" w:styleId="402">
    <w:name w:val="缺省文本"/>
    <w:basedOn w:val="1"/>
    <w:qFormat/>
    <w:uiPriority w:val="0"/>
    <w:pPr>
      <w:autoSpaceDE w:val="0"/>
      <w:autoSpaceDN w:val="0"/>
      <w:adjustRightInd w:val="0"/>
      <w:jc w:val="left"/>
    </w:pPr>
    <w:rPr>
      <w:rFonts w:ascii="Calibri" w:hAnsi="Calibri"/>
      <w:kern w:val="0"/>
      <w:sz w:val="24"/>
      <w:szCs w:val="20"/>
    </w:rPr>
  </w:style>
  <w:style w:type="paragraph" w:customStyle="1" w:styleId="403">
    <w:name w:val="图表目录1"/>
    <w:qFormat/>
    <w:uiPriority w:val="0"/>
    <w:pPr>
      <w:ind w:left="840" w:hanging="420"/>
    </w:pPr>
    <w:rPr>
      <w:rFonts w:ascii="Times New Roman" w:hAnsi="Times New Roman" w:eastAsia="宋体" w:cs="宋体"/>
      <w:kern w:val="2"/>
      <w:sz w:val="21"/>
      <w:lang w:val="en-US" w:eastAsia="zh-CN" w:bidi="ar-SA"/>
    </w:rPr>
  </w:style>
  <w:style w:type="paragraph" w:customStyle="1" w:styleId="404">
    <w:name w:val="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05">
    <w:name w:val="列出段落_1"/>
    <w:basedOn w:val="316"/>
    <w:qFormat/>
    <w:uiPriority w:val="34"/>
    <w:pPr>
      <w:ind w:firstLine="420" w:firstLineChars="200"/>
    </w:pPr>
  </w:style>
  <w:style w:type="paragraph" w:customStyle="1" w:styleId="406">
    <w:name w:val="正文（无缩进）"/>
    <w:basedOn w:val="1"/>
    <w:qFormat/>
    <w:uiPriority w:val="0"/>
    <w:pPr>
      <w:spacing w:line="360" w:lineRule="auto"/>
    </w:pPr>
    <w:rPr>
      <w:rFonts w:ascii="Calibri" w:hAnsi="Calibri"/>
      <w:sz w:val="24"/>
      <w:szCs w:val="21"/>
    </w:rPr>
  </w:style>
  <w:style w:type="paragraph" w:customStyle="1" w:styleId="407">
    <w:name w:val="段落"/>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408">
    <w:name w:val="Normal_14_0_0_0"/>
    <w:qFormat/>
    <w:uiPriority w:val="0"/>
    <w:rPr>
      <w:rFonts w:ascii="黑体" w:hAnsi="黑体" w:eastAsia="黑体" w:cs="Times New Roman"/>
      <w:b/>
      <w:sz w:val="32"/>
      <w:szCs w:val="24"/>
      <w:lang w:val="en-US" w:eastAsia="zh-CN" w:bidi="ar-SA"/>
    </w:rPr>
  </w:style>
  <w:style w:type="paragraph" w:customStyle="1" w:styleId="409">
    <w:name w:val="标书2"/>
    <w:next w:val="407"/>
    <w:qFormat/>
    <w:uiPriority w:val="0"/>
    <w:rPr>
      <w:rFonts w:ascii="Times New Roman" w:hAnsi="Times New Roman" w:eastAsia="黑体" w:cs="宋体"/>
      <w:b/>
      <w:kern w:val="2"/>
      <w:sz w:val="44"/>
      <w:lang w:val="en-US" w:eastAsia="zh-CN" w:bidi="ar-SA"/>
    </w:rPr>
  </w:style>
  <w:style w:type="paragraph" w:customStyle="1" w:styleId="410">
    <w:name w:val="标准小四"/>
    <w:basedOn w:val="1"/>
    <w:qFormat/>
    <w:uiPriority w:val="0"/>
    <w:pPr>
      <w:spacing w:line="360" w:lineRule="auto"/>
      <w:ind w:firstLine="200" w:firstLineChars="200"/>
    </w:pPr>
    <w:rPr>
      <w:rFonts w:ascii="Arial" w:hAnsi="Arial"/>
      <w:sz w:val="24"/>
      <w:szCs w:val="21"/>
    </w:rPr>
  </w:style>
  <w:style w:type="paragraph" w:customStyle="1" w:styleId="411">
    <w:name w:val="编号"/>
    <w:basedOn w:val="1"/>
    <w:next w:val="407"/>
    <w:qFormat/>
    <w:uiPriority w:val="0"/>
    <w:pPr>
      <w:widowControl/>
      <w:tabs>
        <w:tab w:val="left" w:pos="420"/>
      </w:tabs>
      <w:ind w:left="420" w:right="-136" w:rightChars="-136" w:hanging="420"/>
    </w:pPr>
    <w:rPr>
      <w:rFonts w:ascii="仿宋_GB2312" w:hAnsi="Calibri" w:eastAsia="仿宋_GB2312"/>
      <w:b/>
      <w:bCs/>
      <w:kern w:val="0"/>
      <w:sz w:val="24"/>
      <w:szCs w:val="21"/>
    </w:rPr>
  </w:style>
  <w:style w:type="paragraph" w:customStyle="1" w:styleId="412">
    <w:name w:val="Normal_3_0"/>
    <w:qFormat/>
    <w:uiPriority w:val="0"/>
    <w:rPr>
      <w:rFonts w:ascii="黑体" w:hAnsi="黑体" w:eastAsia="黑体" w:cs="Times New Roman"/>
      <w:b/>
      <w:sz w:val="32"/>
      <w:szCs w:val="24"/>
      <w:lang w:val="en-US" w:eastAsia="zh-CN" w:bidi="ar-SA"/>
    </w:rPr>
  </w:style>
  <w:style w:type="paragraph" w:customStyle="1" w:styleId="413">
    <w:name w:val="Normal_12_0"/>
    <w:qFormat/>
    <w:uiPriority w:val="0"/>
    <w:rPr>
      <w:rFonts w:ascii="黑体" w:hAnsi="黑体" w:eastAsia="黑体" w:cs="Times New Roman"/>
      <w:b/>
      <w:sz w:val="32"/>
      <w:szCs w:val="24"/>
      <w:lang w:val="en-US" w:eastAsia="zh-CN" w:bidi="ar-SA"/>
    </w:rPr>
  </w:style>
  <w:style w:type="paragraph" w:customStyle="1" w:styleId="414">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415">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6">
    <w:name w:val="新段落缩进"/>
    <w:basedOn w:val="1"/>
    <w:qFormat/>
    <w:uiPriority w:val="0"/>
    <w:pPr>
      <w:spacing w:line="400" w:lineRule="exact"/>
      <w:ind w:firstLine="200" w:firstLineChars="200"/>
    </w:pPr>
    <w:rPr>
      <w:rFonts w:ascii="仿宋_GB2312" w:hAnsi="Calibri" w:eastAsia="仿宋_GB2312"/>
      <w:kern w:val="0"/>
      <w:sz w:val="24"/>
      <w:szCs w:val="22"/>
    </w:rPr>
  </w:style>
  <w:style w:type="paragraph" w:customStyle="1" w:styleId="417">
    <w:name w:val="pbody"/>
    <w:basedOn w:val="1"/>
    <w:qFormat/>
    <w:uiPriority w:val="0"/>
    <w:pPr>
      <w:widowControl/>
      <w:spacing w:before="100" w:beforeAutospacing="1" w:after="100" w:afterAutospacing="1" w:line="360" w:lineRule="auto"/>
      <w:jc w:val="left"/>
    </w:pPr>
    <w:rPr>
      <w:rFonts w:ascii="宋体" w:hAnsi="Calibri" w:cs="宋体"/>
      <w:kern w:val="0"/>
      <w:sz w:val="24"/>
      <w:szCs w:val="22"/>
    </w:rPr>
  </w:style>
  <w:style w:type="paragraph" w:customStyle="1" w:styleId="418">
    <w:name w:val="Normal_7_0"/>
    <w:qFormat/>
    <w:uiPriority w:val="0"/>
    <w:rPr>
      <w:rFonts w:ascii="黑体" w:hAnsi="黑体" w:eastAsia="黑体" w:cs="Times New Roman"/>
      <w:b/>
      <w:sz w:val="32"/>
      <w:szCs w:val="24"/>
      <w:lang w:val="en-US" w:eastAsia="zh-CN" w:bidi="ar-SA"/>
    </w:rPr>
  </w:style>
  <w:style w:type="paragraph" w:customStyle="1" w:styleId="419">
    <w:name w:val="Char Char Char Char"/>
    <w:basedOn w:val="19"/>
    <w:qFormat/>
    <w:uiPriority w:val="0"/>
    <w:pPr>
      <w:adjustRightInd w:val="0"/>
      <w:snapToGrid w:val="0"/>
      <w:spacing w:line="360" w:lineRule="auto"/>
    </w:pPr>
    <w:rPr>
      <w:rFonts w:ascii="Tahoma" w:hAnsi="Tahoma"/>
      <w:sz w:val="24"/>
    </w:rPr>
  </w:style>
  <w:style w:type="paragraph" w:customStyle="1" w:styleId="420">
    <w:name w:val="Normal_14_0"/>
    <w:qFormat/>
    <w:uiPriority w:val="0"/>
    <w:pPr>
      <w:widowControl w:val="0"/>
      <w:jc w:val="both"/>
    </w:pPr>
    <w:rPr>
      <w:rFonts w:ascii="Times New Roman" w:hAnsi="Times New Roman" w:eastAsia="Times New Roman" w:cs="Times New Roman"/>
      <w:lang w:val="en-US" w:eastAsia="zh-CN" w:bidi="ar-SA"/>
    </w:rPr>
  </w:style>
  <w:style w:type="paragraph" w:customStyle="1" w:styleId="421">
    <w:name w:val="Normal_1"/>
    <w:qFormat/>
    <w:uiPriority w:val="0"/>
    <w:rPr>
      <w:rFonts w:ascii="黑体" w:hAnsi="黑体" w:eastAsia="黑体" w:cs="Times New Roman"/>
      <w:b/>
      <w:sz w:val="32"/>
      <w:szCs w:val="24"/>
      <w:lang w:val="en-US" w:eastAsia="zh-CN" w:bidi="ar-SA"/>
    </w:rPr>
  </w:style>
  <w:style w:type="paragraph" w:customStyle="1" w:styleId="422">
    <w:name w:val="表格"/>
    <w:basedOn w:val="1"/>
    <w:qFormat/>
    <w:uiPriority w:val="0"/>
    <w:pPr>
      <w:snapToGrid w:val="0"/>
      <w:ind w:firstLine="21" w:firstLineChars="21"/>
    </w:pPr>
    <w:rPr>
      <w:rFonts w:ascii="宋体" w:hAnsi="Calibri"/>
      <w:szCs w:val="20"/>
    </w:rPr>
  </w:style>
  <w:style w:type="paragraph" w:customStyle="1" w:styleId="423">
    <w:name w:val="Normal_1_0"/>
    <w:qFormat/>
    <w:uiPriority w:val="0"/>
    <w:rPr>
      <w:rFonts w:ascii="Times New Roman" w:hAnsi="Times New Roman" w:eastAsia="Times New Roman" w:cs="Times New Roman"/>
      <w:sz w:val="24"/>
      <w:szCs w:val="24"/>
      <w:lang w:val="en-US" w:eastAsia="zh-CN" w:bidi="ar-SA"/>
    </w:rPr>
  </w:style>
  <w:style w:type="paragraph" w:customStyle="1" w:styleId="424">
    <w:name w:val="样式 正文缩进 + (中文) 仿宋_GB2312 小四 Char"/>
    <w:basedOn w:val="15"/>
    <w:qFormat/>
    <w:uiPriority w:val="0"/>
    <w:pPr>
      <w:spacing w:line="360" w:lineRule="auto"/>
      <w:ind w:firstLine="200"/>
    </w:pPr>
    <w:rPr>
      <w:rFonts w:ascii="宋体" w:hAnsi="Calibri"/>
      <w:kern w:val="2"/>
      <w:sz w:val="24"/>
    </w:rPr>
  </w:style>
  <w:style w:type="paragraph" w:customStyle="1" w:styleId="4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26">
    <w:name w:val="Normal_5_0"/>
    <w:qFormat/>
    <w:uiPriority w:val="0"/>
    <w:rPr>
      <w:rFonts w:ascii="黑体" w:hAnsi="黑体" w:eastAsia="黑体" w:cs="Times New Roman"/>
      <w:b/>
      <w:sz w:val="32"/>
      <w:szCs w:val="24"/>
      <w:lang w:val="en-US" w:eastAsia="zh-CN" w:bidi="ar-SA"/>
    </w:rPr>
  </w:style>
  <w:style w:type="paragraph" w:customStyle="1" w:styleId="427">
    <w:name w:val="Normal_0_2"/>
    <w:qFormat/>
    <w:uiPriority w:val="0"/>
    <w:rPr>
      <w:rFonts w:ascii="黑体" w:hAnsi="黑体" w:eastAsia="黑体" w:cs="Times New Roman"/>
      <w:b/>
      <w:sz w:val="32"/>
      <w:szCs w:val="24"/>
      <w:lang w:val="en-US" w:eastAsia="zh-CN" w:bidi="ar-SA"/>
    </w:rPr>
  </w:style>
  <w:style w:type="paragraph" w:customStyle="1" w:styleId="428">
    <w:name w:val="CM17"/>
    <w:basedOn w:val="1"/>
    <w:next w:val="1"/>
    <w:qFormat/>
    <w:uiPriority w:val="0"/>
    <w:pPr>
      <w:autoSpaceDE w:val="0"/>
      <w:autoSpaceDN w:val="0"/>
      <w:adjustRightInd w:val="0"/>
      <w:spacing w:after="273" w:line="360" w:lineRule="auto"/>
      <w:jc w:val="left"/>
    </w:pPr>
    <w:rPr>
      <w:rFonts w:ascii="宋体" w:hAnsi="Calibri"/>
      <w:kern w:val="0"/>
      <w:sz w:val="24"/>
      <w:szCs w:val="22"/>
    </w:rPr>
  </w:style>
  <w:style w:type="paragraph" w:customStyle="1" w:styleId="429">
    <w:name w:val="无间隔1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0">
    <w:name w:val="Table Text/Title"/>
    <w:basedOn w:val="1"/>
    <w:qFormat/>
    <w:uiPriority w:val="0"/>
    <w:pPr>
      <w:widowControl/>
      <w:jc w:val="left"/>
    </w:pPr>
    <w:rPr>
      <w:rFonts w:ascii="宋体" w:hAnsi="Calibri"/>
      <w:b/>
      <w:bCs/>
      <w:kern w:val="0"/>
      <w:sz w:val="20"/>
      <w:szCs w:val="20"/>
      <w:lang w:eastAsia="en-US"/>
    </w:rPr>
  </w:style>
  <w:style w:type="paragraph" w:customStyle="1" w:styleId="431">
    <w:name w:val="Char Char Char Char Char Char Char Char Char Char"/>
    <w:basedOn w:val="1"/>
    <w:qFormat/>
    <w:uiPriority w:val="0"/>
    <w:rPr>
      <w:rFonts w:ascii="Tahoma" w:hAnsi="Tahoma"/>
      <w:sz w:val="24"/>
      <w:szCs w:val="20"/>
    </w:rPr>
  </w:style>
  <w:style w:type="paragraph" w:customStyle="1" w:styleId="432">
    <w:name w:val="大汉方案正文 Char"/>
    <w:basedOn w:val="1"/>
    <w:qFormat/>
    <w:uiPriority w:val="0"/>
    <w:pPr>
      <w:spacing w:line="360" w:lineRule="auto"/>
      <w:ind w:firstLine="200" w:firstLineChars="200"/>
    </w:pPr>
    <w:rPr>
      <w:rFonts w:ascii="Arial" w:hAnsi="Arial"/>
      <w:sz w:val="24"/>
      <w:szCs w:val="22"/>
    </w:rPr>
  </w:style>
  <w:style w:type="paragraph" w:customStyle="1" w:styleId="433">
    <w:name w:val="样式 正文首行缩进 + 宋体 首行缩进:  0.74 厘米"/>
    <w:basedOn w:val="63"/>
    <w:qFormat/>
    <w:uiPriority w:val="0"/>
    <w:pPr>
      <w:tabs>
        <w:tab w:val="clear" w:pos="2020"/>
        <w:tab w:val="clear" w:pos="4535"/>
      </w:tabs>
      <w:spacing w:after="120" w:line="240" w:lineRule="auto"/>
      <w:ind w:firstLine="100"/>
      <w:outlineLvl w:val="9"/>
    </w:pPr>
    <w:rPr>
      <w:rFonts w:ascii="Times New Roman" w:hAnsi="Times New Roman" w:eastAsia="宋体"/>
      <w:bCs w:val="0"/>
      <w:color w:val="auto"/>
      <w:sz w:val="21"/>
      <w:szCs w:val="22"/>
    </w:rPr>
  </w:style>
  <w:style w:type="paragraph" w:customStyle="1" w:styleId="434">
    <w:name w:val="表文1"/>
    <w:basedOn w:val="1"/>
    <w:qFormat/>
    <w:uiPriority w:val="0"/>
    <w:pPr>
      <w:widowControl/>
      <w:spacing w:line="360" w:lineRule="auto"/>
      <w:ind w:firstLine="196" w:firstLineChars="196"/>
    </w:pPr>
    <w:rPr>
      <w:rFonts w:ascii="宋体" w:hAnsi="Calibri"/>
      <w:sz w:val="24"/>
      <w:szCs w:val="22"/>
    </w:rPr>
  </w:style>
  <w:style w:type="paragraph" w:customStyle="1" w:styleId="435">
    <w:name w:val="标书3"/>
    <w:next w:val="407"/>
    <w:qFormat/>
    <w:uiPriority w:val="0"/>
    <w:pPr>
      <w:widowControl w:val="0"/>
      <w:jc w:val="center"/>
    </w:pPr>
    <w:rPr>
      <w:rFonts w:ascii="Times New Roman" w:hAnsi="Times New Roman" w:eastAsia="黑体" w:cs="Times New Roman"/>
      <w:b/>
      <w:kern w:val="2"/>
      <w:sz w:val="44"/>
      <w:szCs w:val="24"/>
      <w:lang w:val="en-US" w:eastAsia="zh-CN" w:bidi="ar-SA"/>
    </w:rPr>
  </w:style>
  <w:style w:type="paragraph" w:customStyle="1" w:styleId="436">
    <w:name w:val="Normal_6_0"/>
    <w:qFormat/>
    <w:uiPriority w:val="0"/>
    <w:rPr>
      <w:rFonts w:ascii="黑体" w:hAnsi="黑体" w:eastAsia="黑体" w:cs="Times New Roman"/>
      <w:b/>
      <w:sz w:val="32"/>
      <w:szCs w:val="24"/>
      <w:lang w:val="en-US" w:eastAsia="zh-CN" w:bidi="ar-SA"/>
    </w:rPr>
  </w:style>
  <w:style w:type="paragraph" w:customStyle="1" w:styleId="437">
    <w:name w:val="Figure and Table Title"/>
    <w:basedOn w:val="1"/>
    <w:qFormat/>
    <w:uiPriority w:val="0"/>
    <w:pPr>
      <w:widowControl/>
      <w:ind w:left="2160"/>
      <w:jc w:val="left"/>
    </w:pPr>
    <w:rPr>
      <w:rFonts w:ascii="Helvetica-Light" w:hAnsi="Helvetica-Light"/>
      <w:b/>
      <w:bCs/>
      <w:kern w:val="0"/>
      <w:sz w:val="20"/>
      <w:szCs w:val="22"/>
      <w:lang w:eastAsia="en-US"/>
    </w:rPr>
  </w:style>
  <w:style w:type="paragraph" w:customStyle="1" w:styleId="438">
    <w:name w:val="FA正文+标号"/>
    <w:basedOn w:val="1"/>
    <w:qFormat/>
    <w:uiPriority w:val="0"/>
    <w:pPr>
      <w:tabs>
        <w:tab w:val="left" w:pos="907"/>
        <w:tab w:val="left" w:pos="3375"/>
      </w:tabs>
      <w:spacing w:line="400" w:lineRule="exact"/>
      <w:ind w:left="900" w:hanging="420"/>
    </w:pPr>
    <w:rPr>
      <w:rFonts w:ascii="仿宋_GB2312" w:hAnsi="Calibri" w:eastAsia="仿宋_GB2312"/>
      <w:sz w:val="24"/>
      <w:szCs w:val="20"/>
    </w:rPr>
  </w:style>
  <w:style w:type="paragraph" w:customStyle="1" w:styleId="439">
    <w:name w:val="Normal_17_0_0_0"/>
    <w:qFormat/>
    <w:uiPriority w:val="0"/>
    <w:pPr>
      <w:widowControl w:val="0"/>
      <w:jc w:val="both"/>
    </w:pPr>
    <w:rPr>
      <w:rFonts w:ascii="Times New Roman" w:hAnsi="Times New Roman" w:eastAsia="宋体" w:cs="Times New Roman"/>
      <w:szCs w:val="24"/>
      <w:lang w:val="en-US" w:eastAsia="zh-CN" w:bidi="ar-SA"/>
    </w:rPr>
  </w:style>
  <w:style w:type="paragraph" w:customStyle="1" w:styleId="440">
    <w:name w:val="首页标题"/>
    <w:qFormat/>
    <w:uiPriority w:val="0"/>
    <w:pPr>
      <w:adjustRightInd w:val="0"/>
      <w:snapToGrid w:val="0"/>
      <w:jc w:val="center"/>
    </w:pPr>
    <w:rPr>
      <w:rFonts w:ascii="宋体" w:hAnsi="Times New Roman" w:eastAsia="宋体" w:cs="宋体"/>
      <w:kern w:val="2"/>
      <w:sz w:val="72"/>
      <w:szCs w:val="72"/>
      <w:lang w:val="en-US" w:eastAsia="zh-CN" w:bidi="ar-SA"/>
    </w:rPr>
  </w:style>
  <w:style w:type="paragraph" w:customStyle="1" w:styleId="441">
    <w:name w:val="编号3"/>
    <w:qFormat/>
    <w:uiPriority w:val="0"/>
    <w:pPr>
      <w:tabs>
        <w:tab w:val="left" w:pos="771"/>
      </w:tabs>
      <w:adjustRightInd w:val="0"/>
      <w:snapToGrid w:val="0"/>
      <w:spacing w:before="120" w:after="120" w:line="360" w:lineRule="auto"/>
      <w:ind w:left="1021" w:hanging="250"/>
      <w:jc w:val="both"/>
    </w:pPr>
    <w:rPr>
      <w:rFonts w:ascii="Times New Roman" w:hAnsi="Times New Roman" w:eastAsia="仿宋_GB2312" w:cs="Times New Roman"/>
      <w:kern w:val="2"/>
      <w:sz w:val="24"/>
      <w:szCs w:val="24"/>
      <w:lang w:val="en-US" w:eastAsia="zh-CN" w:bidi="ar-SA"/>
    </w:rPr>
  </w:style>
  <w:style w:type="paragraph" w:customStyle="1" w:styleId="442">
    <w:name w:val="项目"/>
    <w:basedOn w:val="1"/>
    <w:qFormat/>
    <w:uiPriority w:val="0"/>
    <w:pPr>
      <w:tabs>
        <w:tab w:val="left" w:pos="840"/>
      </w:tabs>
      <w:adjustRightInd w:val="0"/>
      <w:spacing w:before="60" w:after="60" w:line="360" w:lineRule="auto"/>
      <w:ind w:left="840" w:hanging="420"/>
    </w:pPr>
    <w:rPr>
      <w:rFonts w:ascii="宋体" w:hAnsi="Calibri"/>
      <w:kern w:val="0"/>
      <w:szCs w:val="20"/>
    </w:rPr>
  </w:style>
  <w:style w:type="paragraph" w:customStyle="1" w:styleId="443">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444">
    <w:name w:val="Char1 Char Char Char"/>
    <w:basedOn w:val="1"/>
    <w:qFormat/>
    <w:uiPriority w:val="0"/>
    <w:rPr>
      <w:rFonts w:ascii="Calibri" w:hAnsi="Calibri"/>
      <w:szCs w:val="20"/>
    </w:rPr>
  </w:style>
  <w:style w:type="paragraph" w:customStyle="1" w:styleId="44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6">
    <w:name w:val="Sourcetext bullet"/>
    <w:basedOn w:val="1"/>
    <w:qFormat/>
    <w:uiPriority w:val="0"/>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447">
    <w:name w:val="参考资料清单+倾斜+蓝色"/>
    <w:basedOn w:val="1"/>
    <w:qFormat/>
    <w:uiPriority w:val="0"/>
    <w:pPr>
      <w:autoSpaceDE w:val="0"/>
      <w:autoSpaceDN w:val="0"/>
      <w:adjustRightInd w:val="0"/>
      <w:spacing w:line="360" w:lineRule="auto"/>
    </w:pPr>
    <w:rPr>
      <w:rFonts w:ascii="Arial" w:hAnsi="Arial"/>
      <w:i/>
      <w:iCs/>
      <w:color w:val="0000FF"/>
      <w:kern w:val="0"/>
      <w:szCs w:val="21"/>
    </w:rPr>
  </w:style>
  <w:style w:type="paragraph" w:customStyle="1" w:styleId="448">
    <w:name w:val="正文_8_0"/>
    <w:qFormat/>
    <w:uiPriority w:val="0"/>
    <w:pPr>
      <w:widowControl w:val="0"/>
      <w:jc w:val="both"/>
    </w:pPr>
    <w:rPr>
      <w:rFonts w:ascii="Times New Roman" w:hAnsi="Times New Roman" w:eastAsia="宋体" w:cs="Times New Roman"/>
      <w:lang w:val="en-US" w:eastAsia="zh-CN" w:bidi="ar-SA"/>
    </w:rPr>
  </w:style>
  <w:style w:type="paragraph" w:customStyle="1" w:styleId="449">
    <w:name w:val="Normal_9"/>
    <w:qFormat/>
    <w:uiPriority w:val="0"/>
    <w:rPr>
      <w:rFonts w:ascii="黑体" w:hAnsi="黑体" w:eastAsia="黑体" w:cs="Times New Roman"/>
      <w:b/>
      <w:sz w:val="32"/>
      <w:szCs w:val="24"/>
      <w:lang w:val="en-US" w:eastAsia="zh-CN" w:bidi="ar-SA"/>
    </w:rPr>
  </w:style>
  <w:style w:type="paragraph" w:customStyle="1" w:styleId="450">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1">
    <w:name w:val="正文_10_0"/>
    <w:qFormat/>
    <w:uiPriority w:val="0"/>
    <w:pPr>
      <w:widowControl w:val="0"/>
      <w:jc w:val="both"/>
    </w:pPr>
    <w:rPr>
      <w:rFonts w:ascii="Times New Roman" w:hAnsi="Times New Roman" w:eastAsia="宋体" w:cs="Times New Roman"/>
      <w:lang w:val="en-US" w:eastAsia="zh-CN" w:bidi="ar-SA"/>
    </w:rPr>
  </w:style>
  <w:style w:type="paragraph" w:customStyle="1" w:styleId="4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5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表格标题"/>
    <w:basedOn w:val="1"/>
    <w:qFormat/>
    <w:uiPriority w:val="0"/>
    <w:pPr>
      <w:jc w:val="center"/>
    </w:pPr>
    <w:rPr>
      <w:rFonts w:ascii="Calibri" w:hAnsi="Calibri"/>
      <w:b/>
      <w:szCs w:val="22"/>
    </w:rPr>
  </w:style>
  <w:style w:type="paragraph" w:customStyle="1" w:styleId="455">
    <w:name w:val="编号1"/>
    <w:next w:val="407"/>
    <w:qFormat/>
    <w:uiPriority w:val="0"/>
    <w:pPr>
      <w:tabs>
        <w:tab w:val="left" w:pos="420"/>
      </w:tabs>
      <w:spacing w:before="120" w:after="120" w:line="360" w:lineRule="auto"/>
      <w:ind w:left="720" w:hanging="360"/>
    </w:pPr>
    <w:rPr>
      <w:rFonts w:ascii="Times New Roman" w:hAnsi="Times New Roman" w:eastAsia="宋体" w:cs="Times New Roman"/>
      <w:kern w:val="2"/>
      <w:sz w:val="24"/>
      <w:szCs w:val="24"/>
      <w:lang w:val="en-US" w:eastAsia="zh-CN" w:bidi="ar-SA"/>
    </w:rPr>
  </w:style>
  <w:style w:type="paragraph" w:customStyle="1" w:styleId="456">
    <w:name w:val="技术方案2"/>
    <w:basedOn w:val="1"/>
    <w:qFormat/>
    <w:uiPriority w:val="0"/>
    <w:pPr>
      <w:spacing w:line="480" w:lineRule="auto"/>
    </w:pPr>
    <w:rPr>
      <w:rFonts w:ascii="宋体" w:hAnsi="Calibri"/>
      <w:b/>
      <w:bCs/>
      <w:sz w:val="36"/>
      <w:szCs w:val="22"/>
    </w:rPr>
  </w:style>
  <w:style w:type="paragraph" w:customStyle="1" w:styleId="457">
    <w:name w:val="默认段落字体 Para Char Char Char Char Char Char Char Char Char Char Char Char Char Char"/>
    <w:basedOn w:val="19"/>
    <w:qFormat/>
    <w:uiPriority w:val="0"/>
    <w:rPr>
      <w:rFonts w:ascii="Tahoma" w:hAnsi="Tahoma"/>
      <w:sz w:val="24"/>
      <w:szCs w:val="22"/>
    </w:rPr>
  </w:style>
  <w:style w:type="paragraph" w:customStyle="1" w:styleId="458">
    <w:name w:val="Normal_10"/>
    <w:qFormat/>
    <w:uiPriority w:val="0"/>
    <w:rPr>
      <w:rFonts w:ascii="黑体" w:hAnsi="黑体" w:eastAsia="黑体" w:cs="Times New Roman"/>
      <w:b/>
      <w:sz w:val="32"/>
      <w:szCs w:val="24"/>
      <w:lang w:val="en-US" w:eastAsia="zh-CN" w:bidi="ar-SA"/>
    </w:rPr>
  </w:style>
  <w:style w:type="paragraph" w:customStyle="1" w:styleId="459">
    <w:name w:val="正文_1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0">
    <w:name w:val="正文_6_0_0"/>
    <w:qFormat/>
    <w:uiPriority w:val="0"/>
    <w:pPr>
      <w:widowControl w:val="0"/>
      <w:jc w:val="both"/>
    </w:pPr>
    <w:rPr>
      <w:rFonts w:ascii="Times New Roman" w:hAnsi="Times New Roman" w:eastAsia="宋体" w:cs="Times New Roman"/>
      <w:lang w:val="en-US" w:eastAsia="zh-CN" w:bidi="ar-SA"/>
    </w:rPr>
  </w:style>
  <w:style w:type="paragraph" w:customStyle="1" w:styleId="461">
    <w:name w:val="首页小标题"/>
    <w:next w:val="374"/>
    <w:qFormat/>
    <w:uiPriority w:val="0"/>
    <w:pPr>
      <w:adjustRightInd w:val="0"/>
      <w:snapToGrid w:val="0"/>
      <w:jc w:val="center"/>
    </w:pPr>
    <w:rPr>
      <w:rFonts w:ascii="Times New Roman" w:hAnsi="Times New Roman" w:eastAsia="宋体" w:cs="宋体"/>
      <w:kern w:val="2"/>
      <w:sz w:val="44"/>
      <w:lang w:val="en-US" w:eastAsia="zh-CN" w:bidi="ar-SA"/>
    </w:rPr>
  </w:style>
  <w:style w:type="paragraph" w:customStyle="1" w:styleId="462">
    <w:name w:val="a1"/>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63">
    <w:name w:val="一级缩进"/>
    <w:qFormat/>
    <w:uiPriority w:val="0"/>
    <w:pPr>
      <w:tabs>
        <w:tab w:val="left" w:pos="0"/>
        <w:tab w:val="left" w:pos="568"/>
      </w:tabs>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paragraph" w:customStyle="1" w:styleId="464">
    <w:name w:val="Normal_5"/>
    <w:qFormat/>
    <w:uiPriority w:val="0"/>
    <w:rPr>
      <w:rFonts w:ascii="黑体" w:hAnsi="黑体" w:eastAsia="黑体" w:cs="Times New Roman"/>
      <w:b/>
      <w:sz w:val="32"/>
      <w:szCs w:val="24"/>
      <w:lang w:val="en-US" w:eastAsia="zh-CN" w:bidi="ar-SA"/>
    </w:rPr>
  </w:style>
  <w:style w:type="paragraph" w:customStyle="1" w:styleId="465">
    <w:name w:val="技术方案3"/>
    <w:basedOn w:val="1"/>
    <w:qFormat/>
    <w:uiPriority w:val="0"/>
    <w:pPr>
      <w:spacing w:line="360" w:lineRule="auto"/>
    </w:pPr>
    <w:rPr>
      <w:rFonts w:ascii="宋体" w:hAnsi="Calibri"/>
      <w:b/>
      <w:bCs/>
      <w:sz w:val="32"/>
      <w:szCs w:val="22"/>
    </w:rPr>
  </w:style>
  <w:style w:type="paragraph" w:customStyle="1" w:styleId="466">
    <w:name w:val="加点正文缩进"/>
    <w:basedOn w:val="1"/>
    <w:qFormat/>
    <w:uiPriority w:val="0"/>
    <w:pPr>
      <w:tabs>
        <w:tab w:val="left" w:pos="840"/>
      </w:tabs>
      <w:snapToGrid w:val="0"/>
      <w:spacing w:line="300" w:lineRule="auto"/>
      <w:ind w:left="962" w:hanging="480"/>
    </w:pPr>
    <w:rPr>
      <w:rFonts w:ascii="Calibri" w:hAnsi="Calibri"/>
      <w:sz w:val="24"/>
      <w:szCs w:val="22"/>
    </w:rPr>
  </w:style>
  <w:style w:type="paragraph" w:customStyle="1" w:styleId="467">
    <w:name w:val="规范正文"/>
    <w:basedOn w:val="1"/>
    <w:qFormat/>
    <w:uiPriority w:val="0"/>
    <w:pPr>
      <w:adjustRightInd w:val="0"/>
      <w:spacing w:line="360" w:lineRule="auto"/>
      <w:ind w:left="480"/>
    </w:pPr>
    <w:rPr>
      <w:rFonts w:ascii="Calibri" w:hAnsi="Calibri"/>
      <w:kern w:val="0"/>
      <w:sz w:val="24"/>
      <w:szCs w:val="20"/>
    </w:rPr>
  </w:style>
  <w:style w:type="paragraph" w:customStyle="1" w:styleId="468">
    <w:name w:val="pa-10"/>
    <w:basedOn w:val="1"/>
    <w:qFormat/>
    <w:uiPriority w:val="0"/>
    <w:pPr>
      <w:widowControl/>
      <w:spacing w:line="240" w:lineRule="atLeast"/>
    </w:pPr>
    <w:rPr>
      <w:rFonts w:ascii="宋体" w:hAnsi="Calibri" w:cs="宋体"/>
      <w:kern w:val="0"/>
      <w:sz w:val="24"/>
      <w:szCs w:val="22"/>
    </w:rPr>
  </w:style>
  <w:style w:type="paragraph" w:customStyle="1" w:styleId="46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Normal_2_0"/>
    <w:qFormat/>
    <w:uiPriority w:val="0"/>
    <w:rPr>
      <w:rFonts w:ascii="黑体" w:hAnsi="黑体" w:eastAsia="黑体" w:cs="Times New Roman"/>
      <w:b/>
      <w:sz w:val="32"/>
      <w:szCs w:val="24"/>
      <w:lang w:val="en-US" w:eastAsia="zh-CN" w:bidi="ar-SA"/>
    </w:rPr>
  </w:style>
  <w:style w:type="paragraph" w:customStyle="1" w:styleId="472">
    <w:name w:val="pa-3"/>
    <w:basedOn w:val="1"/>
    <w:qFormat/>
    <w:uiPriority w:val="0"/>
    <w:pPr>
      <w:widowControl/>
      <w:spacing w:before="150" w:after="150"/>
      <w:jc w:val="left"/>
    </w:pPr>
    <w:rPr>
      <w:rFonts w:ascii="宋体" w:hAnsi="Calibri" w:cs="宋体"/>
      <w:kern w:val="0"/>
      <w:sz w:val="24"/>
      <w:szCs w:val="22"/>
    </w:rPr>
  </w:style>
  <w:style w:type="paragraph" w:customStyle="1" w:styleId="473">
    <w:name w:val="Normal_15_0"/>
    <w:qFormat/>
    <w:uiPriority w:val="0"/>
    <w:rPr>
      <w:rFonts w:ascii="黑体" w:hAnsi="黑体" w:eastAsia="黑体" w:cs="Times New Roman"/>
      <w:b/>
      <w:sz w:val="32"/>
      <w:szCs w:val="24"/>
      <w:lang w:val="en-US" w:eastAsia="zh-CN" w:bidi="ar-SA"/>
    </w:rPr>
  </w:style>
  <w:style w:type="paragraph" w:customStyle="1" w:styleId="474">
    <w:name w:val="D&amp;L"/>
    <w:basedOn w:val="43"/>
    <w:qFormat/>
    <w:uiPriority w:val="0"/>
    <w:pPr>
      <w:pBdr>
        <w:bottom w:val="thinThickSmallGap" w:color="auto" w:sz="18" w:space="1"/>
      </w:pBdr>
      <w:adjustRightInd w:val="0"/>
      <w:snapToGrid/>
      <w:spacing w:line="240" w:lineRule="atLeast"/>
    </w:pPr>
    <w:rPr>
      <w:rFonts w:ascii="Calibri" w:hAnsi="Calibri"/>
      <w:sz w:val="24"/>
      <w:szCs w:val="20"/>
    </w:rPr>
  </w:style>
  <w:style w:type="paragraph" w:customStyle="1" w:styleId="475">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6">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477">
    <w:name w:val="font5"/>
    <w:basedOn w:val="1"/>
    <w:qFormat/>
    <w:uiPriority w:val="0"/>
    <w:pPr>
      <w:widowControl/>
      <w:spacing w:before="100" w:beforeAutospacing="1" w:after="100" w:afterAutospacing="1"/>
      <w:jc w:val="left"/>
    </w:pPr>
    <w:rPr>
      <w:rFonts w:ascii="宋体" w:hAnsi="Calibri"/>
      <w:kern w:val="0"/>
      <w:sz w:val="18"/>
      <w:szCs w:val="18"/>
    </w:rPr>
  </w:style>
  <w:style w:type="paragraph" w:customStyle="1" w:styleId="478">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9">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480">
    <w:name w:val="a0"/>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8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Normal Paragraph"/>
    <w:basedOn w:val="1"/>
    <w:qFormat/>
    <w:uiPriority w:val="0"/>
    <w:pPr>
      <w:widowControl/>
      <w:spacing w:before="120" w:line="360" w:lineRule="auto"/>
      <w:ind w:firstLine="425"/>
    </w:pPr>
    <w:rPr>
      <w:rFonts w:ascii="Calibri" w:hAnsi="Calibri"/>
      <w:kern w:val="0"/>
      <w:sz w:val="24"/>
      <w:szCs w:val="20"/>
    </w:rPr>
  </w:style>
  <w:style w:type="paragraph" w:customStyle="1" w:styleId="483">
    <w:name w:val="正文（首行缩进两字）"/>
    <w:basedOn w:val="1"/>
    <w:qFormat/>
    <w:uiPriority w:val="0"/>
    <w:pPr>
      <w:spacing w:line="312" w:lineRule="auto"/>
    </w:pPr>
    <w:rPr>
      <w:rFonts w:ascii="宋体" w:hAnsi="Calibri" w:cs="宋体"/>
      <w:sz w:val="24"/>
      <w:szCs w:val="22"/>
    </w:rPr>
  </w:style>
  <w:style w:type="paragraph" w:customStyle="1" w:styleId="484">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485">
    <w:name w:val="Style12"/>
    <w:basedOn w:val="1"/>
    <w:qFormat/>
    <w:uiPriority w:val="0"/>
    <w:pPr>
      <w:adjustRightInd w:val="0"/>
      <w:jc w:val="left"/>
    </w:pPr>
    <w:rPr>
      <w:rFonts w:ascii="宋体"/>
      <w:kern w:val="0"/>
      <w:sz w:val="24"/>
    </w:rPr>
  </w:style>
  <w:style w:type="paragraph" w:customStyle="1" w:styleId="486">
    <w:name w:val="表格序号"/>
    <w:qFormat/>
    <w:uiPriority w:val="0"/>
    <w:rPr>
      <w:rFonts w:ascii="Times New Roman" w:hAnsi="Times New Roman" w:eastAsia="仿宋_GB2312" w:cs="宋体"/>
      <w:kern w:val="44"/>
      <w:sz w:val="21"/>
      <w:lang w:val="en-US" w:eastAsia="zh-CN" w:bidi="ar-SA"/>
    </w:rPr>
  </w:style>
  <w:style w:type="paragraph" w:customStyle="1" w:styleId="487">
    <w:name w:val="序号"/>
    <w:next w:val="1"/>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488">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9">
    <w:name w:val="Style9"/>
    <w:basedOn w:val="1"/>
    <w:qFormat/>
    <w:uiPriority w:val="0"/>
    <w:pPr>
      <w:adjustRightInd w:val="0"/>
      <w:jc w:val="left"/>
    </w:pPr>
    <w:rPr>
      <w:rFonts w:ascii="宋体"/>
      <w:kern w:val="0"/>
      <w:sz w:val="24"/>
    </w:rPr>
  </w:style>
  <w:style w:type="paragraph" w:customStyle="1" w:styleId="490">
    <w:name w:val="Normal_7"/>
    <w:qFormat/>
    <w:uiPriority w:val="0"/>
    <w:rPr>
      <w:rFonts w:ascii="黑体" w:hAnsi="黑体" w:eastAsia="黑体" w:cs="Times New Roman"/>
      <w:b/>
      <w:sz w:val="32"/>
      <w:szCs w:val="24"/>
      <w:lang w:val="en-US" w:eastAsia="zh-CN" w:bidi="ar-SA"/>
    </w:rPr>
  </w:style>
  <w:style w:type="paragraph" w:customStyle="1" w:styleId="491">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4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0"/>
      <w:szCs w:val="20"/>
    </w:rPr>
  </w:style>
  <w:style w:type="paragraph" w:customStyle="1" w:styleId="493">
    <w:name w:val="Style11"/>
    <w:basedOn w:val="1"/>
    <w:qFormat/>
    <w:uiPriority w:val="0"/>
    <w:pPr>
      <w:adjustRightInd w:val="0"/>
      <w:spacing w:line="446" w:lineRule="exact"/>
      <w:jc w:val="left"/>
    </w:pPr>
    <w:rPr>
      <w:rFonts w:ascii="宋体"/>
      <w:kern w:val="0"/>
      <w:sz w:val="24"/>
    </w:rPr>
  </w:style>
  <w:style w:type="paragraph" w:customStyle="1" w:styleId="494">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495">
    <w:name w:val="默认段落字体 Para Char Char Char Char Char Char Char Char Char1 Char Char Char Char Char Char Char"/>
    <w:basedOn w:val="19"/>
    <w:qFormat/>
    <w:uiPriority w:val="0"/>
    <w:rPr>
      <w:rFonts w:ascii="Tahoma" w:hAnsi="Tahoma"/>
      <w:sz w:val="24"/>
    </w:rPr>
  </w:style>
  <w:style w:type="paragraph" w:customStyle="1" w:styleId="496">
    <w:name w:val="章标题"/>
    <w:next w:val="159"/>
    <w:qFormat/>
    <w:uiPriority w:val="0"/>
    <w:pPr>
      <w:tabs>
        <w:tab w:val="left" w:pos="1200"/>
      </w:tabs>
      <w:spacing w:beforeLines="50" w:afterLines="50"/>
      <w:ind w:left="1320" w:hanging="420"/>
      <w:jc w:val="both"/>
      <w:outlineLvl w:val="1"/>
    </w:pPr>
    <w:rPr>
      <w:rFonts w:ascii="黑体" w:hAnsi="Times New Roman" w:eastAsia="黑体" w:cs="Times New Roman"/>
      <w:sz w:val="21"/>
      <w:lang w:val="en-US" w:eastAsia="zh-CN" w:bidi="ar-SA"/>
    </w:rPr>
  </w:style>
  <w:style w:type="paragraph" w:customStyle="1" w:styleId="497">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98">
    <w:name w:val="正文_7_1_0"/>
    <w:qFormat/>
    <w:uiPriority w:val="0"/>
    <w:pPr>
      <w:widowControl w:val="0"/>
      <w:jc w:val="both"/>
    </w:pPr>
    <w:rPr>
      <w:rFonts w:ascii="Times New Roman" w:hAnsi="Times New Roman" w:eastAsia="宋体" w:cs="Times New Roman"/>
      <w:lang w:val="en-US" w:eastAsia="zh-CN" w:bidi="ar-SA"/>
    </w:rPr>
  </w:style>
  <w:style w:type="paragraph" w:customStyle="1" w:styleId="49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表"/>
    <w:basedOn w:val="1"/>
    <w:qFormat/>
    <w:uiPriority w:val="0"/>
    <w:pPr>
      <w:adjustRightInd w:val="0"/>
      <w:snapToGrid w:val="0"/>
      <w:spacing w:line="312" w:lineRule="auto"/>
    </w:pPr>
    <w:rPr>
      <w:rFonts w:ascii="Calibri" w:hAnsi="Calibri" w:cs="宋体"/>
      <w:kern w:val="0"/>
      <w:szCs w:val="20"/>
    </w:rPr>
  </w:style>
  <w:style w:type="character" w:customStyle="1" w:styleId="501">
    <w:name w:val="未处理的提及"/>
    <w:unhideWhenUsed/>
    <w:qFormat/>
    <w:uiPriority w:val="99"/>
    <w:rPr>
      <w:color w:val="605E5C"/>
      <w:shd w:val="clear" w:color="auto" w:fill="E1DFDD"/>
    </w:rPr>
  </w:style>
  <w:style w:type="character" w:customStyle="1" w:styleId="502">
    <w:name w:val="Char Char14"/>
    <w:qFormat/>
    <w:uiPriority w:val="0"/>
    <w:rPr>
      <w:rFonts w:eastAsia="宋体"/>
      <w:b/>
      <w:bCs/>
      <w:kern w:val="44"/>
      <w:sz w:val="44"/>
      <w:szCs w:val="44"/>
      <w:lang w:val="en-US" w:eastAsia="zh-CN" w:bidi="ar-SA"/>
    </w:rPr>
  </w:style>
  <w:style w:type="character" w:customStyle="1" w:styleId="503">
    <w:name w:val="正文文本 3 字符"/>
    <w:qFormat/>
    <w:uiPriority w:val="0"/>
    <w:rPr>
      <w:rFonts w:ascii="宋体"/>
      <w:kern w:val="2"/>
      <w:sz w:val="24"/>
    </w:rPr>
  </w:style>
  <w:style w:type="character" w:customStyle="1" w:styleId="504">
    <w:name w:val="样式 宋体 小四2"/>
    <w:qFormat/>
    <w:uiPriority w:val="0"/>
    <w:rPr>
      <w:rFonts w:ascii="宋体" w:hAnsi="宋体"/>
      <w:kern w:val="0"/>
      <w:sz w:val="28"/>
    </w:rPr>
  </w:style>
  <w:style w:type="character" w:customStyle="1" w:styleId="505">
    <w:name w:val="样式 黑体 小二"/>
    <w:qFormat/>
    <w:uiPriority w:val="0"/>
    <w:rPr>
      <w:rFonts w:ascii="黑体" w:hAnsi="黑体" w:eastAsia="黑体"/>
      <w:sz w:val="36"/>
    </w:rPr>
  </w:style>
  <w:style w:type="character" w:customStyle="1" w:styleId="506">
    <w:name w:val="样式 宋体 小四 加粗"/>
    <w:qFormat/>
    <w:uiPriority w:val="0"/>
    <w:rPr>
      <w:rFonts w:ascii="宋体" w:hAnsi="宋体"/>
      <w:b/>
      <w:bCs/>
      <w:sz w:val="28"/>
    </w:rPr>
  </w:style>
  <w:style w:type="character" w:customStyle="1" w:styleId="507">
    <w:name w:val="普通文字 Char3"/>
    <w:qFormat/>
    <w:uiPriority w:val="0"/>
    <w:rPr>
      <w:rFonts w:ascii="宋体" w:hAnsi="Courier New" w:eastAsia="宋体"/>
      <w:kern w:val="2"/>
      <w:sz w:val="21"/>
      <w:szCs w:val="21"/>
      <w:lang w:val="en-US" w:eastAsia="zh-CN" w:bidi="ar-SA"/>
    </w:rPr>
  </w:style>
  <w:style w:type="character" w:customStyle="1" w:styleId="508">
    <w:name w:val="Char Char31"/>
    <w:qFormat/>
    <w:uiPriority w:val="0"/>
    <w:rPr>
      <w:kern w:val="2"/>
      <w:sz w:val="18"/>
    </w:rPr>
  </w:style>
  <w:style w:type="character" w:customStyle="1" w:styleId="509">
    <w:name w:val="标题 2 Char Char"/>
    <w:qFormat/>
    <w:uiPriority w:val="0"/>
    <w:rPr>
      <w:rFonts w:ascii="Arial" w:hAnsi="Arial" w:eastAsia="黑体"/>
      <w:b/>
      <w:bCs/>
      <w:kern w:val="2"/>
      <w:sz w:val="32"/>
      <w:szCs w:val="32"/>
      <w:lang w:val="en-US" w:eastAsia="zh-CN" w:bidi="ar-SA"/>
    </w:rPr>
  </w:style>
  <w:style w:type="character" w:customStyle="1" w:styleId="510">
    <w:name w:val="正文文本 Char Char"/>
    <w:qFormat/>
    <w:uiPriority w:val="0"/>
    <w:rPr>
      <w:rFonts w:ascii="宋体" w:eastAsia="宋体"/>
      <w:kern w:val="2"/>
      <w:sz w:val="30"/>
      <w:lang w:val="en-US" w:eastAsia="zh-CN" w:bidi="ar-SA"/>
    </w:rPr>
  </w:style>
  <w:style w:type="character" w:customStyle="1" w:styleId="511">
    <w:name w:val="样式 (西文) 仿宋_GB2312 小四"/>
    <w:qFormat/>
    <w:uiPriority w:val="0"/>
    <w:rPr>
      <w:rFonts w:ascii="Times New Roman" w:hAnsi="Times New Roman" w:eastAsia="宋体"/>
      <w:sz w:val="24"/>
      <w:szCs w:val="24"/>
    </w:rPr>
  </w:style>
  <w:style w:type="character" w:customStyle="1" w:styleId="512">
    <w:name w:val="正文2 Char"/>
    <w:link w:val="513"/>
    <w:qFormat/>
    <w:uiPriority w:val="0"/>
    <w:rPr>
      <w:rFonts w:ascii="宋体" w:hAnsi="宋体"/>
      <w:kern w:val="2"/>
      <w:sz w:val="24"/>
      <w:szCs w:val="24"/>
    </w:rPr>
  </w:style>
  <w:style w:type="paragraph" w:customStyle="1" w:styleId="513">
    <w:name w:val="正文21"/>
    <w:basedOn w:val="1"/>
    <w:link w:val="512"/>
    <w:qFormat/>
    <w:uiPriority w:val="0"/>
    <w:pPr>
      <w:adjustRightInd w:val="0"/>
      <w:snapToGrid w:val="0"/>
      <w:spacing w:beforeLines="15" w:afterLines="15" w:line="440" w:lineRule="exact"/>
      <w:ind w:firstLine="200" w:firstLineChars="200"/>
    </w:pPr>
    <w:rPr>
      <w:rFonts w:ascii="宋体" w:hAnsi="宋体"/>
      <w:sz w:val="24"/>
    </w:rPr>
  </w:style>
  <w:style w:type="character" w:customStyle="1" w:styleId="514">
    <w:name w:val="样式 样式 (西文) 仿宋_GB2312 小四 + 加粗"/>
    <w:qFormat/>
    <w:uiPriority w:val="0"/>
    <w:rPr>
      <w:rFonts w:ascii="Times New Roman" w:hAnsi="Times New Roman" w:eastAsia="宋体"/>
      <w:b/>
      <w:bCs/>
      <w:sz w:val="28"/>
      <w:szCs w:val="24"/>
    </w:rPr>
  </w:style>
  <w:style w:type="character" w:customStyle="1" w:styleId="515">
    <w:name w:val="Char Char12"/>
    <w:qFormat/>
    <w:uiPriority w:val="0"/>
    <w:rPr>
      <w:rFonts w:eastAsia="宋体"/>
      <w:b/>
      <w:bCs/>
      <w:kern w:val="44"/>
      <w:sz w:val="44"/>
      <w:szCs w:val="44"/>
      <w:lang w:val="en-US" w:eastAsia="zh-CN" w:bidi="ar-SA"/>
    </w:rPr>
  </w:style>
  <w:style w:type="character" w:customStyle="1" w:styleId="516">
    <w:name w:val="high-light-bg"/>
    <w:qFormat/>
    <w:uiPriority w:val="0"/>
  </w:style>
  <w:style w:type="character" w:customStyle="1" w:styleId="517">
    <w:name w:val="样式 Char Char"/>
    <w:link w:val="518"/>
    <w:qFormat/>
    <w:uiPriority w:val="0"/>
    <w:rPr>
      <w:rFonts w:ascii="宋体"/>
      <w:sz w:val="28"/>
      <w:szCs w:val="28"/>
    </w:rPr>
  </w:style>
  <w:style w:type="paragraph" w:customStyle="1" w:styleId="518">
    <w:name w:val="样式"/>
    <w:basedOn w:val="1"/>
    <w:next w:val="51"/>
    <w:link w:val="517"/>
    <w:qFormat/>
    <w:uiPriority w:val="0"/>
    <w:pPr>
      <w:adjustRightInd w:val="0"/>
      <w:ind w:firstLine="564"/>
      <w:textAlignment w:val="baseline"/>
    </w:pPr>
    <w:rPr>
      <w:rFonts w:ascii="宋体"/>
      <w:kern w:val="0"/>
      <w:sz w:val="28"/>
      <w:szCs w:val="28"/>
    </w:rPr>
  </w:style>
  <w:style w:type="character" w:customStyle="1" w:styleId="519">
    <w:name w:val="样式 宋体 小四 加粗1"/>
    <w:qFormat/>
    <w:uiPriority w:val="0"/>
    <w:rPr>
      <w:rFonts w:ascii="宋体" w:hAnsi="宋体"/>
      <w:b/>
      <w:bCs/>
      <w:sz w:val="28"/>
    </w:rPr>
  </w:style>
  <w:style w:type="character" w:customStyle="1" w:styleId="520">
    <w:name w:val="样式 宋体 小四1"/>
    <w:qFormat/>
    <w:uiPriority w:val="0"/>
    <w:rPr>
      <w:rFonts w:ascii="宋体" w:hAnsi="宋体"/>
      <w:sz w:val="28"/>
    </w:rPr>
  </w:style>
  <w:style w:type="character" w:customStyle="1" w:styleId="521">
    <w:name w:val="正 文 1 Char"/>
    <w:qFormat/>
    <w:uiPriority w:val="0"/>
    <w:rPr>
      <w:rFonts w:ascii="宋体" w:hAnsi="Courier New" w:eastAsia="宋体" w:cs="Courier New"/>
      <w:kern w:val="2"/>
      <w:sz w:val="21"/>
      <w:szCs w:val="21"/>
      <w:lang w:val="en-US" w:eastAsia="zh-CN" w:bidi="ar-SA"/>
    </w:rPr>
  </w:style>
  <w:style w:type="character" w:customStyle="1" w:styleId="522">
    <w:name w:val="样式 宋体 小四"/>
    <w:qFormat/>
    <w:uiPriority w:val="0"/>
    <w:rPr>
      <w:rFonts w:ascii="宋体" w:hAnsi="宋体"/>
      <w:sz w:val="28"/>
    </w:rPr>
  </w:style>
  <w:style w:type="character" w:customStyle="1" w:styleId="523">
    <w:name w:val="font161"/>
    <w:qFormat/>
    <w:uiPriority w:val="0"/>
    <w:rPr>
      <w:b/>
      <w:bCs/>
      <w:sz w:val="32"/>
      <w:szCs w:val="32"/>
    </w:rPr>
  </w:style>
  <w:style w:type="character" w:customStyle="1" w:styleId="524">
    <w:name w:val="标题1　样式 宋体 小三 加粗"/>
    <w:qFormat/>
    <w:uiPriority w:val="0"/>
    <w:rPr>
      <w:rFonts w:ascii="宋体" w:hAnsi="宋体" w:eastAsia="黑体"/>
      <w:b/>
      <w:bCs/>
      <w:kern w:val="44"/>
      <w:sz w:val="30"/>
      <w:szCs w:val="44"/>
      <w:lang w:val="en-US" w:eastAsia="zh-CN" w:bidi="ar-SA"/>
    </w:rPr>
  </w:style>
  <w:style w:type="paragraph" w:customStyle="1" w:styleId="525">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526">
    <w:name w:val="ordinary-output"/>
    <w:basedOn w:val="1"/>
    <w:qFormat/>
    <w:uiPriority w:val="0"/>
    <w:pPr>
      <w:widowControl/>
      <w:spacing w:before="100" w:beforeAutospacing="1" w:after="100" w:afterAutospacing="1" w:line="314" w:lineRule="auto"/>
      <w:jc w:val="left"/>
    </w:pPr>
    <w:rPr>
      <w:rFonts w:ascii="宋体" w:hAnsi="宋体" w:cs="宋体"/>
      <w:kern w:val="0"/>
      <w:sz w:val="24"/>
    </w:rPr>
  </w:style>
  <w:style w:type="paragraph" w:customStyle="1" w:styleId="527">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528">
    <w:name w:val="_Style 526"/>
    <w:basedOn w:val="1"/>
    <w:next w:val="1"/>
    <w:qFormat/>
    <w:uiPriority w:val="39"/>
    <w:pPr>
      <w:ind w:left="420"/>
      <w:jc w:val="left"/>
    </w:pPr>
    <w:rPr>
      <w:i/>
      <w:iCs/>
      <w:sz w:val="20"/>
      <w:szCs w:val="20"/>
    </w:rPr>
  </w:style>
  <w:style w:type="paragraph" w:customStyle="1" w:styleId="529">
    <w:name w:val="TOC 标题1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530">
    <w:name w:val="格式3"/>
    <w:basedOn w:val="1"/>
    <w:qFormat/>
    <w:uiPriority w:val="0"/>
    <w:pPr>
      <w:tabs>
        <w:tab w:val="left" w:pos="1304"/>
      </w:tabs>
      <w:adjustRightInd w:val="0"/>
      <w:snapToGrid w:val="0"/>
      <w:spacing w:beforeLines="15" w:afterLines="15" w:line="440" w:lineRule="exact"/>
      <w:ind w:left="1304" w:hanging="453"/>
    </w:pPr>
    <w:rPr>
      <w:color w:val="0000FF"/>
      <w:sz w:val="24"/>
      <w:szCs w:val="20"/>
    </w:rPr>
  </w:style>
  <w:style w:type="paragraph" w:customStyle="1" w:styleId="531">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cs="宋体"/>
      <w:b/>
      <w:bCs/>
      <w:sz w:val="32"/>
      <w:szCs w:val="20"/>
    </w:rPr>
  </w:style>
  <w:style w:type="paragraph" w:customStyle="1" w:styleId="532">
    <w:name w:val="Char Char Char Char Char Char"/>
    <w:basedOn w:val="1"/>
    <w:qFormat/>
    <w:uiPriority w:val="0"/>
  </w:style>
  <w:style w:type="paragraph" w:customStyle="1" w:styleId="533">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3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35">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536">
    <w:name w:val="xl9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37">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18"/>
      <w:szCs w:val="18"/>
    </w:rPr>
  </w:style>
  <w:style w:type="paragraph" w:customStyle="1" w:styleId="53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9">
    <w:name w:val="xl46"/>
    <w:basedOn w:val="1"/>
    <w:qFormat/>
    <w:uiPriority w:val="0"/>
    <w:pPr>
      <w:widowControl/>
      <w:spacing w:before="100" w:beforeAutospacing="1" w:after="100" w:afterAutospacing="1"/>
      <w:jc w:val="center"/>
      <w:textAlignment w:val="center"/>
    </w:pPr>
    <w:rPr>
      <w:rFonts w:eastAsia="Arial Unicode MS"/>
      <w:b/>
      <w:bCs/>
      <w:kern w:val="0"/>
      <w:sz w:val="56"/>
      <w:szCs w:val="56"/>
    </w:rPr>
  </w:style>
  <w:style w:type="paragraph" w:customStyle="1" w:styleId="5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41">
    <w:name w:val="标题2(技术规范)"/>
    <w:basedOn w:val="6"/>
    <w:next w:val="24"/>
    <w:qFormat/>
    <w:uiPriority w:val="0"/>
    <w:pPr>
      <w:adjustRightInd w:val="0"/>
      <w:snapToGrid w:val="0"/>
      <w:spacing w:beforeLines="50" w:afterLines="25" w:line="480" w:lineRule="exact"/>
      <w:jc w:val="center"/>
      <w:outlineLvl w:val="3"/>
    </w:pPr>
    <w:rPr>
      <w:kern w:val="2"/>
      <w:szCs w:val="24"/>
    </w:rPr>
  </w:style>
  <w:style w:type="paragraph" w:customStyle="1" w:styleId="542">
    <w:name w:val="xl4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eastAsia="Arial Unicode MS"/>
      <w:kern w:val="0"/>
      <w:sz w:val="44"/>
      <w:szCs w:val="44"/>
      <w:u w:val="single"/>
    </w:rPr>
  </w:style>
  <w:style w:type="paragraph" w:customStyle="1" w:styleId="543">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44">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5">
    <w:name w:val="目录1"/>
    <w:basedOn w:val="1"/>
    <w:qFormat/>
    <w:uiPriority w:val="0"/>
    <w:pPr>
      <w:adjustRightInd w:val="0"/>
      <w:spacing w:line="420" w:lineRule="atLeast"/>
      <w:textAlignment w:val="baseline"/>
    </w:pPr>
    <w:rPr>
      <w:rFonts w:eastAsia="黑体"/>
      <w:b/>
      <w:kern w:val="0"/>
      <w:szCs w:val="20"/>
    </w:rPr>
  </w:style>
  <w:style w:type="paragraph" w:customStyle="1" w:styleId="546">
    <w:name w:val="表1"/>
    <w:basedOn w:val="1"/>
    <w:qFormat/>
    <w:uiPriority w:val="0"/>
    <w:pPr>
      <w:tabs>
        <w:tab w:val="left" w:pos="360"/>
      </w:tabs>
      <w:overflowPunct w:val="0"/>
      <w:autoSpaceDE w:val="0"/>
      <w:autoSpaceDN w:val="0"/>
      <w:adjustRightInd w:val="0"/>
      <w:spacing w:before="200" w:line="320" w:lineRule="atLeast"/>
      <w:textAlignment w:val="baseline"/>
    </w:pPr>
    <w:rPr>
      <w:kern w:val="0"/>
      <w:sz w:val="24"/>
      <w:szCs w:val="20"/>
    </w:rPr>
  </w:style>
  <w:style w:type="paragraph" w:customStyle="1" w:styleId="547">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48">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549">
    <w:name w:val="正正文"/>
    <w:basedOn w:val="1"/>
    <w:qFormat/>
    <w:uiPriority w:val="0"/>
    <w:pPr>
      <w:spacing w:line="360" w:lineRule="auto"/>
      <w:ind w:firstLine="480" w:firstLineChars="200"/>
    </w:pPr>
    <w:rPr>
      <w:rFonts w:ascii="宋体" w:hAnsi="宋体"/>
      <w:kern w:val="0"/>
      <w:sz w:val="24"/>
    </w:rPr>
  </w:style>
  <w:style w:type="paragraph" w:customStyle="1" w:styleId="550">
    <w:name w:val="表格6"/>
    <w:basedOn w:val="1"/>
    <w:qFormat/>
    <w:uiPriority w:val="0"/>
    <w:pPr>
      <w:adjustRightInd w:val="0"/>
      <w:spacing w:line="420" w:lineRule="atLeast"/>
      <w:ind w:left="737"/>
      <w:textAlignment w:val="baseline"/>
    </w:pPr>
    <w:rPr>
      <w:rFonts w:ascii="宋体"/>
      <w:kern w:val="0"/>
      <w:szCs w:val="20"/>
    </w:rPr>
  </w:style>
  <w:style w:type="paragraph" w:customStyle="1" w:styleId="551">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553">
    <w:name w:val="xl5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54">
    <w:name w:val="格式5"/>
    <w:basedOn w:val="1"/>
    <w:qFormat/>
    <w:uiPriority w:val="0"/>
    <w:pPr>
      <w:spacing w:line="420" w:lineRule="exact"/>
      <w:ind w:left="105" w:leftChars="50" w:firstLine="480" w:firstLineChars="200"/>
    </w:pPr>
    <w:rPr>
      <w:rFonts w:ascii="宋体" w:hAnsi="宋体"/>
      <w:color w:val="000000"/>
      <w:sz w:val="24"/>
      <w:szCs w:val="20"/>
    </w:rPr>
  </w:style>
  <w:style w:type="paragraph" w:customStyle="1" w:styleId="555">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56">
    <w:name w:val="font23"/>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57">
    <w:name w:val="Char Char Char1 Char Char Char Char Char Char Char Char Char Char Char Char Char Char Char Char Char Char Char"/>
    <w:basedOn w:val="1"/>
    <w:qFormat/>
    <w:uiPriority w:val="0"/>
  </w:style>
  <w:style w:type="paragraph" w:customStyle="1" w:styleId="558">
    <w:name w:val="Char1 Char Char Char1"/>
    <w:basedOn w:val="1"/>
    <w:qFormat/>
    <w:uiPriority w:val="0"/>
    <w:rPr>
      <w:rFonts w:ascii="Tahoma" w:hAnsi="Tahoma"/>
      <w:sz w:val="24"/>
      <w:szCs w:val="20"/>
    </w:rPr>
  </w:style>
  <w:style w:type="paragraph" w:customStyle="1" w:styleId="559">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60">
    <w:name w:val="xl97"/>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61">
    <w:name w:val="xl8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62">
    <w:name w:val="Char Char Char Char Char Char Char Char Char Char Char Char Char Char Char Char Char Char Char Char Char Char Char Char Char"/>
    <w:basedOn w:val="1"/>
    <w:qFormat/>
    <w:uiPriority w:val="0"/>
  </w:style>
  <w:style w:type="paragraph" w:customStyle="1" w:styleId="563">
    <w:name w:val="font12"/>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564">
    <w:name w:val="格式4"/>
    <w:basedOn w:val="1"/>
    <w:qFormat/>
    <w:uiPriority w:val="0"/>
    <w:pPr>
      <w:spacing w:line="420" w:lineRule="exact"/>
      <w:ind w:left="990" w:leftChars="300" w:hanging="360" w:hangingChars="150"/>
    </w:pPr>
    <w:rPr>
      <w:rFonts w:ascii="宋体" w:hAnsi="宋体"/>
      <w:color w:val="000000"/>
      <w:sz w:val="24"/>
      <w:szCs w:val="20"/>
    </w:rPr>
  </w:style>
  <w:style w:type="paragraph" w:customStyle="1" w:styleId="56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66">
    <w:name w:val="xl49"/>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567">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568">
    <w:name w:val="样式 宋体 小四 首行缩进:  0.99 厘米 行距: 固定值 30 磅"/>
    <w:basedOn w:val="1"/>
    <w:qFormat/>
    <w:uiPriority w:val="0"/>
    <w:pPr>
      <w:spacing w:line="600" w:lineRule="exact"/>
      <w:ind w:firstLine="560"/>
    </w:pPr>
    <w:rPr>
      <w:rFonts w:ascii="宋体" w:hAnsi="宋体" w:cs="宋体"/>
      <w:sz w:val="28"/>
      <w:szCs w:val="20"/>
    </w:rPr>
  </w:style>
  <w:style w:type="paragraph" w:customStyle="1" w:styleId="569">
    <w:name w:val="Char Char Char Char11"/>
    <w:basedOn w:val="1"/>
    <w:qFormat/>
    <w:uiPriority w:val="0"/>
  </w:style>
  <w:style w:type="paragraph" w:customStyle="1" w:styleId="570">
    <w:name w:val="Char Char5 Char Char"/>
    <w:basedOn w:val="1"/>
    <w:qFormat/>
    <w:uiPriority w:val="0"/>
    <w:pPr>
      <w:spacing w:line="360" w:lineRule="auto"/>
      <w:ind w:firstLine="200" w:firstLineChars="200"/>
    </w:pPr>
    <w:rPr>
      <w:rFonts w:ascii="宋体" w:hAnsi="宋体" w:cs="宋体"/>
      <w:sz w:val="24"/>
    </w:rPr>
  </w:style>
  <w:style w:type="paragraph" w:customStyle="1" w:styleId="571">
    <w:name w:val="xl51"/>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56"/>
      <w:szCs w:val="56"/>
    </w:rPr>
  </w:style>
  <w:style w:type="paragraph" w:customStyle="1" w:styleId="572">
    <w:name w:val="xl118"/>
    <w:basedOn w:val="1"/>
    <w:qFormat/>
    <w:uiPriority w:val="0"/>
    <w:pPr>
      <w:widowControl/>
      <w:shd w:val="clear" w:color="000000" w:fill="FFFFFF"/>
      <w:spacing w:before="100" w:beforeAutospacing="1" w:after="100" w:afterAutospacing="1"/>
      <w:jc w:val="right"/>
      <w:textAlignment w:val="bottom"/>
    </w:pPr>
    <w:rPr>
      <w:rFonts w:ascii="宋体" w:hAnsi="宋体" w:cs="宋体"/>
      <w:kern w:val="0"/>
      <w:sz w:val="24"/>
    </w:rPr>
  </w:style>
  <w:style w:type="paragraph" w:customStyle="1" w:styleId="573">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74">
    <w:name w:val="xl111"/>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75">
    <w:name w:val="xl45"/>
    <w:basedOn w:val="1"/>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576">
    <w:name w:val="格式2"/>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577">
    <w:name w:val="xl52"/>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7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80">
    <w:name w:val="默认段落字体 Para Char Char Char Char"/>
    <w:basedOn w:val="1"/>
    <w:qFormat/>
    <w:uiPriority w:val="0"/>
  </w:style>
  <w:style w:type="paragraph" w:customStyle="1" w:styleId="581">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82">
    <w:name w:val="xl124"/>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583">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4">
    <w:name w:val="flName"/>
    <w:basedOn w:val="585"/>
    <w:qFormat/>
    <w:uiPriority w:val="0"/>
    <w:rPr>
      <w:sz w:val="32"/>
    </w:rPr>
  </w:style>
  <w:style w:type="paragraph" w:customStyle="1" w:styleId="585">
    <w:name w:val="flNote"/>
    <w:basedOn w:val="1"/>
    <w:qFormat/>
    <w:uiPriority w:val="0"/>
    <w:pPr>
      <w:spacing w:before="320" w:after="160"/>
      <w:jc w:val="center"/>
    </w:pPr>
    <w:rPr>
      <w:rFonts w:ascii="Arial" w:eastAsia="黑体"/>
      <w:sz w:val="30"/>
    </w:rPr>
  </w:style>
  <w:style w:type="paragraph" w:customStyle="1" w:styleId="586">
    <w:name w:val="表格2"/>
    <w:basedOn w:val="1"/>
    <w:qFormat/>
    <w:uiPriority w:val="0"/>
    <w:pPr>
      <w:adjustRightInd w:val="0"/>
      <w:spacing w:line="420" w:lineRule="atLeast"/>
      <w:ind w:left="284" w:firstLine="454"/>
      <w:textAlignment w:val="baseline"/>
    </w:pPr>
    <w:rPr>
      <w:kern w:val="0"/>
      <w:szCs w:val="20"/>
    </w:rPr>
  </w:style>
  <w:style w:type="paragraph" w:customStyle="1" w:styleId="587">
    <w:name w:val="def正文"/>
    <w:basedOn w:val="24"/>
    <w:qFormat/>
    <w:uiPriority w:val="0"/>
    <w:pPr>
      <w:widowControl/>
      <w:tabs>
        <w:tab w:val="clear" w:pos="2020"/>
        <w:tab w:val="clear" w:pos="4535"/>
      </w:tabs>
      <w:spacing w:line="360" w:lineRule="auto"/>
      <w:jc w:val="center"/>
      <w:outlineLvl w:val="9"/>
    </w:pPr>
    <w:rPr>
      <w:rFonts w:ascii="Times New Roman" w:hAnsi="Times New Roman" w:eastAsia="宋体"/>
      <w:bCs w:val="0"/>
      <w:color w:val="auto"/>
      <w:kern w:val="0"/>
      <w:sz w:val="24"/>
    </w:rPr>
  </w:style>
  <w:style w:type="paragraph" w:customStyle="1" w:styleId="588">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2"/>
      <w:szCs w:val="22"/>
    </w:rPr>
  </w:style>
  <w:style w:type="paragraph" w:customStyle="1" w:styleId="589">
    <w:name w:val="xl11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90">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92">
    <w:name w:val="标题3"/>
    <w:basedOn w:val="1"/>
    <w:next w:val="1"/>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59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95">
    <w:name w:val="xl90"/>
    <w:basedOn w:val="1"/>
    <w:qFormat/>
    <w:uiPriority w:val="0"/>
    <w:pPr>
      <w:widowControl/>
      <w:spacing w:before="100" w:beforeAutospacing="1" w:after="100" w:afterAutospacing="1"/>
      <w:jc w:val="center"/>
    </w:pPr>
    <w:rPr>
      <w:rFonts w:ascii="黑体" w:hAnsi="宋体" w:eastAsia="黑体" w:cs="宋体"/>
      <w:b/>
      <w:bCs/>
      <w:kern w:val="0"/>
      <w:sz w:val="36"/>
      <w:szCs w:val="36"/>
    </w:rPr>
  </w:style>
  <w:style w:type="paragraph" w:customStyle="1" w:styleId="59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7">
    <w:name w:val="xl23"/>
    <w:basedOn w:val="1"/>
    <w:qFormat/>
    <w:uiPriority w:val="0"/>
    <w:pPr>
      <w:widowControl/>
      <w:spacing w:before="100" w:beforeAutospacing="1" w:after="100" w:afterAutospacing="1"/>
      <w:jc w:val="center"/>
      <w:textAlignment w:val="center"/>
    </w:pPr>
    <w:rPr>
      <w:rFonts w:eastAsia="Arial Unicode MS"/>
      <w:kern w:val="0"/>
      <w:sz w:val="44"/>
      <w:szCs w:val="44"/>
    </w:rPr>
  </w:style>
  <w:style w:type="paragraph" w:customStyle="1" w:styleId="598">
    <w:name w:val="xl50"/>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99">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02">
    <w:name w:val="样式 标题 2 + 首行缩进:  2 字符 段前: 1 行 段后: 0.5 行"/>
    <w:basedOn w:val="3"/>
    <w:qFormat/>
    <w:uiPriority w:val="0"/>
    <w:pPr>
      <w:snapToGrid w:val="0"/>
      <w:spacing w:beforeLines="100" w:afterLines="50" w:line="336" w:lineRule="auto"/>
    </w:pPr>
    <w:rPr>
      <w:rFonts w:ascii="Arial" w:hAnsi="Arial" w:eastAsia="黑体" w:cs="宋体"/>
      <w:kern w:val="2"/>
      <w:sz w:val="28"/>
      <w:szCs w:val="20"/>
    </w:rPr>
  </w:style>
  <w:style w:type="paragraph" w:customStyle="1" w:styleId="603">
    <w:name w:val="font16"/>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04">
    <w:name w:val="样式 标题 1 + 首行缩进:  2 字符 段前: 1 行 段后: 1 行"/>
    <w:basedOn w:val="2"/>
    <w:qFormat/>
    <w:uiPriority w:val="0"/>
    <w:pPr>
      <w:snapToGrid w:val="0"/>
      <w:spacing w:beforeLines="100" w:afterLines="100" w:line="336" w:lineRule="auto"/>
      <w:jc w:val="center"/>
    </w:pPr>
    <w:rPr>
      <w:rFonts w:ascii="Arial" w:hAnsi="Arial" w:eastAsia="黑体" w:cs="宋体"/>
      <w:sz w:val="30"/>
      <w:szCs w:val="20"/>
    </w:rPr>
  </w:style>
  <w:style w:type="paragraph" w:customStyle="1" w:styleId="605">
    <w:name w:val="xl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606">
    <w:name w:val="1"/>
    <w:basedOn w:val="1"/>
    <w:next w:val="1"/>
    <w:qFormat/>
    <w:uiPriority w:val="0"/>
  </w:style>
  <w:style w:type="paragraph" w:customStyle="1" w:styleId="607">
    <w:name w:val="Char Char Char Char2"/>
    <w:basedOn w:val="1"/>
    <w:qFormat/>
    <w:uiPriority w:val="0"/>
  </w:style>
  <w:style w:type="paragraph" w:customStyle="1" w:styleId="608">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09">
    <w:name w:val="font1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10">
    <w:name w:val="正文文字2"/>
    <w:basedOn w:val="1"/>
    <w:qFormat/>
    <w:uiPriority w:val="0"/>
    <w:pPr>
      <w:spacing w:before="50" w:line="440" w:lineRule="exact"/>
      <w:ind w:left="851"/>
    </w:pPr>
    <w:rPr>
      <w:sz w:val="24"/>
      <w:szCs w:val="20"/>
    </w:rPr>
  </w:style>
  <w:style w:type="paragraph" w:customStyle="1" w:styleId="611">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12">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13">
    <w:name w:val="xl92"/>
    <w:basedOn w:val="1"/>
    <w:qFormat/>
    <w:uiPriority w:val="0"/>
    <w:pPr>
      <w:widowControl/>
      <w:pBdr>
        <w:top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14">
    <w:name w:val="xl4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15">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16">
    <w:name w:val="二级标题"/>
    <w:basedOn w:val="1"/>
    <w:qFormat/>
    <w:uiPriority w:val="0"/>
    <w:pPr>
      <w:adjustRightInd w:val="0"/>
      <w:snapToGrid w:val="0"/>
      <w:spacing w:line="360" w:lineRule="exact"/>
      <w:jc w:val="left"/>
      <w:outlineLvl w:val="0"/>
    </w:pPr>
    <w:rPr>
      <w:rFonts w:ascii="宋体" w:hAnsi="宋体" w:cs="Arial"/>
      <w:b/>
      <w:color w:val="FF0000"/>
      <w:szCs w:val="32"/>
      <w:lang w:val="en-GB"/>
    </w:rPr>
  </w:style>
  <w:style w:type="paragraph" w:customStyle="1" w:styleId="617">
    <w:name w:val="纯文本1"/>
    <w:basedOn w:val="1"/>
    <w:qFormat/>
    <w:uiPriority w:val="0"/>
    <w:pPr>
      <w:adjustRightInd w:val="0"/>
      <w:textAlignment w:val="baseline"/>
    </w:pPr>
    <w:rPr>
      <w:rFonts w:ascii="宋体" w:hAnsi="Courier New"/>
      <w:szCs w:val="20"/>
    </w:rPr>
  </w:style>
  <w:style w:type="paragraph" w:customStyle="1" w:styleId="618">
    <w:name w:val="表中"/>
    <w:basedOn w:val="1"/>
    <w:qFormat/>
    <w:uiPriority w:val="0"/>
    <w:pPr>
      <w:adjustRightInd w:val="0"/>
      <w:spacing w:line="360" w:lineRule="atLeast"/>
      <w:jc w:val="center"/>
      <w:textAlignment w:val="baseline"/>
    </w:pPr>
    <w:rPr>
      <w:kern w:val="0"/>
      <w:szCs w:val="20"/>
    </w:rPr>
  </w:style>
  <w:style w:type="paragraph" w:customStyle="1" w:styleId="619">
    <w:name w:val="表名A"/>
    <w:basedOn w:val="1"/>
    <w:qFormat/>
    <w:uiPriority w:val="0"/>
    <w:pPr>
      <w:widowControl/>
      <w:tabs>
        <w:tab w:val="center" w:pos="4860"/>
        <w:tab w:val="right" w:pos="8820"/>
      </w:tabs>
      <w:adjustRightInd w:val="0"/>
      <w:snapToGrid w:val="0"/>
      <w:spacing w:beforeLines="80" w:afterLines="20"/>
    </w:pPr>
    <w:rPr>
      <w:rFonts w:ascii="华文细黑" w:hAnsi="华文细黑" w:eastAsia="华文细黑" w:cs="Plotter"/>
      <w:snapToGrid w:val="0"/>
      <w:kern w:val="0"/>
      <w:szCs w:val="20"/>
    </w:rPr>
  </w:style>
  <w:style w:type="paragraph" w:customStyle="1" w:styleId="620">
    <w:name w:val="xl4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62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2">
    <w:name w:val="Char Char Char1 Char Char Char Char Char Char Char Char Char Char Char Char Char Char Char Char Char Char Char1"/>
    <w:basedOn w:val="1"/>
    <w:qFormat/>
    <w:uiPriority w:val="0"/>
    <w:rPr>
      <w:szCs w:val="21"/>
    </w:rPr>
  </w:style>
  <w:style w:type="paragraph" w:customStyle="1" w:styleId="623">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24">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25">
    <w:name w:val="font10"/>
    <w:basedOn w:val="1"/>
    <w:qFormat/>
    <w:uiPriority w:val="0"/>
    <w:pPr>
      <w:widowControl/>
      <w:spacing w:before="100" w:beforeAutospacing="1" w:after="100" w:afterAutospacing="1"/>
      <w:jc w:val="left"/>
    </w:pPr>
    <w:rPr>
      <w:rFonts w:eastAsia="Arial Unicode MS"/>
      <w:kern w:val="0"/>
      <w:sz w:val="44"/>
      <w:szCs w:val="44"/>
    </w:rPr>
  </w:style>
  <w:style w:type="paragraph" w:customStyle="1" w:styleId="626">
    <w:name w:val="格式1"/>
    <w:basedOn w:val="1"/>
    <w:qFormat/>
    <w:uiPriority w:val="0"/>
    <w:pPr>
      <w:spacing w:beforeLines="50"/>
      <w:jc w:val="center"/>
    </w:pPr>
    <w:rPr>
      <w:rFonts w:ascii="黑体" w:hAnsi="宋体" w:eastAsia="黑体"/>
      <w:b/>
      <w:bCs/>
      <w:color w:val="000000"/>
      <w:sz w:val="32"/>
      <w:szCs w:val="20"/>
    </w:rPr>
  </w:style>
  <w:style w:type="paragraph" w:customStyle="1" w:styleId="62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628">
    <w:name w:val="标题 5 + (西文) Arial Narrow"/>
    <w:basedOn w:val="5"/>
    <w:qFormat/>
    <w:uiPriority w:val="0"/>
    <w:pPr>
      <w:adjustRightInd w:val="0"/>
      <w:snapToGrid w:val="0"/>
      <w:spacing w:beforeLines="100" w:afterLines="100" w:line="360" w:lineRule="auto"/>
      <w:jc w:val="center"/>
    </w:pPr>
    <w:rPr>
      <w:rFonts w:ascii="Arial Narrow" w:hAnsi="Arial Narrow"/>
    </w:rPr>
  </w:style>
  <w:style w:type="paragraph" w:customStyle="1" w:styleId="629">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30">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2">
    <w:name w:val="xl48"/>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eastAsia="Arial Unicode MS"/>
      <w:kern w:val="0"/>
      <w:sz w:val="44"/>
      <w:szCs w:val="44"/>
    </w:rPr>
  </w:style>
  <w:style w:type="paragraph" w:customStyle="1" w:styleId="633">
    <w:name w:val="表、图签"/>
    <w:basedOn w:val="1"/>
    <w:qFormat/>
    <w:uiPriority w:val="0"/>
    <w:pPr>
      <w:spacing w:line="360" w:lineRule="auto"/>
      <w:jc w:val="center"/>
    </w:pPr>
    <w:rPr>
      <w:rFonts w:ascii="黑体" w:hAnsi="Arial" w:eastAsia="黑体" w:cs="Arial"/>
      <w:bCs/>
      <w:sz w:val="24"/>
      <w:szCs w:val="32"/>
    </w:rPr>
  </w:style>
  <w:style w:type="paragraph" w:customStyle="1" w:styleId="634">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35">
    <w:name w:val="小标题2"/>
    <w:basedOn w:val="1"/>
    <w:next w:val="1"/>
    <w:qFormat/>
    <w:uiPriority w:val="0"/>
    <w:pPr>
      <w:spacing w:line="300" w:lineRule="auto"/>
      <w:ind w:firstLine="200" w:firstLineChars="200"/>
    </w:pPr>
    <w:rPr>
      <w:sz w:val="24"/>
    </w:rPr>
  </w:style>
  <w:style w:type="paragraph" w:customStyle="1" w:styleId="636">
    <w:name w:val="表头文字"/>
    <w:basedOn w:val="1"/>
    <w:next w:val="1"/>
    <w:qFormat/>
    <w:uiPriority w:val="0"/>
    <w:pPr>
      <w:adjustRightInd w:val="0"/>
      <w:snapToGrid w:val="0"/>
      <w:spacing w:before="100" w:after="50" w:line="440" w:lineRule="exact"/>
      <w:jc w:val="center"/>
    </w:pPr>
    <w:rPr>
      <w:rFonts w:eastAsia="黑体"/>
      <w:b/>
      <w:bCs/>
      <w:sz w:val="28"/>
      <w:szCs w:val="28"/>
    </w:rPr>
  </w:style>
  <w:style w:type="paragraph" w:customStyle="1" w:styleId="637">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bottom"/>
    </w:pPr>
    <w:rPr>
      <w:rFonts w:ascii="宋体" w:hAnsi="宋体" w:cs="宋体"/>
      <w:b/>
      <w:bCs/>
      <w:kern w:val="0"/>
      <w:sz w:val="18"/>
      <w:szCs w:val="18"/>
    </w:rPr>
  </w:style>
  <w:style w:type="paragraph" w:customStyle="1" w:styleId="638">
    <w:name w:val="xl98"/>
    <w:basedOn w:val="1"/>
    <w:qFormat/>
    <w:uiPriority w:val="0"/>
    <w:pPr>
      <w:widowControl/>
      <w:spacing w:before="100" w:beforeAutospacing="1" w:after="100" w:afterAutospacing="1"/>
      <w:jc w:val="right"/>
    </w:pPr>
    <w:rPr>
      <w:rFonts w:ascii="宋体" w:hAnsi="宋体" w:cs="宋体"/>
      <w:b/>
      <w:bCs/>
      <w:kern w:val="0"/>
      <w:sz w:val="18"/>
      <w:szCs w:val="18"/>
    </w:rPr>
  </w:style>
  <w:style w:type="paragraph" w:customStyle="1" w:styleId="639">
    <w:name w:val="Char13"/>
    <w:basedOn w:val="1"/>
    <w:qFormat/>
    <w:uiPriority w:val="0"/>
  </w:style>
  <w:style w:type="paragraph" w:customStyle="1" w:styleId="64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1">
    <w:name w:val="正文A"/>
    <w:qFormat/>
    <w:uiPriority w:val="0"/>
    <w:pPr>
      <w:tabs>
        <w:tab w:val="left" w:pos="0"/>
      </w:tabs>
      <w:adjustRightInd w:val="0"/>
      <w:spacing w:line="360" w:lineRule="auto"/>
      <w:ind w:firstLine="200" w:firstLineChars="200"/>
      <w:jc w:val="both"/>
    </w:pPr>
    <w:rPr>
      <w:rFonts w:ascii="Times New Roman" w:hAnsi="Times New Roman" w:eastAsia="宋体" w:cs="Times New Roman"/>
      <w:snapToGrid w:val="0"/>
      <w:sz w:val="24"/>
      <w:lang w:val="en-US" w:eastAsia="zh-CN" w:bidi="ar-SA"/>
    </w:rPr>
  </w:style>
  <w:style w:type="paragraph" w:customStyle="1" w:styleId="642">
    <w:name w:val="格式10"/>
    <w:basedOn w:val="1"/>
    <w:qFormat/>
    <w:uiPriority w:val="0"/>
    <w:pPr>
      <w:spacing w:line="360" w:lineRule="exact"/>
      <w:ind w:left="480"/>
    </w:pPr>
    <w:rPr>
      <w:sz w:val="24"/>
    </w:rPr>
  </w:style>
  <w:style w:type="paragraph" w:customStyle="1" w:styleId="643">
    <w:name w:val="font11"/>
    <w:basedOn w:val="1"/>
    <w:qFormat/>
    <w:uiPriority w:val="0"/>
    <w:pPr>
      <w:widowControl/>
      <w:spacing w:before="100" w:beforeAutospacing="1" w:after="100" w:afterAutospacing="1"/>
      <w:jc w:val="left"/>
    </w:pPr>
    <w:rPr>
      <w:rFonts w:ascii="Arial" w:hAnsi="Arial" w:cs="Arial"/>
      <w:color w:val="333333"/>
      <w:kern w:val="0"/>
      <w:sz w:val="18"/>
      <w:szCs w:val="18"/>
    </w:rPr>
  </w:style>
  <w:style w:type="paragraph" w:customStyle="1" w:styleId="644">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18"/>
      <w:szCs w:val="18"/>
    </w:rPr>
  </w:style>
  <w:style w:type="paragraph" w:customStyle="1" w:styleId="64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6">
    <w:name w:val="xl53"/>
    <w:basedOn w:val="1"/>
    <w:qFormat/>
    <w:uiPriority w:val="0"/>
    <w:pPr>
      <w:widowControl/>
      <w:pBdr>
        <w:bottom w:val="single" w:color="auto" w:sz="4" w:space="0"/>
      </w:pBdr>
      <w:spacing w:before="100" w:beforeAutospacing="1" w:after="100" w:afterAutospacing="1"/>
      <w:jc w:val="left"/>
      <w:textAlignment w:val="center"/>
    </w:pPr>
    <w:rPr>
      <w:rFonts w:eastAsia="Arial Unicode MS"/>
      <w:kern w:val="0"/>
      <w:sz w:val="44"/>
      <w:szCs w:val="44"/>
    </w:rPr>
  </w:style>
  <w:style w:type="paragraph" w:customStyle="1" w:styleId="647">
    <w:name w:val="font22"/>
    <w:basedOn w:val="1"/>
    <w:qFormat/>
    <w:uiPriority w:val="0"/>
    <w:pPr>
      <w:widowControl/>
      <w:spacing w:before="100" w:beforeAutospacing="1" w:after="100" w:afterAutospacing="1"/>
      <w:jc w:val="left"/>
    </w:pPr>
    <w:rPr>
      <w:rFonts w:ascii="Calibri" w:hAnsi="Calibri" w:cs="Calibri"/>
      <w:b/>
      <w:bCs/>
      <w:kern w:val="0"/>
      <w:szCs w:val="21"/>
    </w:rPr>
  </w:style>
  <w:style w:type="paragraph" w:customStyle="1" w:styleId="648">
    <w:name w:val="Char Char Char1"/>
    <w:basedOn w:val="1"/>
    <w:qFormat/>
    <w:uiPriority w:val="0"/>
  </w:style>
  <w:style w:type="paragraph" w:customStyle="1" w:styleId="649">
    <w:name w:val="三级条标题1"/>
    <w:basedOn w:val="1"/>
    <w:next w:val="1"/>
    <w:qFormat/>
    <w:uiPriority w:val="0"/>
    <w:pPr>
      <w:widowControl/>
      <w:ind w:left="900"/>
      <w:jc w:val="left"/>
      <w:outlineLvl w:val="4"/>
    </w:pPr>
    <w:rPr>
      <w:rFonts w:eastAsia="黑体"/>
      <w:kern w:val="0"/>
      <w:szCs w:val="20"/>
    </w:rPr>
  </w:style>
  <w:style w:type="paragraph" w:customStyle="1" w:styleId="6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2">
    <w:name w:val="一级标题"/>
    <w:basedOn w:val="1"/>
    <w:qFormat/>
    <w:uiPriority w:val="0"/>
    <w:pPr>
      <w:spacing w:beforeLines="50" w:afterLines="50" w:line="360" w:lineRule="auto"/>
      <w:jc w:val="left"/>
    </w:pPr>
    <w:rPr>
      <w:rFonts w:ascii="黑体" w:hAnsi="Arial" w:eastAsia="黑体" w:cs="Arial"/>
      <w:bCs/>
      <w:sz w:val="24"/>
      <w:lang w:val="en-GB"/>
    </w:rPr>
  </w:style>
  <w:style w:type="paragraph" w:customStyle="1" w:styleId="653">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54">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6">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7">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8">
    <w:name w:val="标题3(技术规范)"/>
    <w:basedOn w:val="1"/>
    <w:next w:val="24"/>
    <w:qFormat/>
    <w:uiPriority w:val="0"/>
    <w:pPr>
      <w:adjustRightInd w:val="0"/>
      <w:snapToGrid w:val="0"/>
      <w:spacing w:beforeLines="15" w:afterLines="15" w:line="440" w:lineRule="exact"/>
      <w:outlineLvl w:val="4"/>
    </w:pPr>
    <w:rPr>
      <w:b/>
      <w:sz w:val="24"/>
    </w:rPr>
  </w:style>
  <w:style w:type="paragraph" w:customStyle="1" w:styleId="6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660">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61">
    <w:name w:val="Char Char Char1 Char"/>
    <w:basedOn w:val="3"/>
    <w:next w:val="1"/>
    <w:qFormat/>
    <w:uiPriority w:val="0"/>
    <w:pPr>
      <w:snapToGrid w:val="0"/>
      <w:spacing w:before="120" w:after="120" w:line="240" w:lineRule="auto"/>
      <w:jc w:val="left"/>
    </w:pPr>
    <w:rPr>
      <w:rFonts w:ascii="Arial" w:hAnsi="Arial" w:eastAsia="黑体"/>
      <w:bCs w:val="0"/>
      <w:kern w:val="2"/>
      <w:szCs w:val="20"/>
    </w:rPr>
  </w:style>
  <w:style w:type="paragraph" w:customStyle="1" w:styleId="662">
    <w:name w:val="xl1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63">
    <w:name w:val="样式 标题 3 + (中文) 黑体 小四 非加粗 段前: 7.8 磅 段后: 0 磅 行距: 固定值 20 磅"/>
    <w:basedOn w:val="4"/>
    <w:qFormat/>
    <w:uiPriority w:val="0"/>
    <w:pPr>
      <w:spacing w:before="0" w:after="0" w:line="400" w:lineRule="exact"/>
    </w:pPr>
    <w:rPr>
      <w:rFonts w:eastAsia="黑体" w:cs="宋体"/>
      <w:b w:val="0"/>
      <w:bCs w:val="0"/>
      <w:kern w:val="2"/>
      <w:sz w:val="24"/>
      <w:szCs w:val="20"/>
    </w:rPr>
  </w:style>
  <w:style w:type="paragraph" w:customStyle="1" w:styleId="664">
    <w:name w:val="xl71"/>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65">
    <w:name w:val="标题一"/>
    <w:basedOn w:val="2"/>
    <w:qFormat/>
    <w:uiPriority w:val="0"/>
    <w:pPr>
      <w:keepNext w:val="0"/>
      <w:adjustRightInd w:val="0"/>
      <w:snapToGrid w:val="0"/>
      <w:spacing w:beforeLines="1600" w:after="0" w:line="240" w:lineRule="auto"/>
      <w:ind w:left="454"/>
      <w:jc w:val="center"/>
    </w:pPr>
  </w:style>
  <w:style w:type="paragraph" w:customStyle="1" w:styleId="66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7">
    <w:name w:val="xl8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668">
    <w:name w:val="小表格内容"/>
    <w:qFormat/>
    <w:uiPriority w:val="0"/>
    <w:rPr>
      <w:rFonts w:ascii="Arial" w:hAnsi="Arial" w:eastAsia="仿宋_GB2312" w:cs="Times New Roman"/>
      <w:sz w:val="21"/>
      <w:lang w:val="en-US" w:eastAsia="zh-CN" w:bidi="ar-SA"/>
    </w:rPr>
  </w:style>
  <w:style w:type="paragraph" w:customStyle="1" w:styleId="669">
    <w:name w:val="font20"/>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7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1">
    <w:name w:val="xl125"/>
    <w:basedOn w:val="1"/>
    <w:qFormat/>
    <w:uiPriority w:val="0"/>
    <w:pPr>
      <w:widowControl/>
      <w:pBdr>
        <w:bottom w:val="single" w:color="auto" w:sz="4" w:space="0"/>
      </w:pBdr>
      <w:spacing w:before="100" w:beforeAutospacing="1" w:after="100" w:afterAutospacing="1"/>
      <w:jc w:val="right"/>
    </w:pPr>
    <w:rPr>
      <w:rFonts w:ascii="宋体" w:hAnsi="宋体" w:cs="宋体"/>
      <w:b/>
      <w:bCs/>
      <w:kern w:val="0"/>
      <w:sz w:val="18"/>
      <w:szCs w:val="18"/>
    </w:rPr>
  </w:style>
  <w:style w:type="paragraph" w:customStyle="1" w:styleId="67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3">
    <w:name w:val="表格3"/>
    <w:basedOn w:val="1"/>
    <w:qFormat/>
    <w:uiPriority w:val="0"/>
    <w:pPr>
      <w:adjustRightInd w:val="0"/>
      <w:spacing w:line="420" w:lineRule="atLeast"/>
      <w:textAlignment w:val="baseline"/>
    </w:pPr>
    <w:rPr>
      <w:rFonts w:eastAsia="楷体"/>
      <w:kern w:val="0"/>
      <w:szCs w:val="20"/>
    </w:rPr>
  </w:style>
  <w:style w:type="paragraph" w:customStyle="1" w:styleId="67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75">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6">
    <w:name w:val="xl12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77">
    <w:name w:val="正文文本缩进 21"/>
    <w:basedOn w:val="1"/>
    <w:qFormat/>
    <w:uiPriority w:val="0"/>
    <w:pPr>
      <w:adjustRightInd w:val="0"/>
      <w:spacing w:line="400" w:lineRule="atLeast"/>
      <w:ind w:firstLine="540"/>
      <w:textAlignment w:val="baseline"/>
    </w:pPr>
    <w:rPr>
      <w:rFonts w:ascii="宋体"/>
      <w:kern w:val="0"/>
      <w:sz w:val="24"/>
      <w:szCs w:val="20"/>
    </w:rPr>
  </w:style>
  <w:style w:type="character" w:customStyle="1" w:styleId="678">
    <w:name w:val="页脚 字符"/>
    <w:qFormat/>
    <w:uiPriority w:val="99"/>
  </w:style>
  <w:style w:type="character" w:customStyle="1" w:styleId="679">
    <w:name w:val="NormalCharacter"/>
    <w:qFormat/>
    <w:uiPriority w:val="0"/>
  </w:style>
  <w:style w:type="table" w:customStyle="1" w:styleId="680">
    <w:name w:val="网格型2"/>
    <w:basedOn w:val="65"/>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1">
    <w:name w:val="网格型3"/>
    <w:basedOn w:val="65"/>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82">
    <w:name w:val="正文首行缩进 21"/>
    <w:basedOn w:val="683"/>
    <w:unhideWhenUsed/>
    <w:qFormat/>
    <w:uiPriority w:val="99"/>
    <w:pPr>
      <w:spacing w:after="0"/>
      <w:ind w:left="480" w:firstLine="420"/>
    </w:pPr>
    <w:rPr>
      <w:sz w:val="24"/>
    </w:rPr>
  </w:style>
  <w:style w:type="paragraph" w:customStyle="1" w:styleId="683">
    <w:name w:val="正文文本缩进1"/>
    <w:basedOn w:val="1"/>
    <w:qFormat/>
    <w:uiPriority w:val="0"/>
    <w:pPr>
      <w:spacing w:after="120"/>
      <w:ind w:left="420"/>
    </w:pPr>
  </w:style>
  <w:style w:type="paragraph" w:customStyle="1" w:styleId="684">
    <w:name w:val="DAS正文"/>
    <w:basedOn w:val="1"/>
    <w:qFormat/>
    <w:uiPriority w:val="0"/>
    <w:pPr>
      <w:spacing w:line="360" w:lineRule="auto"/>
      <w:ind w:right="181" w:firstLine="480"/>
    </w:pPr>
    <w:rPr>
      <w:rFonts w:ascii="Verdana" w:hAnsi="Verdana"/>
      <w:szCs w:val="24"/>
    </w:rPr>
  </w:style>
  <w:style w:type="paragraph" w:customStyle="1" w:styleId="685">
    <w:name w:val="列表段落1"/>
    <w:basedOn w:val="1"/>
    <w:qFormat/>
    <w:uiPriority w:val="0"/>
    <w:pPr>
      <w:ind w:firstLine="420" w:firstLineChars="200"/>
    </w:pPr>
    <w:rPr>
      <w:rFonts w:ascii="Calibri" w:hAnsi="Calibri"/>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49</Pages>
  <Words>22584</Words>
  <Characters>23119</Characters>
  <Lines>174</Lines>
  <Paragraphs>49</Paragraphs>
  <TotalTime>0</TotalTime>
  <ScaleCrop>false</ScaleCrop>
  <LinksUpToDate>false</LinksUpToDate>
  <CharactersWithSpaces>24535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2022-03-07T11:20:00Z</dcterms:created>
  <dc:creator>tao</dc:creator>
  <cp:lastModifiedBy>蛋壳里De小妖怪。</cp:lastModifiedBy>
  <cp:lastPrinted>2026-02-02T08:40:00Z</cp:lastPrinted>
  <dcterms:modified xsi:type="dcterms:W3CDTF">2026-05-14T06:14:12Z</dcterms:modified>
  <dc:title>港闸区人民法院</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7A5C0566140746ECAC7BAE9CC4453B94_13</vt:lpwstr>
  </property>
  <property fmtid="{D5CDD505-2E9C-101B-9397-08002B2CF9AE}" pid="4" name="KSOTemplateDocerSaveRecord">
    <vt:lpwstr>eyJoZGlkIjoiOWMwNDRlOTQyZDU0NDY3YTQ2YzBhMmU3ZWUwZjk3YmMiLCJ1c2VySWQiOiIyNTk3MTg1ODEifQ==</vt:lpwstr>
  </property>
</Properties>
</file>