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FDC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生态水位监测与评估（13条）</w:t>
      </w:r>
      <w:r>
        <w:rPr>
          <w:rFonts w:hint="eastAsia" w:ascii="宋体" w:hAnsi="宋体" w:eastAsia="宋体" w:cs="宋体"/>
          <w:b/>
          <w:bCs/>
          <w:sz w:val="36"/>
          <w:szCs w:val="36"/>
          <w:lang w:val="en-US" w:eastAsia="zh-CN"/>
        </w:rPr>
        <w:t>项目需求</w:t>
      </w:r>
    </w:p>
    <w:p w14:paraId="58910B3B">
      <w:pPr>
        <w:widowControl w:val="0"/>
        <w:spacing w:line="360" w:lineRule="auto"/>
        <w:ind w:firstLine="482" w:firstLineChars="20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zh-CN" w:eastAsia="zh-CN"/>
        </w:rPr>
        <w:t>项目</w:t>
      </w:r>
      <w:r>
        <w:rPr>
          <w:rFonts w:hint="eastAsia" w:ascii="宋体" w:hAnsi="宋体" w:eastAsia="宋体" w:cs="宋体"/>
          <w:b/>
          <w:color w:val="auto"/>
          <w:sz w:val="24"/>
          <w:szCs w:val="24"/>
          <w:highlight w:val="none"/>
          <w:lang w:val="en-US" w:eastAsia="zh-CN"/>
        </w:rPr>
        <w:t>内容</w:t>
      </w:r>
    </w:p>
    <w:p w14:paraId="5FFB3E9B">
      <w:pPr>
        <w:widowControl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kern w:val="0"/>
          <w:sz w:val="24"/>
          <w:szCs w:val="24"/>
          <w:highlight w:val="none"/>
        </w:rPr>
        <w:t>根据《省水利厅关于进一步加强河湖生态水位（流量）确定与保障工作的通知》（苏水资〔2021〕11号）、《江苏省水利厅办公室关于印发202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年全省水资源管理工作要点的通知 》（苏水办资〔202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号），202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拟对已发布生态水位的13条重点河道（九圩港、通吕运河、通启运河、遥望港、新江海河、如海运河、焦港、通扬运河南通段、栟茶运河、北凌河、如泰运河东段、海门河、南凌河）进行评估，建立季度、年度评估机制</w:t>
      </w:r>
      <w:r>
        <w:rPr>
          <w:rFonts w:hint="eastAsia" w:ascii="宋体" w:hAnsi="宋体" w:eastAsia="宋体" w:cs="宋体"/>
          <w:bCs/>
          <w:color w:val="auto"/>
          <w:sz w:val="24"/>
          <w:szCs w:val="24"/>
          <w:highlight w:val="none"/>
          <w:lang w:val="zh-CN" w:eastAsia="zh-CN"/>
        </w:rPr>
        <w:t>。</w:t>
      </w:r>
    </w:p>
    <w:p w14:paraId="349A738C">
      <w:pPr>
        <w:widowControl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、项目实施时间要求</w:t>
      </w:r>
    </w:p>
    <w:p w14:paraId="50F94D64">
      <w:pPr>
        <w:widowControl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按季度开展</w:t>
      </w:r>
      <w:r>
        <w:rPr>
          <w:rFonts w:hint="eastAsia" w:ascii="宋体" w:hAnsi="宋体" w:eastAsia="宋体" w:cs="宋体"/>
          <w:color w:val="auto"/>
          <w:sz w:val="24"/>
          <w:szCs w:val="24"/>
          <w:highlight w:val="none"/>
        </w:rPr>
        <w:t>生态水位季度评估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提交评估报告</w:t>
      </w:r>
      <w:r>
        <w:rPr>
          <w:rFonts w:hint="eastAsia" w:ascii="宋体" w:hAnsi="宋体" w:eastAsia="宋体" w:cs="宋体"/>
          <w:color w:val="auto"/>
          <w:sz w:val="24"/>
          <w:szCs w:val="24"/>
          <w:highlight w:val="none"/>
        </w:rPr>
        <w:t>;年度评估202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月底前完成，并将整编的河湖控制断面逐日平均水位资料和年度评价成果报送采购人</w:t>
      </w:r>
      <w:r>
        <w:rPr>
          <w:rFonts w:hint="eastAsia" w:ascii="宋体" w:hAnsi="宋体" w:eastAsia="宋体" w:cs="宋体"/>
          <w:bCs/>
          <w:color w:val="auto"/>
          <w:sz w:val="24"/>
          <w:szCs w:val="24"/>
          <w:highlight w:val="none"/>
        </w:rPr>
        <w:t>。</w:t>
      </w:r>
    </w:p>
    <w:p w14:paraId="091F1F43">
      <w:pPr>
        <w:spacing w:line="360" w:lineRule="auto"/>
        <w:ind w:right="-21" w:rightChars="-1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、服务要求</w:t>
      </w:r>
    </w:p>
    <w:p w14:paraId="2E4006FC">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（一）控制断面选择</w:t>
      </w:r>
    </w:p>
    <w:p w14:paraId="513B5273">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1.选择的控制断面应能满足生态水位监测要求，能够保证成果精度，便于监测和整编。</w:t>
      </w:r>
    </w:p>
    <w:p w14:paraId="031847E4">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（二）监测要求</w:t>
      </w:r>
    </w:p>
    <w:p w14:paraId="1DDA0D77">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1.应当遵守相关法律、法规规定，以及水文监测整编相关技术标准规范要求，监测数据要确保真实、准确、有效。</w:t>
      </w:r>
    </w:p>
    <w:p w14:paraId="3BC37F9F">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2.应当使用合格的计量设施，使用的自动监测设施、便携式仪器设备等专用技术装备，应当符合相关标准。</w:t>
      </w:r>
    </w:p>
    <w:p w14:paraId="2622D217">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3.采用在线监测的控制断面，监测频次原则上按24段制报送；非在线监测的控制断面，监测频次原则上不少于1次/</w:t>
      </w:r>
      <w:r>
        <w:rPr>
          <w:rFonts w:hint="eastAsia" w:ascii="宋体" w:hAnsi="宋体" w:eastAsia="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rPr>
        <w:t>。(尽量与报汛时间同步)。</w:t>
      </w:r>
    </w:p>
    <w:p w14:paraId="7534AB6D">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（三）数据要求</w:t>
      </w:r>
    </w:p>
    <w:p w14:paraId="60CFECEE">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1.逐日水位的确定可根据水文监测规范要求，采用控制断面当日实测数据经计算得到日均水位，必要时采用水文整编数据进行复核。</w:t>
      </w:r>
    </w:p>
    <w:p w14:paraId="3BED5D89">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2.进行生态水位季度、年度评估。季度评估以每季度整编的河流逐日平均水位成果为基础，评估每季度的生态水位满足程度。年度评估以年度整编的河流逐日平均水位成果为基础，评估年度生态水位保证率。</w:t>
      </w:r>
    </w:p>
    <w:p w14:paraId="3D0D9FFD">
      <w:pPr>
        <w:widowControl w:val="0"/>
        <w:spacing w:line="360" w:lineRule="auto"/>
        <w:ind w:firstLine="480" w:firstLineChars="200"/>
        <w:textAlignment w:val="auto"/>
        <w:rPr>
          <w:rFonts w:hint="eastAsia" w:ascii="宋体" w:hAnsi="宋体" w:eastAsia="宋体" w:cs="宋体"/>
          <w:color w:val="auto"/>
          <w:kern w:val="0"/>
          <w:sz w:val="24"/>
          <w:szCs w:val="24"/>
          <w:highlight w:val="none"/>
          <w:bdr w:val="single" w:sz="4" w:space="0"/>
          <w:lang w:val="en-US" w:eastAsia="zh-CN"/>
        </w:rPr>
      </w:pPr>
      <w:r>
        <w:rPr>
          <w:rFonts w:hint="eastAsia" w:ascii="宋体" w:hAnsi="宋体" w:eastAsia="宋体" w:cs="宋体"/>
          <w:color w:val="auto"/>
          <w:kern w:val="0"/>
          <w:sz w:val="24"/>
          <w:szCs w:val="24"/>
          <w:highlight w:val="none"/>
        </w:rPr>
        <w:t>（四）评估要求</w:t>
      </w:r>
    </w:p>
    <w:p w14:paraId="18548517">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1.评估范围</w:t>
      </w:r>
    </w:p>
    <w:p w14:paraId="499B448F">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对已发布生态水位的13条重点河道（九圩港、通吕运河、通启运河、遥望港、新江海河、如海运河、焦港、通扬运河南通段、栟茶运河、北凌河、如泰运河东段、海门河、南凌河）进行季度、年度评估。</w:t>
      </w:r>
    </w:p>
    <w:p w14:paraId="16AE5394">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2.评估断面</w:t>
      </w:r>
    </w:p>
    <w:p w14:paraId="40E9A6B1">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评估断面为已发布的河湖生态水位考核断面。</w:t>
      </w:r>
    </w:p>
    <w:p w14:paraId="0198CC4D">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3.评估方法</w:t>
      </w:r>
    </w:p>
    <w:p w14:paraId="432C4A47">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河流评估时长为日。河湖生态水位保证率为评价时段内大于等于保障目标的逐日平均水位的样本数占评价时段内样本总数的百分比。</w:t>
      </w:r>
    </w:p>
    <w:p w14:paraId="1C8365C5">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4.评估频次</w:t>
      </w:r>
    </w:p>
    <w:p w14:paraId="574558BB">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按季度整编</w:t>
      </w:r>
      <w:r>
        <w:rPr>
          <w:rFonts w:hint="eastAsia" w:ascii="宋体" w:hAnsi="宋体" w:eastAsia="宋体" w:cs="宋体"/>
          <w:color w:val="auto"/>
          <w:kern w:val="0"/>
          <w:sz w:val="24"/>
          <w:szCs w:val="24"/>
          <w:highlight w:val="none"/>
        </w:rPr>
        <w:t>生态水位</w:t>
      </w:r>
      <w:r>
        <w:rPr>
          <w:rFonts w:hint="eastAsia" w:ascii="宋体" w:hAnsi="宋体" w:eastAsia="宋体" w:cs="宋体"/>
          <w:color w:val="auto"/>
          <w:kern w:val="0"/>
          <w:sz w:val="24"/>
          <w:szCs w:val="24"/>
          <w:highlight w:val="none"/>
          <w:lang w:val="en-US" w:eastAsia="zh-CN"/>
        </w:rPr>
        <w:t>监测保障情况，</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月底前完成生态水位年度</w:t>
      </w:r>
      <w:r>
        <w:rPr>
          <w:rFonts w:hint="eastAsia" w:ascii="宋体" w:hAnsi="宋体" w:eastAsia="宋体" w:cs="宋体"/>
          <w:color w:val="auto"/>
          <w:kern w:val="0"/>
          <w:sz w:val="24"/>
          <w:szCs w:val="24"/>
          <w:highlight w:val="none"/>
          <w:lang w:val="en-US" w:eastAsia="zh-CN"/>
        </w:rPr>
        <w:t>报告</w:t>
      </w:r>
      <w:r>
        <w:rPr>
          <w:rFonts w:hint="eastAsia" w:ascii="宋体" w:hAnsi="宋体" w:eastAsia="宋体" w:cs="宋体"/>
          <w:color w:val="auto"/>
          <w:kern w:val="0"/>
          <w:sz w:val="24"/>
          <w:szCs w:val="24"/>
          <w:highlight w:val="none"/>
        </w:rPr>
        <w:t>，并将整编的河湖控制断面逐日水位资料和年度评价成果报送采购人。</w:t>
      </w:r>
    </w:p>
    <w:p w14:paraId="5AF55ECE">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5.评估报告编制体例</w:t>
      </w:r>
    </w:p>
    <w:p w14:paraId="1DE5B07F">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(1)季度评估报告</w:t>
      </w:r>
    </w:p>
    <w:p w14:paraId="3BC6A7B2">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①简要说明编制目的和依据。</w:t>
      </w:r>
    </w:p>
    <w:p w14:paraId="5F84ACE8">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②生态水位目标确定情况。</w:t>
      </w:r>
    </w:p>
    <w:p w14:paraId="20FBB752">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③评估起讫时间和评估范围。</w:t>
      </w:r>
    </w:p>
    <w:p w14:paraId="560FF262">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④季度评估成果表(详见附件1)。</w:t>
      </w:r>
    </w:p>
    <w:p w14:paraId="4C17735D">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(2)年度评估报告</w:t>
      </w:r>
    </w:p>
    <w:p w14:paraId="318E6D2A">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①目的和意义。说明开展河湖生态水位年度评估的目的和重要性。</w:t>
      </w:r>
    </w:p>
    <w:p w14:paraId="75A44C27">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②区域概况。包括自然地理、社会经济、河流水系、水资源开发利用情况、河湖控制断面基本情况等。</w:t>
      </w:r>
    </w:p>
    <w:p w14:paraId="74AB8121">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③区域生态水位目标确定情况。说明已发布的生态水位目标，生态水位确定、保障、监测、评估等工作开展情况。</w:t>
      </w:r>
    </w:p>
    <w:p w14:paraId="2FB660BA">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④评估结果。说明评估数据的来源，分析数据的合理性，分析各控制断面本年度水位过程和达标率、得出评估结论。</w:t>
      </w:r>
    </w:p>
    <w:p w14:paraId="64523D73">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⑤保障措施。包括制定和已落实的保障措施。</w:t>
      </w:r>
    </w:p>
    <w:p w14:paraId="3D149124">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⑥附件。河湖生态水位达标评价成果表，详见附件2。</w:t>
      </w:r>
    </w:p>
    <w:p w14:paraId="5D8404E0">
      <w:pPr>
        <w:spacing w:line="360" w:lineRule="auto"/>
        <w:ind w:right="-21" w:rightChars="-1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四、付款方式：</w:t>
      </w:r>
    </w:p>
    <w:p w14:paraId="0F565402">
      <w:pPr>
        <w:widowControl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zh-CN"/>
        </w:rPr>
        <w:t>合同签订后10个工作日内支付合同金额的</w:t>
      </w: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zh-CN"/>
        </w:rPr>
        <w:t>0％；</w:t>
      </w:r>
    </w:p>
    <w:p w14:paraId="6529451E">
      <w:pPr>
        <w:widowControl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zh-CN"/>
        </w:rPr>
        <w:t>项目完成并</w:t>
      </w:r>
      <w:r>
        <w:rPr>
          <w:rFonts w:hint="eastAsia" w:ascii="宋体" w:hAnsi="宋体" w:eastAsia="宋体" w:cs="宋体"/>
          <w:color w:val="auto"/>
          <w:kern w:val="0"/>
          <w:sz w:val="24"/>
          <w:szCs w:val="24"/>
          <w:highlight w:val="none"/>
          <w:lang w:val="en-US" w:eastAsia="zh-CN"/>
        </w:rPr>
        <w:t>审核通过</w:t>
      </w:r>
      <w:r>
        <w:rPr>
          <w:rFonts w:hint="eastAsia" w:ascii="宋体" w:hAnsi="宋体" w:eastAsia="宋体" w:cs="宋体"/>
          <w:color w:val="auto"/>
          <w:kern w:val="0"/>
          <w:sz w:val="24"/>
          <w:szCs w:val="24"/>
          <w:highlight w:val="none"/>
          <w:lang w:val="zh-CN"/>
        </w:rPr>
        <w:t>后10个工作日内支付余款</w:t>
      </w:r>
      <w:r>
        <w:rPr>
          <w:rFonts w:hint="eastAsia" w:ascii="宋体" w:hAnsi="宋体" w:eastAsia="宋体" w:cs="宋体"/>
          <w:color w:val="auto"/>
          <w:kern w:val="0"/>
          <w:sz w:val="24"/>
          <w:szCs w:val="24"/>
          <w:highlight w:val="none"/>
        </w:rPr>
        <w:t>。</w:t>
      </w:r>
    </w:p>
    <w:p w14:paraId="5CD5C521">
      <w:pPr>
        <w:widowControl w:val="0"/>
        <w:spacing w:line="360" w:lineRule="auto"/>
        <w:textAlignment w:val="auto"/>
        <w:rPr>
          <w:rFonts w:hint="eastAsia" w:ascii="宋体" w:hAnsi="宋体" w:eastAsia="宋体" w:cs="宋体"/>
          <w:b/>
          <w:bCs/>
          <w:color w:val="auto"/>
          <w:kern w:val="0"/>
          <w:sz w:val="24"/>
          <w:szCs w:val="24"/>
          <w:highlight w:val="none"/>
          <w:lang w:val="en-US" w:eastAsia="zh-CN"/>
        </w:rPr>
      </w:pPr>
    </w:p>
    <w:p w14:paraId="50E0C851">
      <w:pPr>
        <w:widowControl w:val="0"/>
        <w:spacing w:line="360" w:lineRule="auto"/>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附件1：</w:t>
      </w:r>
    </w:p>
    <w:p w14:paraId="42639B3C">
      <w:pPr>
        <w:bidi w:val="0"/>
        <w:jc w:val="left"/>
        <w:rPr>
          <w:rFonts w:hint="default" w:asciiTheme="minorHAnsi" w:hAnsiTheme="minorHAnsi" w:eastAsiaTheme="minorEastAsia" w:cstheme="minorBidi"/>
          <w:kern w:val="2"/>
          <w:sz w:val="21"/>
          <w:szCs w:val="24"/>
          <w:lang w:val="en-US" w:eastAsia="zh-CN" w:bidi="ar-SA"/>
        </w:rPr>
      </w:pPr>
      <w:r>
        <w:rPr>
          <w:rFonts w:eastAsia="宋体"/>
          <w:color w:val="auto"/>
          <w:highlight w:val="none"/>
        </w:rPr>
        <w:drawing>
          <wp:anchor distT="0" distB="0" distL="114300" distR="114300" simplePos="0" relativeHeight="251659264" behindDoc="0" locked="0" layoutInCell="1" allowOverlap="1">
            <wp:simplePos x="0" y="0"/>
            <wp:positionH relativeFrom="column">
              <wp:posOffset>-285750</wp:posOffset>
            </wp:positionH>
            <wp:positionV relativeFrom="paragraph">
              <wp:posOffset>85725</wp:posOffset>
            </wp:positionV>
            <wp:extent cx="5757545" cy="2102485"/>
            <wp:effectExtent l="0" t="0" r="14605" b="12065"/>
            <wp:wrapSquare wrapText="bothSides"/>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4"/>
                    <a:stretch>
                      <a:fillRect/>
                    </a:stretch>
                  </pic:blipFill>
                  <pic:spPr>
                    <a:xfrm>
                      <a:off x="0" y="0"/>
                      <a:ext cx="5757545" cy="2102485"/>
                    </a:xfrm>
                    <a:prstGeom prst="rect">
                      <a:avLst/>
                    </a:prstGeom>
                    <a:noFill/>
                    <a:ln>
                      <a:noFill/>
                    </a:ln>
                  </pic:spPr>
                </pic:pic>
              </a:graphicData>
            </a:graphic>
          </wp:anchor>
        </w:drawing>
      </w:r>
    </w:p>
    <w:p w14:paraId="34BB9F6F">
      <w:pPr>
        <w:widowControl w:val="0"/>
        <w:textAlignment w:val="auto"/>
        <w:rPr>
          <w:rFonts w:hint="eastAsia" w:hAnsi="宋体" w:eastAsia="宋体"/>
          <w:b/>
          <w:bCs/>
          <w:color w:val="auto"/>
          <w:kern w:val="0"/>
          <w:sz w:val="24"/>
          <w:szCs w:val="24"/>
          <w:highlight w:val="none"/>
          <w:lang w:val="en-US" w:eastAsia="zh-CN"/>
        </w:rPr>
      </w:pPr>
      <w:r>
        <w:rPr>
          <w:rFonts w:hint="eastAsia" w:hAnsi="宋体" w:eastAsia="宋体"/>
          <w:b/>
          <w:bCs/>
          <w:color w:val="auto"/>
          <w:kern w:val="0"/>
          <w:sz w:val="24"/>
          <w:szCs w:val="24"/>
          <w:highlight w:val="none"/>
          <w:lang w:val="en-US" w:eastAsia="zh-CN"/>
        </w:rPr>
        <w:t>附件2：</w:t>
      </w:r>
    </w:p>
    <w:p w14:paraId="19BE792A">
      <w:pPr>
        <w:widowControl w:val="0"/>
        <w:textAlignment w:val="auto"/>
        <w:rPr>
          <w:rFonts w:hint="eastAsia" w:hAnsi="宋体" w:eastAsia="宋体"/>
          <w:b/>
          <w:bCs/>
          <w:color w:val="auto"/>
          <w:kern w:val="0"/>
          <w:sz w:val="24"/>
          <w:szCs w:val="24"/>
          <w:highlight w:val="none"/>
          <w:lang w:val="en-US" w:eastAsia="zh-CN"/>
        </w:rPr>
      </w:pPr>
    </w:p>
    <w:p w14:paraId="6DEB5FF5">
      <w:pPr>
        <w:widowControl w:val="0"/>
        <w:textAlignment w:val="auto"/>
        <w:rPr>
          <w:rFonts w:hint="eastAsia" w:hAnsi="宋体" w:eastAsia="宋体"/>
          <w:b/>
          <w:bCs/>
          <w:color w:val="auto"/>
          <w:kern w:val="0"/>
          <w:sz w:val="24"/>
          <w:szCs w:val="24"/>
          <w:highlight w:val="none"/>
          <w:lang w:val="en-US" w:eastAsia="zh-CN"/>
        </w:rPr>
      </w:pPr>
      <w:bookmarkStart w:id="0" w:name="_GoBack"/>
      <w:r>
        <w:rPr>
          <w:rFonts w:eastAsia="宋体"/>
          <w:color w:val="auto"/>
          <w:highlight w:val="none"/>
        </w:rPr>
        <w:drawing>
          <wp:anchor distT="0" distB="0" distL="114300" distR="114300" simplePos="0" relativeHeight="251660288" behindDoc="0" locked="0" layoutInCell="1" allowOverlap="1">
            <wp:simplePos x="0" y="0"/>
            <wp:positionH relativeFrom="column">
              <wp:posOffset>-52070</wp:posOffset>
            </wp:positionH>
            <wp:positionV relativeFrom="paragraph">
              <wp:posOffset>111760</wp:posOffset>
            </wp:positionV>
            <wp:extent cx="5750560" cy="3195955"/>
            <wp:effectExtent l="0" t="0" r="2540" b="4445"/>
            <wp:wrapTopAndBottom/>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848360" y="1355090"/>
                      <a:ext cx="5750560" cy="3195955"/>
                    </a:xfrm>
                    <a:prstGeom prst="rect">
                      <a:avLst/>
                    </a:prstGeom>
                    <a:noFill/>
                    <a:ln>
                      <a:noFill/>
                    </a:ln>
                  </pic:spPr>
                </pic:pic>
              </a:graphicData>
            </a:graphic>
          </wp:anchor>
        </w:drawing>
      </w:r>
      <w:bookmarkEnd w:id="0"/>
    </w:p>
    <w:p w14:paraId="7E3C537D">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GZiODMwZWIxNGQ1ZGM3NzU3NzM0MzJmZjJlOWYifQ=="/>
  </w:docVars>
  <w:rsids>
    <w:rsidRoot w:val="6EC35738"/>
    <w:rsid w:val="6EC35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2024-11-05T09:28:00Z</dcterms:created>
  <dc:creator>Angoni</dc:creator>
  <cp:lastModifiedBy>Angoni</cp:lastModifiedBy>
  <dcterms:modified xsi:type="dcterms:W3CDTF">2024-11-05T09:30:17Z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31135775A0124E3DA34D1D5A1A9DA5AC_11</vt:lpwstr>
  </property>
</Properties>
</file>