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2"/>
          <w:szCs w:val="32"/>
          <w:lang w:val="en-US" w:eastAsia="zh-CN"/>
        </w:rPr>
      </w:pPr>
      <w:r>
        <w:rPr>
          <w:rFonts w:ascii="宋体" w:hAnsi="宋体" w:eastAsia="宋体" w:cs="宋体"/>
          <w:sz w:val="32"/>
          <w:szCs w:val="32"/>
        </w:rPr>
        <w:t>2019年省级水利工程维修养护项目</w:t>
      </w:r>
      <w:r>
        <w:rPr>
          <w:rFonts w:hint="eastAsia" w:ascii="宋体" w:hAnsi="宋体" w:eastAsia="宋体" w:cs="宋体"/>
          <w:sz w:val="32"/>
          <w:szCs w:val="32"/>
          <w:lang w:val="en-US" w:eastAsia="zh-CN"/>
        </w:rPr>
        <w:t>编制说明</w:t>
      </w:r>
    </w:p>
    <w:p>
      <w:pPr>
        <w:tabs>
          <w:tab w:val="left" w:pos="900"/>
        </w:tabs>
        <w:spacing w:line="360" w:lineRule="auto"/>
        <w:jc w:val="left"/>
        <w:rPr>
          <w:rFonts w:ascii="Calibri" w:hAnsi="Calibri" w:eastAsia="宋体" w:cs="Times New Roman"/>
          <w:b/>
          <w:bCs/>
          <w:sz w:val="28"/>
          <w:szCs w:val="28"/>
        </w:rPr>
      </w:pPr>
      <w:r>
        <w:rPr>
          <w:rFonts w:ascii="Calibri" w:hAnsi="宋体" w:eastAsia="宋体" w:cs="Times New Roman"/>
          <w:b/>
          <w:bCs/>
          <w:sz w:val="28"/>
          <w:szCs w:val="28"/>
        </w:rPr>
        <w:t>一、编制依据：</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1、《建设工程工程量清单计价规范》（GB50500</w:t>
      </w:r>
      <w:r>
        <w:rPr>
          <w:rFonts w:ascii="宋体" w:hAnsi="宋体" w:eastAsia="宋体" w:cs="Times New Roman"/>
          <w:sz w:val="24"/>
          <w:szCs w:val="24"/>
        </w:rPr>
        <w:t>—</w:t>
      </w:r>
      <w:r>
        <w:rPr>
          <w:rFonts w:hint="eastAsia" w:ascii="宋体" w:hAnsi="宋体" w:eastAsia="宋体" w:cs="Times New Roman"/>
          <w:sz w:val="24"/>
          <w:szCs w:val="24"/>
        </w:rPr>
        <w:t>2013</w:t>
      </w:r>
      <w:r>
        <w:rPr>
          <w:rFonts w:ascii="宋体" w:hAnsi="宋体" w:eastAsia="宋体" w:cs="Times New Roman"/>
          <w:sz w:val="24"/>
          <w:szCs w:val="24"/>
        </w:rPr>
        <w:t>）</w:t>
      </w:r>
      <w:r>
        <w:rPr>
          <w:rFonts w:hint="eastAsia" w:ascii="宋体" w:hAnsi="宋体" w:eastAsia="宋体" w:cs="Times New Roman"/>
          <w:sz w:val="24"/>
          <w:szCs w:val="24"/>
        </w:rPr>
        <w:t>；</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2、《房屋建筑与装饰工程工程量计算规范》（GB50854</w:t>
      </w:r>
      <w:r>
        <w:rPr>
          <w:rFonts w:ascii="宋体" w:hAnsi="宋体" w:eastAsia="宋体" w:cs="Times New Roman"/>
          <w:sz w:val="24"/>
          <w:szCs w:val="24"/>
        </w:rPr>
        <w:t>—</w:t>
      </w:r>
      <w:r>
        <w:rPr>
          <w:rFonts w:hint="eastAsia" w:ascii="宋体" w:hAnsi="宋体" w:eastAsia="宋体" w:cs="Times New Roman"/>
          <w:sz w:val="24"/>
          <w:szCs w:val="24"/>
        </w:rPr>
        <w:t>2013</w:t>
      </w:r>
      <w:r>
        <w:rPr>
          <w:rFonts w:ascii="宋体" w:hAnsi="宋体" w:eastAsia="宋体" w:cs="Times New Roman"/>
          <w:sz w:val="24"/>
          <w:szCs w:val="24"/>
        </w:rPr>
        <w:t>）</w:t>
      </w:r>
      <w:r>
        <w:rPr>
          <w:rFonts w:hint="eastAsia" w:ascii="宋体" w:hAnsi="宋体" w:eastAsia="宋体" w:cs="Times New Roman"/>
          <w:sz w:val="24"/>
          <w:szCs w:val="24"/>
        </w:rPr>
        <w:t>；</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3、《通用安装工程工程量计算规范》（GB50856</w:t>
      </w:r>
      <w:r>
        <w:rPr>
          <w:rFonts w:ascii="宋体" w:hAnsi="宋体" w:eastAsia="宋体" w:cs="Times New Roman"/>
          <w:sz w:val="24"/>
          <w:szCs w:val="24"/>
        </w:rPr>
        <w:t>—</w:t>
      </w:r>
      <w:r>
        <w:rPr>
          <w:rFonts w:hint="eastAsia" w:ascii="宋体" w:hAnsi="宋体" w:eastAsia="宋体" w:cs="Times New Roman"/>
          <w:sz w:val="24"/>
          <w:szCs w:val="24"/>
        </w:rPr>
        <w:t>2013</w:t>
      </w:r>
      <w:r>
        <w:rPr>
          <w:rFonts w:ascii="宋体" w:hAnsi="宋体" w:eastAsia="宋体" w:cs="Times New Roman"/>
          <w:sz w:val="24"/>
          <w:szCs w:val="24"/>
        </w:rPr>
        <w:t>）</w:t>
      </w:r>
      <w:r>
        <w:rPr>
          <w:rFonts w:hint="eastAsia" w:ascii="宋体" w:hAnsi="宋体" w:eastAsia="宋体" w:cs="Times New Roman"/>
          <w:sz w:val="24"/>
          <w:szCs w:val="24"/>
        </w:rPr>
        <w:t>；</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4、《江苏省建筑与装饰工程计价定额》（2014年）；</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5、《江苏省安装工程计价定额》（2014年）；</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6、《江苏省建设工程费用定额》（2014）；</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7、人工工资单价执行苏建函价〔</w:t>
      </w:r>
      <w:r>
        <w:rPr>
          <w:rFonts w:ascii="宋体" w:hAnsi="宋体" w:eastAsia="宋体" w:cs="Times New Roman"/>
          <w:sz w:val="24"/>
          <w:szCs w:val="24"/>
        </w:rPr>
        <w:t>201</w:t>
      </w:r>
      <w:r>
        <w:rPr>
          <w:rFonts w:hint="eastAsia" w:ascii="宋体" w:hAnsi="宋体" w:eastAsia="宋体" w:cs="Times New Roman"/>
          <w:sz w:val="24"/>
          <w:szCs w:val="24"/>
        </w:rPr>
        <w:t>9〕411号文；</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8、材料价格执行《南通建设工程造价信息》（2019.12）指导价，没有的按市场价执行；</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9、</w:t>
      </w:r>
      <w:r>
        <w:rPr>
          <w:rFonts w:hint="eastAsia" w:ascii="宋体" w:hAnsi="宋体" w:eastAsia="宋体" w:cs="Times New Roman"/>
          <w:color w:val="000000" w:themeColor="text1"/>
          <w:sz w:val="24"/>
          <w:szCs w:val="24"/>
          <w14:textFill>
            <w14:solidFill>
              <w14:schemeClr w14:val="tx1"/>
            </w14:solidFill>
          </w14:textFill>
        </w:rPr>
        <w:t>根据苏建价函【2016】154号文、苏建函价【2019】178号文相关约定，本工程计价方式按增值税一般计税法；</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10、施工图纸；</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11</w:t>
      </w:r>
      <w:r>
        <w:rPr>
          <w:rFonts w:ascii="宋体" w:hAnsi="宋体" w:eastAsia="宋体" w:cs="Times New Roman"/>
          <w:sz w:val="24"/>
          <w:szCs w:val="24"/>
        </w:rPr>
        <w:t>、江苏省、</w:t>
      </w:r>
      <w:r>
        <w:rPr>
          <w:rFonts w:hint="eastAsia" w:ascii="宋体" w:hAnsi="宋体" w:eastAsia="宋体" w:cs="Times New Roman"/>
          <w:sz w:val="24"/>
          <w:szCs w:val="24"/>
        </w:rPr>
        <w:t>南通</w:t>
      </w:r>
      <w:r>
        <w:rPr>
          <w:rFonts w:ascii="宋体" w:hAnsi="宋体" w:eastAsia="宋体" w:cs="Times New Roman"/>
          <w:sz w:val="24"/>
          <w:szCs w:val="24"/>
        </w:rPr>
        <w:t>市现行的</w:t>
      </w:r>
      <w:r>
        <w:rPr>
          <w:rFonts w:hint="eastAsia" w:ascii="宋体" w:hAnsi="宋体" w:eastAsia="宋体" w:cs="Times New Roman"/>
          <w:sz w:val="24"/>
          <w:szCs w:val="24"/>
        </w:rPr>
        <w:t>其它</w:t>
      </w:r>
      <w:r>
        <w:rPr>
          <w:rFonts w:ascii="宋体" w:hAnsi="宋体" w:eastAsia="宋体" w:cs="Times New Roman"/>
          <w:sz w:val="24"/>
          <w:szCs w:val="24"/>
        </w:rPr>
        <w:t>计价文件</w:t>
      </w:r>
      <w:r>
        <w:rPr>
          <w:rFonts w:hint="eastAsia" w:ascii="宋体" w:hAnsi="宋体" w:eastAsia="宋体" w:cs="Times New Roman"/>
          <w:sz w:val="24"/>
          <w:szCs w:val="24"/>
        </w:rPr>
        <w:t>。</w:t>
      </w:r>
    </w:p>
    <w:p>
      <w:pPr>
        <w:tabs>
          <w:tab w:val="left" w:pos="900"/>
        </w:tabs>
        <w:spacing w:line="360" w:lineRule="auto"/>
        <w:jc w:val="left"/>
        <w:rPr>
          <w:rFonts w:hint="default" w:ascii="Calibri" w:hAnsi="宋体" w:eastAsia="宋体" w:cs="Times New Roman"/>
          <w:b/>
          <w:bCs/>
          <w:sz w:val="24"/>
          <w:szCs w:val="24"/>
          <w:lang w:val="en-US" w:eastAsia="zh-CN"/>
        </w:rPr>
      </w:pPr>
      <w:r>
        <w:rPr>
          <w:rFonts w:ascii="Calibri" w:hAnsi="宋体" w:eastAsia="宋体" w:cs="Times New Roman"/>
          <w:b/>
          <w:bCs/>
          <w:sz w:val="24"/>
          <w:szCs w:val="24"/>
        </w:rPr>
        <w:t>二、编制相关说明：</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480" w:lineRule="auto"/>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ascii="宋体" w:hAnsi="宋体" w:eastAsia="宋体" w:cs="宋体"/>
          <w:b/>
          <w:bCs/>
          <w:sz w:val="24"/>
          <w:szCs w:val="24"/>
        </w:rPr>
        <w:t>新江海河闸下游两岸安全防护、石工建筑物修复等。</w:t>
      </w:r>
      <w:r>
        <w:rPr>
          <w:rFonts w:ascii="宋体" w:hAnsi="宋体" w:eastAsia="宋体" w:cs="宋体"/>
          <w:b/>
          <w:bCs/>
          <w:sz w:val="24"/>
          <w:szCs w:val="24"/>
        </w:rPr>
        <w:br w:type="textWrapping"/>
      </w:r>
      <w:r>
        <w:rPr>
          <w:rFonts w:ascii="宋体" w:hAnsi="宋体" w:eastAsia="宋体" w:cs="宋体"/>
          <w:sz w:val="24"/>
          <w:szCs w:val="24"/>
        </w:rPr>
        <w:t>1）排水沟破损处采用C25细石混凝土修补，再将外露面采用20厚1:2水泥砂浆抹平，总长约80m。</w:t>
      </w:r>
      <w:r>
        <w:rPr>
          <w:rFonts w:hint="eastAsia" w:ascii="宋体" w:hAnsi="宋体" w:eastAsia="宋体" w:cs="宋体"/>
          <w:sz w:val="24"/>
          <w:szCs w:val="24"/>
          <w:lang w:eastAsia="zh-CN"/>
        </w:rPr>
        <w:t>（详图纸</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双桥套闸人行桥）</w:t>
      </w:r>
      <w:r>
        <w:rPr>
          <w:rFonts w:ascii="宋体" w:hAnsi="宋体" w:eastAsia="宋体" w:cs="宋体"/>
          <w:sz w:val="24"/>
          <w:szCs w:val="24"/>
        </w:rPr>
        <w:br w:type="textWrapping"/>
      </w:r>
      <w:r>
        <w:rPr>
          <w:rFonts w:ascii="宋体" w:hAnsi="宋体" w:eastAsia="宋体" w:cs="宋体"/>
          <w:sz w:val="24"/>
          <w:szCs w:val="24"/>
        </w:rPr>
        <w:t>2）下游东侧灌砌块石护坡局部破损断裂对破损的灌砌块石护坡裂缝采用C25细石砼进行灌注修复，总面积约80平方米。</w:t>
      </w:r>
      <w:r>
        <w:rPr>
          <w:rFonts w:hint="eastAsia" w:ascii="宋体" w:hAnsi="宋体" w:eastAsia="宋体" w:cs="宋体"/>
          <w:sz w:val="24"/>
          <w:szCs w:val="24"/>
          <w:lang w:eastAsia="zh-CN"/>
        </w:rPr>
        <w:t>（详图纸</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双桥套闸人行桥）</w:t>
      </w:r>
      <w:r>
        <w:rPr>
          <w:rFonts w:ascii="宋体" w:hAnsi="宋体" w:eastAsia="宋体" w:cs="宋体"/>
          <w:sz w:val="24"/>
          <w:szCs w:val="24"/>
        </w:rPr>
        <w:br w:type="textWrapping"/>
      </w:r>
      <w:r>
        <w:rPr>
          <w:rFonts w:ascii="宋体" w:hAnsi="宋体" w:eastAsia="宋体" w:cs="宋体"/>
          <w:sz w:val="24"/>
          <w:szCs w:val="24"/>
        </w:rPr>
        <w:t>3）闸管区范围内的管理设施进行硬件提档升级，</w:t>
      </w:r>
      <w:r>
        <w:rPr>
          <w:rFonts w:hint="eastAsia" w:ascii="宋体" w:hAnsi="宋体" w:eastAsia="宋体" w:cs="宋体"/>
          <w:sz w:val="24"/>
          <w:szCs w:val="24"/>
          <w:lang w:val="en-US" w:eastAsia="zh-CN"/>
        </w:rPr>
        <w:t>包括卫生间电路、水路拆除更换。</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480" w:lineRule="auto"/>
        <w:textAlignment w:val="auto"/>
        <w:rPr>
          <w:rFonts w:hint="default" w:ascii="宋体" w:hAnsi="宋体" w:eastAsia="宋体" w:cs="宋体"/>
          <w:color w:val="0000FF"/>
          <w:sz w:val="24"/>
          <w:szCs w:val="24"/>
          <w:lang w:val="en-US" w:eastAsia="zh-CN"/>
        </w:rPr>
      </w:pPr>
      <w:r>
        <w:rPr>
          <w:rFonts w:hint="eastAsia" w:ascii="宋体" w:hAnsi="宋体" w:eastAsia="宋体" w:cs="宋体"/>
          <w:b/>
          <w:bCs/>
          <w:sz w:val="24"/>
          <w:szCs w:val="24"/>
          <w:lang w:val="en-US" w:eastAsia="zh-CN"/>
        </w:rPr>
        <w:t>2、</w:t>
      </w:r>
      <w:r>
        <w:rPr>
          <w:rFonts w:ascii="宋体" w:hAnsi="宋体" w:eastAsia="宋体" w:cs="宋体"/>
          <w:b/>
          <w:bCs/>
          <w:sz w:val="24"/>
          <w:szCs w:val="24"/>
        </w:rPr>
        <w:t>新江海河闸发电机组及相关控制柜更新。</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480" w:lineRule="auto"/>
        <w:textAlignment w:val="auto"/>
        <w:rPr>
          <w:rFonts w:ascii="宋体" w:hAnsi="宋体" w:eastAsia="宋体" w:cs="宋体"/>
          <w:sz w:val="24"/>
          <w:szCs w:val="24"/>
        </w:rPr>
      </w:pPr>
      <w:r>
        <w:rPr>
          <w:rFonts w:ascii="宋体" w:hAnsi="宋体" w:eastAsia="宋体" w:cs="宋体"/>
          <w:sz w:val="24"/>
          <w:szCs w:val="24"/>
        </w:rPr>
        <w:t>1）增加120KW发电机组一台。</w:t>
      </w:r>
      <w:r>
        <w:rPr>
          <w:rFonts w:ascii="宋体" w:hAnsi="宋体" w:eastAsia="宋体" w:cs="宋体"/>
          <w:sz w:val="24"/>
          <w:szCs w:val="24"/>
        </w:rPr>
        <w:br w:type="textWrapping"/>
      </w:r>
      <w:r>
        <w:rPr>
          <w:rFonts w:ascii="宋体" w:hAnsi="宋体" w:eastAsia="宋体" w:cs="宋体"/>
          <w:sz w:val="24"/>
          <w:szCs w:val="24"/>
        </w:rPr>
        <w:t>2）增加MNS低压配电柜一台。</w:t>
      </w:r>
      <w:r>
        <w:rPr>
          <w:rFonts w:ascii="宋体" w:hAnsi="宋体" w:eastAsia="宋体" w:cs="宋体"/>
          <w:sz w:val="24"/>
          <w:szCs w:val="24"/>
        </w:rPr>
        <w:br w:type="textWrapping"/>
      </w:r>
      <w:r>
        <w:rPr>
          <w:rFonts w:ascii="宋体" w:hAnsi="宋体" w:eastAsia="宋体" w:cs="宋体"/>
          <w:sz w:val="24"/>
          <w:szCs w:val="24"/>
        </w:rPr>
        <w:t>3）增加发电机组至配电柜的电缆。</w:t>
      </w:r>
      <w:r>
        <w:rPr>
          <w:rFonts w:ascii="宋体" w:hAnsi="宋体" w:eastAsia="宋体" w:cs="宋体"/>
          <w:sz w:val="24"/>
          <w:szCs w:val="24"/>
        </w:rPr>
        <w:br w:type="textWrapping"/>
      </w:r>
      <w:r>
        <w:rPr>
          <w:rFonts w:ascii="宋体" w:hAnsi="宋体" w:eastAsia="宋体" w:cs="宋体"/>
          <w:sz w:val="24"/>
          <w:szCs w:val="24"/>
        </w:rPr>
        <w:t>4）低压配电室内的电缆延伸及发电机房专用接地装置一组。</w:t>
      </w:r>
      <w:r>
        <w:rPr>
          <w:rFonts w:hint="eastAsia" w:ascii="宋体" w:hAnsi="宋体" w:eastAsia="宋体" w:cs="宋体"/>
          <w:sz w:val="24"/>
          <w:szCs w:val="24"/>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afterAutospacing="0" w:line="480" w:lineRule="auto"/>
        <w:textAlignment w:val="auto"/>
        <w:rPr>
          <w:rFonts w:ascii="宋体" w:hAnsi="宋体" w:eastAsia="宋体" w:cs="宋体"/>
          <w:sz w:val="24"/>
          <w:szCs w:val="24"/>
        </w:rPr>
      </w:pPr>
      <w:r>
        <w:rPr>
          <w:rFonts w:ascii="宋体" w:hAnsi="宋体" w:eastAsia="宋体" w:cs="宋体"/>
          <w:sz w:val="24"/>
          <w:szCs w:val="24"/>
        </w:rPr>
        <w:t>控制室原有两台低压配电柜拆除更换新柜迁移至原发电机房。</w:t>
      </w:r>
    </w:p>
    <w:p>
      <w:pPr>
        <w:keepNext w:val="0"/>
        <w:keepLines w:val="0"/>
        <w:pageBreakBefore w:val="0"/>
        <w:widowControl w:val="0"/>
        <w:numPr>
          <w:ilvl w:val="0"/>
          <w:numId w:val="1"/>
        </w:numPr>
        <w:kinsoku/>
        <w:wordWrap/>
        <w:overflowPunct/>
        <w:topLinePunct w:val="0"/>
        <w:autoSpaceDE/>
        <w:autoSpaceDN/>
        <w:bidi w:val="0"/>
        <w:adjustRightInd/>
        <w:snapToGrid/>
        <w:spacing w:afterAutospacing="0" w:line="480" w:lineRule="auto"/>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增加</w:t>
      </w:r>
      <w:r>
        <w:rPr>
          <w:rFonts w:hint="eastAsia" w:ascii="宋体" w:hAnsi="宋体" w:eastAsia="宋体" w:cs="宋体"/>
          <w:color w:val="auto"/>
          <w:sz w:val="24"/>
          <w:szCs w:val="24"/>
          <w:lang w:val="en-US" w:eastAsia="zh-CN"/>
        </w:rPr>
        <w:t>6樘门，具体详见</w:t>
      </w:r>
      <w:r>
        <w:rPr>
          <w:rFonts w:hint="eastAsia" w:ascii="宋体" w:hAnsi="宋体" w:eastAsia="宋体" w:cs="宋体"/>
          <w:color w:val="auto"/>
          <w:sz w:val="24"/>
          <w:szCs w:val="24"/>
          <w:lang w:eastAsia="zh-CN"/>
        </w:rPr>
        <w:t>2019省级水利工程维修项目</w:t>
      </w:r>
    </w:p>
    <w:p>
      <w:pPr>
        <w:keepNext w:val="0"/>
        <w:keepLines w:val="0"/>
        <w:pageBreakBefore w:val="0"/>
        <w:widowControl w:val="0"/>
        <w:kinsoku/>
        <w:wordWrap/>
        <w:overflowPunct/>
        <w:topLinePunct w:val="0"/>
        <w:autoSpaceDE/>
        <w:autoSpaceDN/>
        <w:bidi w:val="0"/>
        <w:adjustRightInd/>
        <w:snapToGrid/>
        <w:spacing w:after="240" w:afterAutospacing="0" w:line="480" w:lineRule="auto"/>
        <w:textAlignment w:val="auto"/>
        <w:rPr>
          <w:rFonts w:ascii="宋体" w:hAnsi="宋体" w:eastAsia="宋体" w:cs="宋体"/>
          <w:b/>
          <w:bCs/>
          <w:sz w:val="24"/>
          <w:szCs w:val="24"/>
        </w:rPr>
      </w:pPr>
      <w:r>
        <w:rPr>
          <w:rFonts w:hint="eastAsia" w:ascii="宋体" w:hAnsi="宋体" w:eastAsia="宋体" w:cs="宋体"/>
          <w:b/>
          <w:bCs/>
          <w:sz w:val="24"/>
          <w:szCs w:val="24"/>
          <w:lang w:val="en-US" w:eastAsia="zh-CN"/>
        </w:rPr>
        <w:t>3、</w:t>
      </w:r>
      <w:r>
        <w:rPr>
          <w:rFonts w:ascii="宋体" w:hAnsi="宋体" w:eastAsia="宋体" w:cs="宋体"/>
          <w:b/>
          <w:bCs/>
          <w:sz w:val="24"/>
          <w:szCs w:val="24"/>
        </w:rPr>
        <w:t>双桥套闸工作钢便桥。</w:t>
      </w:r>
    </w:p>
    <w:p>
      <w:pPr>
        <w:keepNext w:val="0"/>
        <w:keepLines w:val="0"/>
        <w:pageBreakBefore w:val="0"/>
        <w:widowControl w:val="0"/>
        <w:kinsoku/>
        <w:wordWrap/>
        <w:overflowPunct/>
        <w:topLinePunct w:val="0"/>
        <w:autoSpaceDE/>
        <w:autoSpaceDN/>
        <w:bidi w:val="0"/>
        <w:adjustRightInd/>
        <w:snapToGrid/>
        <w:spacing w:after="240" w:afterAutospacing="0" w:line="480" w:lineRule="auto"/>
        <w:textAlignment w:val="auto"/>
        <w:rPr>
          <w:rFonts w:ascii="宋体" w:hAnsi="宋体" w:eastAsia="宋体" w:cs="宋体"/>
          <w:sz w:val="24"/>
          <w:szCs w:val="24"/>
        </w:rPr>
      </w:pPr>
      <w:r>
        <w:rPr>
          <w:rFonts w:ascii="宋体" w:hAnsi="宋体" w:eastAsia="宋体" w:cs="宋体"/>
          <w:sz w:val="24"/>
          <w:szCs w:val="24"/>
        </w:rPr>
        <w:t>1）钢便桥采用下承式简支钢桁架桥，总长13.49m，总宽1.772m。为不影响下闸首主闸门运行，在闸墩上各布置一个支撑钢箱梁，钢箱梁断面尺寸为72×40cm。在钢便桥两侧各布置钢爬梯一座，宽60cm。上闸首西闸墩增加工作钢爬梯1座，宽60cm。钢爬梯与闸墩采用植筋焊接固定。</w:t>
      </w:r>
      <w:r>
        <w:rPr>
          <w:rFonts w:ascii="宋体" w:hAnsi="宋体" w:eastAsia="宋体" w:cs="宋体"/>
          <w:sz w:val="24"/>
          <w:szCs w:val="24"/>
        </w:rPr>
        <w:br w:type="textWrapping"/>
      </w:r>
      <w:r>
        <w:rPr>
          <w:rFonts w:ascii="宋体" w:hAnsi="宋体" w:eastAsia="宋体" w:cs="宋体"/>
          <w:sz w:val="24"/>
          <w:szCs w:val="24"/>
        </w:rPr>
        <w:t>2）更换成品混凝土盖板，平面尺寸为82×40cm，共计600块。</w:t>
      </w:r>
    </w:p>
    <w:p>
      <w:pPr>
        <w:tabs>
          <w:tab w:val="left" w:pos="900"/>
        </w:tabs>
        <w:spacing w:line="360" w:lineRule="auto"/>
        <w:jc w:val="left"/>
        <w:rPr>
          <w:rFonts w:ascii="宋体" w:hAnsi="宋体" w:eastAsia="宋体" w:cs="Times New Roman"/>
          <w:b/>
          <w:sz w:val="24"/>
          <w:szCs w:val="24"/>
        </w:rPr>
      </w:pPr>
      <w:r>
        <w:rPr>
          <w:rFonts w:hint="eastAsia" w:ascii="宋体" w:hAnsi="宋体" w:eastAsia="宋体" w:cs="Times New Roman"/>
          <w:b/>
          <w:sz w:val="24"/>
          <w:szCs w:val="24"/>
        </w:rPr>
        <w:t>三、其他说明：</w:t>
      </w:r>
    </w:p>
    <w:p>
      <w:pPr>
        <w:tabs>
          <w:tab w:val="left" w:pos="900"/>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 xml:space="preserve"> 1、本工程现场安全文明施工费考虑</w:t>
      </w:r>
      <w:bookmarkStart w:id="0" w:name="_GoBack"/>
      <w:bookmarkEnd w:id="0"/>
      <w:r>
        <w:rPr>
          <w:rFonts w:hint="eastAsia" w:ascii="宋体" w:hAnsi="宋体" w:eastAsia="宋体" w:cs="Times New Roman"/>
          <w:sz w:val="24"/>
          <w:szCs w:val="24"/>
          <w:lang w:val="en-US" w:eastAsia="zh-CN"/>
        </w:rPr>
        <w:t>基本费</w:t>
      </w:r>
      <w:r>
        <w:rPr>
          <w:rFonts w:hint="eastAsia" w:ascii="宋体" w:hAnsi="宋体" w:eastAsia="宋体" w:cs="Times New Roman"/>
          <w:sz w:val="24"/>
          <w:szCs w:val="24"/>
        </w:rPr>
        <w:t>；</w:t>
      </w:r>
    </w:p>
    <w:p>
      <w:pPr>
        <w:tabs>
          <w:tab w:val="left" w:pos="900"/>
        </w:tabs>
        <w:spacing w:line="360" w:lineRule="auto"/>
        <w:jc w:val="left"/>
        <w:rPr>
          <w:rFonts w:hint="eastAsia" w:ascii="宋体" w:hAnsi="宋体" w:eastAsia="宋体" w:cs="Times New Roman"/>
          <w:color w:val="000000" w:themeColor="text1"/>
          <w:sz w:val="24"/>
          <w:szCs w:val="24"/>
          <w:lang w:eastAsia="zh-CN"/>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 xml:space="preserve"> 2、本工程考虑</w:t>
      </w:r>
      <w:r>
        <w:rPr>
          <w:rFonts w:hint="eastAsia" w:ascii="宋体" w:hAnsi="宋体" w:eastAsia="宋体"/>
          <w:color w:val="000000" w:themeColor="text1"/>
          <w:sz w:val="24"/>
          <w:szCs w:val="24"/>
          <w:lang w:val="en-US" w:eastAsia="zh-CN"/>
          <w14:textFill>
            <w14:solidFill>
              <w14:schemeClr w14:val="tx1"/>
            </w14:solidFill>
          </w14:textFill>
        </w:rPr>
        <w:t>暂列金额</w:t>
      </w:r>
      <w:r>
        <w:rPr>
          <w:rFonts w:hint="eastAsia" w:ascii="宋体" w:hAnsi="宋体" w:eastAsia="宋体" w:cs="Times New Roman"/>
          <w:color w:val="000000" w:themeColor="text1"/>
          <w:sz w:val="24"/>
          <w:szCs w:val="24"/>
          <w:lang w:val="en-US" w:eastAsia="zh-CN"/>
          <w14:textFill>
            <w14:solidFill>
              <w14:schemeClr w14:val="tx1"/>
            </w14:solidFill>
          </w14:textFill>
        </w:rPr>
        <w:t>65000</w:t>
      </w:r>
      <w:r>
        <w:rPr>
          <w:rFonts w:hint="eastAsia" w:ascii="宋体" w:hAnsi="宋体" w:eastAsia="宋体" w:cs="Times New Roman"/>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列入新江海河闸下游两岸安全防护、石工建筑物修复等土建部分</w:t>
      </w:r>
      <w:r>
        <w:rPr>
          <w:rFonts w:hint="eastAsia" w:ascii="宋体" w:hAnsi="宋体" w:eastAsia="宋体" w:cs="Times New Roman"/>
          <w:color w:val="000000" w:themeColor="text1"/>
          <w:sz w:val="24"/>
          <w:szCs w:val="24"/>
          <w14:textFill>
            <w14:solidFill>
              <w14:schemeClr w14:val="tx1"/>
            </w14:solidFill>
          </w14:textFill>
        </w:rPr>
        <w:t>单位工程</w:t>
      </w:r>
      <w:r>
        <w:rPr>
          <w:rFonts w:hint="eastAsia" w:ascii="宋体" w:hAnsi="宋体" w:eastAsia="宋体" w:cs="Times New Roman"/>
          <w:color w:val="000000" w:themeColor="text1"/>
          <w:sz w:val="24"/>
          <w:szCs w:val="24"/>
          <w:lang w:eastAsia="zh-CN"/>
          <w14:textFill>
            <w14:solidFill>
              <w14:schemeClr w14:val="tx1"/>
            </w14:solidFill>
          </w14:textFill>
        </w:rPr>
        <w:t>；</w:t>
      </w:r>
    </w:p>
    <w:p>
      <w:pPr>
        <w:tabs>
          <w:tab w:val="left" w:pos="900"/>
        </w:tabs>
        <w:spacing w:line="360" w:lineRule="auto"/>
        <w:jc w:val="left"/>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3、本工程部分材料考虑材料暂估，具体详见清单。</w:t>
      </w:r>
    </w:p>
    <w:p>
      <w:pPr>
        <w:keepNext w:val="0"/>
        <w:keepLines w:val="0"/>
        <w:pageBreakBefore w:val="0"/>
        <w:widowControl w:val="0"/>
        <w:kinsoku/>
        <w:wordWrap/>
        <w:overflowPunct/>
        <w:topLinePunct w:val="0"/>
        <w:autoSpaceDE/>
        <w:autoSpaceDN/>
        <w:bidi w:val="0"/>
        <w:adjustRightInd/>
        <w:snapToGrid/>
        <w:spacing w:after="240" w:afterAutospacing="0" w:line="480" w:lineRule="auto"/>
        <w:textAlignment w:val="auto"/>
        <w:rPr>
          <w:rFonts w:ascii="宋体" w:hAnsi="宋体" w:eastAsia="宋体" w:cs="宋体"/>
          <w:sz w:val="24"/>
          <w:szCs w:val="24"/>
        </w:rPr>
      </w:pPr>
    </w:p>
    <w:p>
      <w:pPr>
        <w:jc w:val="both"/>
        <w:rPr>
          <w:rFonts w:hint="default" w:ascii="宋体" w:hAnsi="宋体" w:eastAsia="宋体" w:cs="宋体"/>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EE7A9F"/>
    <w:multiLevelType w:val="singleLevel"/>
    <w:tmpl w:val="4EEE7A9F"/>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A756A1"/>
    <w:rsid w:val="03A75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2019-12-27T07:17:00Z</dcterms:created>
  <dc:creator>娇娇</dc:creator>
  <cp:lastModifiedBy>娇娇</cp:lastModifiedBy>
  <dcterms:modified xsi:type="dcterms:W3CDTF">2019-12-27T07:28:12Z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