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adjustRightInd w:val="0"/>
        <w:snapToGrid w:val="0"/>
        <w:spacing w:before="0" w:after="0" w:line="800" w:lineRule="exact"/>
        <w:jc w:val="center"/>
        <w:textAlignment w:val="baseline"/>
        <w:rPr>
          <w:rFonts w:hint="eastAsia" w:ascii="宋体" w:eastAsia="宋体" w:cs="宋体"/>
          <w:color w:val="auto"/>
          <w:w w:val="80"/>
          <w:szCs w:val="44"/>
          <w:highlight w:val="none"/>
          <w:lang w:bidi="ar-SA"/>
        </w:rPr>
      </w:pPr>
      <w:bookmarkStart w:id="1" w:name="_GoBack"/>
      <w:r>
        <w:rPr>
          <w:rFonts w:hint="eastAsia" w:ascii="宋体" w:eastAsia="宋体"/>
          <w:color w:val="auto"/>
          <w:w w:val="80"/>
          <w:szCs w:val="44"/>
          <w:highlight w:val="none"/>
          <w:lang w:eastAsia="zh-CN"/>
        </w:rPr>
        <w:t>长江狼山水源地长效管护自评估项目</w:t>
      </w:r>
      <w:r>
        <w:rPr>
          <w:rFonts w:hint="eastAsia" w:ascii="宋体" w:eastAsia="宋体" w:cs="宋体"/>
          <w:color w:val="auto"/>
          <w:w w:val="80"/>
          <w:szCs w:val="44"/>
          <w:highlight w:val="none"/>
          <w:lang w:bidi="ar-SA"/>
        </w:rPr>
        <w:t>需求</w:t>
      </w:r>
      <w:bookmarkStart w:id="0" w:name="二、项目具体需求说明"/>
      <w:bookmarkEnd w:id="0"/>
    </w:p>
    <w:bookmarkEnd w:id="1"/>
    <w:p>
      <w:pPr>
        <w:snapToGrid w:val="0"/>
        <w:spacing w:line="360" w:lineRule="auto"/>
        <w:ind w:firstLine="422" w:firstLineChars="200"/>
        <w:rPr>
          <w:rFonts w:hint="eastAsia" w:ascii="宋体" w:eastAsia="宋体" w:cs="宋体"/>
          <w:b/>
          <w:sz w:val="21"/>
          <w:szCs w:val="21"/>
          <w:highlight w:val="none"/>
          <w:lang w:bidi="ar-SA"/>
        </w:rPr>
      </w:pPr>
      <w:r>
        <w:rPr>
          <w:rFonts w:hint="eastAsia" w:ascii="宋体" w:eastAsia="宋体" w:cs="宋体"/>
          <w:b/>
          <w:sz w:val="21"/>
          <w:szCs w:val="21"/>
          <w:highlight w:val="none"/>
          <w:lang w:bidi="ar-SA"/>
        </w:rPr>
        <w:t>一、项目内容</w:t>
      </w:r>
    </w:p>
    <w:p>
      <w:pPr>
        <w:widowControl/>
        <w:snapToGrid w:val="0"/>
        <w:spacing w:line="360" w:lineRule="auto"/>
        <w:ind w:firstLine="420" w:firstLineChars="200"/>
        <w:jc w:val="both"/>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根据《集中式饮用水水源地管理与保护规范》要求，对2024年长江狼山水源地长效管护规范化管理情况开展评估并编制评估报告。主要是收集现有资料，现场实地调研，分析整理，形成调查大纲和表格，并根据相关文件要求及方法对水源地各项指标（共4大类29项指标）进行评估。</w:t>
      </w:r>
    </w:p>
    <w:p>
      <w:pPr>
        <w:snapToGrid w:val="0"/>
        <w:spacing w:line="360" w:lineRule="auto"/>
        <w:ind w:firstLine="422" w:firstLineChars="200"/>
        <w:rPr>
          <w:rFonts w:hint="eastAsia" w:ascii="宋体" w:eastAsia="宋体" w:cs="宋体"/>
          <w:b/>
          <w:sz w:val="21"/>
          <w:szCs w:val="21"/>
          <w:highlight w:val="none"/>
          <w:lang w:bidi="ar-SA"/>
        </w:rPr>
      </w:pPr>
      <w:r>
        <w:rPr>
          <w:rFonts w:hint="eastAsia" w:ascii="宋体" w:eastAsia="宋体" w:cs="宋体"/>
          <w:b/>
          <w:sz w:val="21"/>
          <w:szCs w:val="21"/>
          <w:highlight w:val="none"/>
          <w:lang w:bidi="ar-SA"/>
        </w:rPr>
        <w:t>二、主要工作</w:t>
      </w:r>
    </w:p>
    <w:p>
      <w:pPr>
        <w:widowControl/>
        <w:snapToGrid w:val="0"/>
        <w:spacing w:line="360" w:lineRule="auto"/>
        <w:ind w:firstLine="420" w:firstLineChars="200"/>
        <w:jc w:val="both"/>
        <w:rPr>
          <w:rFonts w:hint="eastAsia" w:ascii="宋体" w:eastAsia="宋体" w:cs="宋体"/>
          <w:sz w:val="21"/>
          <w:szCs w:val="21"/>
          <w:highlight w:val="none"/>
          <w:lang w:bidi="ar-SA"/>
        </w:rPr>
      </w:pPr>
      <w:r>
        <w:rPr>
          <w:rFonts w:hint="eastAsia" w:ascii="宋体" w:eastAsia="宋体" w:cs="宋体"/>
          <w:sz w:val="21"/>
          <w:szCs w:val="21"/>
          <w:highlight w:val="none"/>
          <w:lang w:val="en-US" w:eastAsia="zh-CN" w:bidi="ar-SA"/>
        </w:rPr>
        <w:t>1.开展集中式饮用水水源地管理与保护自评估。自评估指标体系</w:t>
      </w:r>
      <w:r>
        <w:rPr>
          <w:rFonts w:hint="eastAsia" w:ascii="宋体" w:eastAsia="宋体" w:cs="宋体"/>
          <w:sz w:val="21"/>
          <w:szCs w:val="21"/>
          <w:highlight w:val="none"/>
          <w:lang w:bidi="ar-SA"/>
        </w:rPr>
        <w:t>包括水量保证、水质安全、组织管理、监测预警</w:t>
      </w:r>
      <w:r>
        <w:rPr>
          <w:rFonts w:hint="eastAsia" w:ascii="宋体" w:eastAsia="宋体" w:cs="宋体"/>
          <w:sz w:val="21"/>
          <w:szCs w:val="21"/>
          <w:highlight w:val="none"/>
          <w:lang w:val="en-US" w:eastAsia="zh-CN" w:bidi="ar-SA"/>
        </w:rPr>
        <w:t>4</w:t>
      </w:r>
      <w:r>
        <w:rPr>
          <w:rFonts w:hint="eastAsia" w:ascii="宋体" w:eastAsia="宋体" w:cs="宋体"/>
          <w:sz w:val="21"/>
          <w:szCs w:val="21"/>
          <w:highlight w:val="none"/>
          <w:lang w:bidi="ar-SA"/>
        </w:rPr>
        <w:t>大类</w:t>
      </w:r>
      <w:r>
        <w:rPr>
          <w:rFonts w:hint="eastAsia" w:ascii="宋体" w:eastAsia="宋体" w:cs="宋体"/>
          <w:sz w:val="21"/>
          <w:szCs w:val="21"/>
          <w:highlight w:val="none"/>
          <w:lang w:val="en-US" w:eastAsia="zh-CN" w:bidi="ar-SA"/>
        </w:rPr>
        <w:t>29项，</w:t>
      </w:r>
      <w:r>
        <w:rPr>
          <w:rFonts w:hint="eastAsia" w:ascii="宋体" w:eastAsia="宋体" w:cs="宋体"/>
          <w:sz w:val="21"/>
          <w:szCs w:val="21"/>
          <w:highlight w:val="none"/>
          <w:lang w:bidi="ar-SA"/>
        </w:rPr>
        <w:t>满分为</w:t>
      </w:r>
      <w:r>
        <w:rPr>
          <w:rFonts w:hint="eastAsia" w:ascii="宋体" w:eastAsia="宋体" w:cs="宋体"/>
          <w:sz w:val="21"/>
          <w:szCs w:val="21"/>
          <w:highlight w:val="none"/>
          <w:lang w:val="en-US" w:eastAsia="zh-CN" w:bidi="ar-SA"/>
        </w:rPr>
        <w:t>1</w:t>
      </w:r>
      <w:r>
        <w:rPr>
          <w:rFonts w:hint="eastAsia" w:ascii="宋体" w:eastAsia="宋体" w:cs="宋体"/>
          <w:sz w:val="21"/>
          <w:szCs w:val="21"/>
          <w:highlight w:val="none"/>
          <w:lang w:bidi="ar-SA"/>
        </w:rPr>
        <w:t>00分</w:t>
      </w:r>
      <w:r>
        <w:rPr>
          <w:rFonts w:hint="eastAsia" w:ascii="宋体" w:eastAsia="宋体" w:cs="宋体"/>
          <w:sz w:val="21"/>
          <w:szCs w:val="21"/>
          <w:highlight w:val="none"/>
          <w:lang w:eastAsia="zh-CN" w:bidi="ar-SA"/>
        </w:rPr>
        <w:t>（</w:t>
      </w:r>
      <w:r>
        <w:rPr>
          <w:rFonts w:hint="eastAsia" w:ascii="宋体" w:eastAsia="宋体" w:cs="宋体"/>
          <w:sz w:val="21"/>
          <w:szCs w:val="21"/>
          <w:highlight w:val="none"/>
          <w:lang w:val="en-US" w:eastAsia="zh-CN" w:bidi="ar-SA"/>
        </w:rPr>
        <w:t xml:space="preserve">详见《规范》附录 G </w:t>
      </w:r>
      <w:r>
        <w:rPr>
          <w:rFonts w:hint="eastAsia" w:ascii="宋体" w:eastAsia="宋体" w:cs="宋体"/>
          <w:sz w:val="21"/>
          <w:szCs w:val="21"/>
          <w:highlight w:val="none"/>
          <w:lang w:eastAsia="zh-CN" w:bidi="ar-SA"/>
        </w:rPr>
        <w:t>）</w:t>
      </w:r>
      <w:r>
        <w:rPr>
          <w:rFonts w:hint="eastAsia" w:ascii="宋体" w:eastAsia="宋体" w:cs="宋体"/>
          <w:sz w:val="21"/>
          <w:szCs w:val="21"/>
          <w:highlight w:val="none"/>
          <w:lang w:bidi="ar-SA"/>
        </w:rPr>
        <w:t>。</w:t>
      </w:r>
    </w:p>
    <w:p>
      <w:pPr>
        <w:pStyle w:val="2"/>
        <w:ind w:left="0" w:leftChars="0" w:firstLine="420" w:firstLineChars="200"/>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2.按照《规范》附录H，编制自评估报告。</w:t>
      </w:r>
    </w:p>
    <w:p>
      <w:pPr>
        <w:snapToGrid w:val="0"/>
        <w:spacing w:line="360" w:lineRule="auto"/>
        <w:ind w:firstLine="422" w:firstLineChars="200"/>
        <w:rPr>
          <w:rFonts w:hint="eastAsia" w:ascii="宋体" w:eastAsia="宋体" w:cs="宋体"/>
          <w:b/>
          <w:bCs/>
          <w:kern w:val="0"/>
          <w:sz w:val="21"/>
          <w:szCs w:val="21"/>
          <w:highlight w:val="none"/>
          <w:lang w:bidi="ar-SA"/>
        </w:rPr>
      </w:pPr>
      <w:r>
        <w:rPr>
          <w:rFonts w:hint="eastAsia" w:ascii="宋体" w:eastAsia="宋体" w:cs="宋体"/>
          <w:b/>
          <w:bCs/>
          <w:kern w:val="0"/>
          <w:sz w:val="21"/>
          <w:szCs w:val="21"/>
          <w:highlight w:val="none"/>
          <w:lang w:bidi="ar-SA"/>
        </w:rPr>
        <w:t>三、评估方法</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（一）自评估</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1.水量保证评估主要工作方法：分析取水口安全、取水许可管理、年度水量保障满足程度和供水设施运行管理等情况，并按照评估体系打分；</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2.水质评估主要工作方法：分析年度水质达标、保护区管理、隔离防护、标牌设立等情况，并按照评估体系打分；</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 xml:space="preserve">3.组织管理评估主要工作方法：分析达标建设、管理机构、制度建设、规划编制、档案管理等情况，并按照评估体系打分； </w:t>
      </w:r>
    </w:p>
    <w:p>
      <w:pPr>
        <w:widowControl/>
        <w:snapToGrid w:val="0"/>
        <w:spacing w:line="360" w:lineRule="auto"/>
        <w:ind w:firstLine="420" w:firstLineChars="200"/>
        <w:jc w:val="left"/>
        <w:rPr>
          <w:rFonts w:hint="eastAsia" w:ascii="宋体" w:eastAsia="宋体" w:cs="宋体"/>
          <w:b/>
          <w:kern w:val="0"/>
          <w:sz w:val="21"/>
          <w:szCs w:val="21"/>
          <w:highlight w:val="none"/>
          <w:lang w:bidi="ar-SA"/>
        </w:rPr>
      </w:pPr>
      <w:r>
        <w:rPr>
          <w:rFonts w:hint="eastAsia" w:ascii="宋体" w:eastAsia="宋体" w:cs="宋体"/>
          <w:sz w:val="21"/>
          <w:szCs w:val="21"/>
          <w:highlight w:val="none"/>
          <w:lang w:val="en-US" w:eastAsia="zh-CN" w:bidi="ar-SA"/>
        </w:rPr>
        <w:t>4.监测预警评估主要工作方法：分析水源地水质水量监测、视频监控设施、应急（备用）水源地和应急保障能力等情况，并按照评估体系打分；</w:t>
      </w:r>
      <w:r>
        <w:rPr>
          <w:rFonts w:hint="eastAsia" w:ascii="宋体" w:eastAsia="宋体" w:cs="宋体"/>
          <w:b/>
          <w:kern w:val="0"/>
          <w:sz w:val="21"/>
          <w:szCs w:val="21"/>
          <w:highlight w:val="none"/>
          <w:lang w:val="en-US" w:eastAsia="zh-CN" w:bidi="ar-SA"/>
        </w:rPr>
        <w:t xml:space="preserve"> </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对比上一年度评估情况，分析分析水源地在水量、水质、管理、监测预警等方面的年际变化情况。</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（二）问题情况及处理建议</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 xml:space="preserve">对自评估过程中发现的问题及处理情况进行分析。 </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sz w:val="21"/>
          <w:szCs w:val="21"/>
          <w:highlight w:val="none"/>
          <w:lang w:val="en-US" w:eastAsia="zh-CN" w:bidi="ar-SA"/>
        </w:rPr>
        <w:t>（三）水源地管理与保护工作建议</w:t>
      </w:r>
    </w:p>
    <w:p>
      <w:pPr>
        <w:widowControl/>
        <w:snapToGrid w:val="0"/>
        <w:spacing w:line="360" w:lineRule="auto"/>
        <w:ind w:firstLine="420" w:firstLineChars="200"/>
        <w:jc w:val="left"/>
        <w:rPr>
          <w:rFonts w:hint="eastAsia" w:ascii="宋体" w:eastAsia="宋体" w:cs="宋体"/>
          <w:sz w:val="21"/>
          <w:szCs w:val="21"/>
          <w:highlight w:val="none"/>
          <w:lang w:val="en-US" w:eastAsia="zh-CN" w:bidi="ar-SA"/>
        </w:rPr>
      </w:pPr>
      <w:r>
        <w:rPr>
          <w:rFonts w:hint="eastAsia" w:ascii="宋体" w:eastAsia="宋体" w:cs="宋体"/>
          <w:kern w:val="2"/>
          <w:sz w:val="21"/>
          <w:szCs w:val="21"/>
          <w:highlight w:val="none"/>
          <w:lang w:val="en-US" w:eastAsia="zh-CN" w:bidi="ar-SA"/>
        </w:rPr>
        <w:t>对</w:t>
      </w:r>
      <w:r>
        <w:rPr>
          <w:rFonts w:hint="eastAsia" w:ascii="宋体" w:eastAsia="宋体" w:cs="宋体"/>
          <w:sz w:val="21"/>
          <w:szCs w:val="21"/>
          <w:highlight w:val="none"/>
          <w:lang w:val="en-US" w:eastAsia="zh-CN" w:bidi="ar-SA"/>
        </w:rPr>
        <w:t>该水源地管理与保护工作提出建议。</w:t>
      </w:r>
    </w:p>
    <w:p>
      <w:pPr>
        <w:snapToGrid w:val="0"/>
        <w:spacing w:line="360" w:lineRule="auto"/>
        <w:ind w:firstLine="422" w:firstLineChars="200"/>
        <w:rPr>
          <w:rFonts w:hint="eastAsia" w:ascii="宋体" w:eastAsia="宋体" w:cs="宋体"/>
          <w:b/>
          <w:bCs/>
          <w:kern w:val="0"/>
          <w:sz w:val="21"/>
          <w:szCs w:val="21"/>
          <w:highlight w:val="none"/>
          <w:lang w:bidi="ar-SA"/>
        </w:rPr>
      </w:pPr>
      <w:r>
        <w:rPr>
          <w:rFonts w:hint="eastAsia" w:ascii="宋体" w:eastAsia="宋体" w:cs="宋体"/>
          <w:b/>
          <w:bCs/>
          <w:kern w:val="0"/>
          <w:sz w:val="21"/>
          <w:szCs w:val="21"/>
          <w:highlight w:val="none"/>
          <w:lang w:bidi="ar-SA"/>
        </w:rPr>
        <w:t>四、商务要求</w:t>
      </w:r>
    </w:p>
    <w:p>
      <w:pPr>
        <w:tabs>
          <w:tab w:val="left" w:pos="3585"/>
        </w:tabs>
        <w:spacing w:line="360" w:lineRule="auto"/>
        <w:ind w:firstLine="403" w:firstLineChars="192"/>
        <w:rPr>
          <w:rFonts w:hint="eastAsia" w:ascii="宋体" w:eastAsia="宋体" w:cs="宋体"/>
          <w:bCs/>
          <w:sz w:val="21"/>
          <w:szCs w:val="21"/>
          <w:highlight w:val="none"/>
          <w:lang w:bidi="ar-SA"/>
        </w:rPr>
      </w:pPr>
      <w:r>
        <w:rPr>
          <w:rFonts w:hint="eastAsia" w:ascii="宋体" w:eastAsia="宋体" w:cs="宋体"/>
          <w:sz w:val="21"/>
          <w:szCs w:val="21"/>
          <w:highlight w:val="none"/>
          <w:lang w:val="en-US" w:eastAsia="zh-CN" w:bidi="ar-SA"/>
        </w:rPr>
        <w:t>1</w:t>
      </w:r>
      <w:r>
        <w:rPr>
          <w:rFonts w:hint="eastAsia" w:ascii="宋体" w:eastAsia="宋体" w:cs="宋体"/>
          <w:sz w:val="21"/>
          <w:szCs w:val="21"/>
          <w:highlight w:val="none"/>
          <w:lang w:bidi="ar-SA"/>
        </w:rPr>
        <w:t>.项目实施</w:t>
      </w:r>
      <w:r>
        <w:rPr>
          <w:rFonts w:hint="eastAsia" w:ascii="宋体" w:eastAsia="宋体" w:cs="宋体"/>
          <w:bCs/>
          <w:sz w:val="21"/>
          <w:szCs w:val="21"/>
          <w:highlight w:val="none"/>
          <w:lang w:bidi="ar-SA"/>
        </w:rPr>
        <w:t>期限：</w:t>
      </w:r>
      <w:r>
        <w:rPr>
          <w:rFonts w:hint="eastAsia" w:ascii="宋体" w:eastAsia="宋体" w:cs="宋体"/>
          <w:bCs/>
          <w:sz w:val="21"/>
          <w:szCs w:val="21"/>
          <w:highlight w:val="none"/>
          <w:lang w:val="en-US" w:eastAsia="zh-CN" w:bidi="ar-SA"/>
        </w:rPr>
        <w:t>2024年11月底前</w:t>
      </w:r>
      <w:r>
        <w:rPr>
          <w:rFonts w:hint="eastAsia" w:ascii="宋体" w:eastAsia="宋体" w:cs="宋体"/>
          <w:bCs/>
          <w:sz w:val="21"/>
          <w:szCs w:val="21"/>
          <w:highlight w:val="none"/>
          <w:lang w:bidi="ar-SA"/>
        </w:rPr>
        <w:t>完成。</w:t>
      </w:r>
    </w:p>
    <w:p>
      <w:pPr>
        <w:tabs>
          <w:tab w:val="left" w:pos="3585"/>
        </w:tabs>
        <w:spacing w:line="360" w:lineRule="auto"/>
        <w:ind w:firstLine="403" w:firstLineChars="192"/>
        <w:rPr>
          <w:rFonts w:hint="eastAsia" w:ascii="宋体" w:eastAsia="宋体" w:cs="宋体"/>
          <w:bCs/>
          <w:sz w:val="21"/>
          <w:szCs w:val="21"/>
          <w:highlight w:val="none"/>
          <w:lang w:bidi="ar-SA"/>
        </w:rPr>
      </w:pPr>
      <w:r>
        <w:rPr>
          <w:rFonts w:hint="eastAsia" w:ascii="宋体" w:eastAsia="宋体" w:cs="宋体"/>
          <w:bCs/>
          <w:sz w:val="21"/>
          <w:szCs w:val="21"/>
          <w:highlight w:val="none"/>
          <w:lang w:val="en-US" w:eastAsia="zh-CN" w:bidi="ar-SA"/>
        </w:rPr>
        <w:t>2</w:t>
      </w:r>
      <w:r>
        <w:rPr>
          <w:rFonts w:hint="eastAsia" w:ascii="宋体" w:eastAsia="宋体" w:cs="宋体"/>
          <w:bCs/>
          <w:sz w:val="21"/>
          <w:szCs w:val="21"/>
          <w:highlight w:val="none"/>
          <w:lang w:bidi="ar-SA"/>
        </w:rPr>
        <w:t>.项目服务地点：采购人指定地点。</w:t>
      </w:r>
    </w:p>
    <w:p>
      <w:pPr>
        <w:spacing w:line="360" w:lineRule="auto"/>
        <w:ind w:firstLine="420" w:firstLineChars="200"/>
        <w:contextualSpacing/>
        <w:rPr>
          <w:rFonts w:hint="eastAsia" w:ascii="宋体" w:eastAsia="宋体" w:cs="宋体"/>
          <w:sz w:val="21"/>
          <w:szCs w:val="21"/>
          <w:highlight w:val="none"/>
          <w:lang w:bidi="ar-SA"/>
        </w:rPr>
      </w:pPr>
      <w:r>
        <w:rPr>
          <w:rFonts w:hint="eastAsia" w:ascii="宋体" w:eastAsia="宋体" w:cs="宋体"/>
          <w:bCs/>
          <w:sz w:val="21"/>
          <w:szCs w:val="21"/>
          <w:highlight w:val="none"/>
          <w:lang w:val="en-US" w:eastAsia="zh-CN" w:bidi="ar-SA"/>
        </w:rPr>
        <w:t>3</w:t>
      </w:r>
      <w:r>
        <w:rPr>
          <w:rFonts w:hint="eastAsia" w:ascii="宋体" w:eastAsia="宋体" w:cs="宋体"/>
          <w:bCs/>
          <w:sz w:val="21"/>
          <w:szCs w:val="21"/>
          <w:highlight w:val="none"/>
          <w:lang w:bidi="ar-SA"/>
        </w:rPr>
        <w:t>.付款方式：本项目分2次付款。合同签订后10个工作日内支付合同金额的</w:t>
      </w:r>
      <w:r>
        <w:rPr>
          <w:rFonts w:hint="eastAsia" w:ascii="宋体" w:cs="宋体"/>
          <w:bCs/>
          <w:sz w:val="21"/>
          <w:szCs w:val="21"/>
          <w:highlight w:val="none"/>
          <w:lang w:val="en-US" w:eastAsia="zh-CN" w:bidi="ar-SA"/>
        </w:rPr>
        <w:t>7</w:t>
      </w:r>
      <w:r>
        <w:rPr>
          <w:rFonts w:hint="eastAsia" w:ascii="宋体" w:eastAsia="宋体" w:cs="宋体"/>
          <w:bCs/>
          <w:sz w:val="21"/>
          <w:szCs w:val="21"/>
          <w:highlight w:val="none"/>
          <w:lang w:bidi="ar-SA"/>
        </w:rPr>
        <w:t>0％，项目完成并</w:t>
      </w:r>
      <w:r>
        <w:rPr>
          <w:rFonts w:hint="eastAsia" w:ascii="宋体" w:eastAsia="宋体" w:cs="宋体"/>
          <w:bCs/>
          <w:sz w:val="21"/>
          <w:szCs w:val="21"/>
          <w:highlight w:val="none"/>
          <w:lang w:val="en-US" w:eastAsia="zh-CN" w:bidi="ar-SA"/>
        </w:rPr>
        <w:t>提交自评估报告，经采购人审核通过</w:t>
      </w:r>
      <w:r>
        <w:rPr>
          <w:rFonts w:hint="eastAsia" w:ascii="宋体" w:eastAsia="宋体" w:cs="宋体"/>
          <w:bCs/>
          <w:sz w:val="21"/>
          <w:szCs w:val="21"/>
          <w:highlight w:val="none"/>
          <w:lang w:bidi="ar-SA"/>
        </w:rPr>
        <w:t>后10个工作日内支付余款。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946EE"/>
    <w:rsid w:val="009476F7"/>
    <w:rsid w:val="01705C99"/>
    <w:rsid w:val="04723F17"/>
    <w:rsid w:val="098E7907"/>
    <w:rsid w:val="0FC26D88"/>
    <w:rsid w:val="100828AD"/>
    <w:rsid w:val="147E133E"/>
    <w:rsid w:val="167421DE"/>
    <w:rsid w:val="187675E6"/>
    <w:rsid w:val="1946255C"/>
    <w:rsid w:val="1AE42514"/>
    <w:rsid w:val="1B1E6DD1"/>
    <w:rsid w:val="1B9362C3"/>
    <w:rsid w:val="2418219D"/>
    <w:rsid w:val="266D1322"/>
    <w:rsid w:val="27026E1B"/>
    <w:rsid w:val="2A790643"/>
    <w:rsid w:val="2E4946EE"/>
    <w:rsid w:val="32047E1A"/>
    <w:rsid w:val="36BD095F"/>
    <w:rsid w:val="37FF0092"/>
    <w:rsid w:val="383B6F19"/>
    <w:rsid w:val="399E1B8D"/>
    <w:rsid w:val="417032FE"/>
    <w:rsid w:val="46541638"/>
    <w:rsid w:val="467B5DDC"/>
    <w:rsid w:val="51937B70"/>
    <w:rsid w:val="51956720"/>
    <w:rsid w:val="522C70F0"/>
    <w:rsid w:val="5AB24ABD"/>
    <w:rsid w:val="656600F0"/>
    <w:rsid w:val="6FE611FF"/>
    <w:rsid w:val="737050DC"/>
    <w:rsid w:val="73BB0088"/>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uiPriority w:val="0"/>
    <w:pPr>
      <w:keepNext/>
      <w:keepLines/>
      <w:widowControl w:val="0"/>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iPriority w:val="0"/>
    <w:pPr>
      <w:ind w:firstLine="200" w:firstLineChars="200"/>
    </w:pPr>
  </w:style>
  <w:style w:type="paragraph" w:styleId="3">
    <w:name w:val="Body Text Indent"/>
    <w:basedOn w:val="1"/>
    <w:next w:val="4"/>
    <w:uiPriority w:val="0"/>
    <w:pPr>
      <w:spacing w:after="120"/>
      <w:ind w:left="200" w:leftChars="200"/>
    </w:pPr>
    <w:rPr>
      <w:szCs w:val="24"/>
    </w:rPr>
  </w:style>
  <w:style w:type="paragraph" w:styleId="4">
    <w:name w:val="envelope return"/>
    <w:basedOn w:val="1"/>
    <w:uiPriority w:val="0"/>
    <w:pPr>
      <w:snapToGrid w:val="0"/>
    </w:pPr>
    <w:rPr>
      <w:rFonts w:ascii="Arial" w:hAnsi="Arial"/>
    </w:rPr>
  </w:style>
  <w:style w:type="paragraph" w:styleId="6">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2024-06-11T07:23:00Z</dcterms:created>
  <dc:creator>L</dc:creator>
  <cp:lastModifiedBy>L</cp:lastModifiedBy>
  <dcterms:modified xsi:type="dcterms:W3CDTF">2024-06-11T07:24:10Z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4C95CE00C0004895AB8FA286E34CD2B0</vt:lpwstr>
  </property>
</Properties>
</file>