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overflowPunct/>
        <w:topLinePunct w:val="0"/>
        <w:bidi w:val="0"/>
        <w:spacing w:line="360" w:lineRule="auto"/>
        <w:ind w:left="0" w:leftChars="0" w:right="0" w:rightChars="0"/>
        <w:jc w:val="center"/>
        <w:rPr>
          <w:rFonts w:hint="eastAsia" w:ascii="宋体" w:hAnsi="宋体" w:cs="宋体"/>
          <w:b/>
          <w:bCs/>
          <w:color w:val="000000" w:themeColor="text1"/>
          <w:sz w:val="44"/>
          <w:szCs w:val="44"/>
          <w:highlight w:val="none"/>
          <w:u w:val="singl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hint="default" w:ascii="宋体" w:hAnsi="宋体" w:eastAsia="宋体"/>
          <w:b/>
          <w:bCs/>
          <w:color w:val="000000" w:themeColor="text1"/>
          <w:sz w:val="44"/>
          <w:szCs w:val="44"/>
          <w:highlight w:val="none"/>
          <w:lang w:val="en-US" w:eastAsia="zh-CN"/>
          <w14:textFill>
            <w14:solidFill>
              <w14:schemeClr w14:val="tx1"/>
            </w14:solidFill>
          </w14:textFill>
        </w:rPr>
      </w:pPr>
      <w:bookmarkStart w:id="0" w:name="OLE_LINK3"/>
      <w:bookmarkStart w:id="1" w:name="OLE_LINK7"/>
      <w:r>
        <w:rPr>
          <w:rFonts w:hint="eastAsia" w:ascii="宋体" w:hAnsi="宋体" w:cs="宋体"/>
          <w:b/>
          <w:bCs/>
          <w:color w:val="000000" w:themeColor="text1"/>
          <w:sz w:val="44"/>
          <w:szCs w:val="44"/>
          <w:highlight w:val="none"/>
          <w:lang w:val="en-US" w:eastAsia="zh-CN"/>
          <w14:textFill>
            <w14:solidFill>
              <w14:schemeClr w14:val="tx1"/>
            </w14:solidFill>
          </w14:textFill>
        </w:rPr>
        <w:t>2025年通吕闸排架、翼墙等部位防碳化处理</w:t>
      </w:r>
      <w:bookmarkEnd w:id="0"/>
      <w:r>
        <w:rPr>
          <w:rFonts w:hint="eastAsia" w:ascii="宋体" w:hAnsi="宋体" w:cs="宋体"/>
          <w:b/>
          <w:bCs/>
          <w:color w:val="000000" w:themeColor="text1"/>
          <w:sz w:val="44"/>
          <w:szCs w:val="44"/>
          <w:highlight w:val="none"/>
          <w:lang w:val="en-US" w:eastAsia="zh-CN"/>
          <w14:textFill>
            <w14:solidFill>
              <w14:schemeClr w14:val="tx1"/>
            </w14:solidFill>
          </w14:textFill>
        </w:rPr>
        <w:t>（二次）</w:t>
      </w:r>
    </w:p>
    <w:bookmarkEnd w:id="1"/>
    <w:p>
      <w:pPr>
        <w:pageBreakBefore w:val="0"/>
        <w:kinsoku/>
        <w:overflowPunct/>
        <w:topLinePunct w:val="0"/>
        <w:bidi w:val="0"/>
        <w:spacing w:line="360" w:lineRule="auto"/>
        <w:ind w:left="0" w:leftChars="0" w:right="0" w:rightChars="0"/>
        <w:rPr>
          <w:rFonts w:ascii="宋体" w:hAnsi="宋体"/>
          <w:b/>
          <w:bCs/>
          <w:color w:val="000000" w:themeColor="text1"/>
          <w:sz w:val="32"/>
          <w:szCs w:val="32"/>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bCs/>
          <w:color w:val="000000" w:themeColor="text1"/>
          <w:sz w:val="32"/>
          <w:szCs w:val="32"/>
          <w:highlight w:val="none"/>
          <w14:textFill>
            <w14:solidFill>
              <w14:schemeClr w14:val="tx1"/>
            </w14:solidFill>
          </w14:textFill>
        </w:rPr>
      </w:pPr>
    </w:p>
    <w:p>
      <w:pPr>
        <w:pStyle w:val="2"/>
        <w:pageBreakBefore w:val="0"/>
        <w:kinsoku/>
        <w:overflowPunct/>
        <w:topLinePunct w:val="0"/>
        <w:bidi w:val="0"/>
        <w:spacing w:after="0" w:line="360" w:lineRule="auto"/>
        <w:ind w:left="0" w:leftChars="0" w:right="0" w:rightChars="0"/>
        <w:rPr>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84"/>
          <w:szCs w:val="84"/>
          <w:highlight w:val="none"/>
          <w14:textFill>
            <w14:solidFill>
              <w14:schemeClr w14:val="tx1"/>
            </w14:solidFill>
          </w14:textFill>
        </w:rPr>
        <w:t>招标文件</w:t>
      </w:r>
    </w:p>
    <w:p>
      <w:pPr>
        <w:pageBreakBefore w:val="0"/>
        <w:kinsoku/>
        <w:overflowPunct/>
        <w:topLinePunct w:val="0"/>
        <w:bidi w:val="0"/>
        <w:spacing w:line="360" w:lineRule="auto"/>
        <w:ind w:left="0" w:leftChars="0" w:right="0" w:rightChars="0"/>
        <w:jc w:val="center"/>
        <w:rPr>
          <w:rFonts w:ascii="宋体" w:hAnsi="宋体"/>
          <w:color w:val="000000" w:themeColor="text1"/>
          <w:sz w:val="36"/>
          <w:szCs w:val="36"/>
          <w:highlight w:val="none"/>
          <w14:textFill>
            <w14:solidFill>
              <w14:schemeClr w14:val="tx1"/>
            </w14:solidFill>
          </w14:textFill>
        </w:rPr>
      </w:pPr>
      <w:r>
        <w:rPr>
          <w:rFonts w:ascii="宋体" w:hAnsi="宋体"/>
          <w:color w:val="000000" w:themeColor="text1"/>
          <w:sz w:val="36"/>
          <w:szCs w:val="36"/>
          <w:highlight w:val="none"/>
          <w14:textFill>
            <w14:solidFill>
              <w14:schemeClr w14:val="tx1"/>
            </w14:solidFill>
          </w14:textFill>
        </w:rPr>
        <w:t>（工程量清单计价）</w:t>
      </w:r>
    </w:p>
    <w:p>
      <w:pPr>
        <w:pageBreakBefore w:val="0"/>
        <w:shd w:val="clear" w:color="auto" w:fill="FFFFFF"/>
        <w:kinsoku/>
        <w:overflowPunct/>
        <w:topLinePunct w:val="0"/>
        <w:bidi w:val="0"/>
        <w:spacing w:line="360" w:lineRule="auto"/>
        <w:ind w:left="0" w:leftChars="0" w:right="0" w:rightChars="0"/>
        <w:jc w:val="center"/>
        <w:rPr>
          <w:rFonts w:ascii="宋体" w:hAnsi="宋体"/>
          <w:color w:val="000000" w:themeColor="text1"/>
          <w:sz w:val="28"/>
          <w:szCs w:val="28"/>
          <w:highlight w:val="none"/>
          <w14:textFill>
            <w14:solidFill>
              <w14:schemeClr w14:val="tx1"/>
            </w14:solidFill>
          </w14:textFill>
        </w:rPr>
      </w:pPr>
    </w:p>
    <w:p>
      <w:pPr>
        <w:pStyle w:val="2"/>
        <w:pageBreakBefore w:val="0"/>
        <w:kinsoku/>
        <w:overflowPunct/>
        <w:topLinePunct w:val="0"/>
        <w:bidi w:val="0"/>
        <w:spacing w:after="0" w:line="360" w:lineRule="auto"/>
        <w:ind w:left="0" w:leftChars="0" w:right="0" w:rightChars="0"/>
        <w:rPr>
          <w:color w:val="000000" w:themeColor="text1"/>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2660" w:firstLineChars="95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2660" w:firstLineChars="95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2660" w:firstLineChars="95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2660" w:firstLineChars="95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2660" w:firstLineChars="95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rPr>
          <w:rFonts w:ascii="宋体" w:hAnsi="宋体"/>
          <w:color w:val="000000" w:themeColor="text1"/>
          <w:sz w:val="28"/>
          <w:szCs w:val="28"/>
          <w:highlight w:val="none"/>
          <w14:textFill>
            <w14:solidFill>
              <w14:schemeClr w14:val="tx1"/>
            </w14:solidFill>
          </w14:textFill>
        </w:rPr>
      </w:pPr>
    </w:p>
    <w:p>
      <w:pPr>
        <w:pageBreakBefore w:val="0"/>
        <w:shd w:val="clear" w:color="auto" w:fill="FFFFFF"/>
        <w:kinsoku/>
        <w:overflowPunct/>
        <w:topLinePunct w:val="0"/>
        <w:bidi w:val="0"/>
        <w:spacing w:line="360" w:lineRule="auto"/>
        <w:ind w:left="0" w:leftChars="0" w:right="0" w:rightChars="0" w:firstLine="3040" w:firstLineChars="950"/>
        <w:rPr>
          <w:rFonts w:ascii="宋体" w:hAnsi="宋体"/>
          <w:color w:val="000000" w:themeColor="text1"/>
          <w:sz w:val="32"/>
          <w:szCs w:val="32"/>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150"/>
        <w:rPr>
          <w:rFonts w:ascii="宋体" w:hAnsi="宋体"/>
          <w:color w:val="000000" w:themeColor="text1"/>
          <w:sz w:val="32"/>
          <w:szCs w:val="32"/>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1405" w:firstLineChars="500"/>
        <w:rPr>
          <w:rFonts w:ascii="宋体" w:hAnsi="宋体" w:cs="宋体"/>
          <w:b/>
          <w:bCs/>
          <w:color w:val="000000" w:themeColor="text1"/>
          <w:kern w:val="0"/>
          <w:sz w:val="28"/>
          <w:szCs w:val="28"/>
          <w:highlight w:val="none"/>
          <w:u w:val="single"/>
          <w14:textFill>
            <w14:solidFill>
              <w14:schemeClr w14:val="tx1"/>
            </w14:solidFill>
          </w14:textFill>
        </w:rPr>
      </w:pPr>
      <w:bookmarkStart w:id="2" w:name="_Toc380680177"/>
      <w:bookmarkStart w:id="3" w:name="_Toc427744852"/>
      <w:bookmarkStart w:id="4" w:name="_Toc380681010"/>
      <w:bookmarkStart w:id="5" w:name="_Toc380680817"/>
      <w:bookmarkStart w:id="6" w:name="_Toc380681229"/>
      <w:r>
        <w:rPr>
          <w:rFonts w:hint="eastAsia" w:ascii="宋体" w:hAnsi="宋体" w:cs="宋体"/>
          <w:b/>
          <w:color w:val="000000" w:themeColor="text1"/>
          <w:sz w:val="28"/>
          <w:szCs w:val="28"/>
          <w:highlight w:val="none"/>
          <w14:textFill>
            <w14:solidFill>
              <w14:schemeClr w14:val="tx1"/>
            </w14:solidFill>
          </w14:textFill>
        </w:rPr>
        <w:t>招  标 单 位：</w:t>
      </w:r>
      <w:bookmarkStart w:id="7" w:name="OLE_LINK8"/>
      <w:r>
        <w:rPr>
          <w:rFonts w:hint="eastAsia" w:ascii="宋体" w:hAnsi="宋体" w:cs="宋体"/>
          <w:b/>
          <w:bCs/>
          <w:color w:val="000000" w:themeColor="text1"/>
          <w:kern w:val="0"/>
          <w:sz w:val="28"/>
          <w:szCs w:val="28"/>
          <w:highlight w:val="none"/>
          <w:u w:val="single"/>
          <w14:textFill>
            <w14:solidFill>
              <w14:schemeClr w14:val="tx1"/>
            </w14:solidFill>
          </w14:textFill>
        </w:rPr>
        <w:t>南通市通吕运河水利工程管理所</w:t>
      </w:r>
      <w:bookmarkEnd w:id="7"/>
    </w:p>
    <w:p>
      <w:pPr>
        <w:pageBreakBefore w:val="0"/>
        <w:kinsoku/>
        <w:overflowPunct/>
        <w:topLinePunct w:val="0"/>
        <w:bidi w:val="0"/>
        <w:spacing w:line="360" w:lineRule="auto"/>
        <w:ind w:left="0" w:leftChars="0" w:right="0" w:rightChars="0" w:firstLine="1405" w:firstLineChars="500"/>
        <w:rPr>
          <w:rFonts w:hint="eastAsia" w:ascii="宋体" w:hAnsi="宋体" w:cs="宋体"/>
          <w:b/>
          <w:bCs/>
          <w:color w:val="000000" w:themeColor="text1"/>
          <w:kern w:val="0"/>
          <w:sz w:val="28"/>
          <w:szCs w:val="28"/>
          <w:highlight w:val="none"/>
          <w:u w:val="single"/>
          <w:lang w:eastAsia="zh-CN"/>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招标代理机构：</w:t>
      </w:r>
      <w:r>
        <w:rPr>
          <w:rFonts w:hint="eastAsia" w:ascii="宋体" w:hAnsi="宋体" w:cs="宋体"/>
          <w:b/>
          <w:bCs/>
          <w:color w:val="000000" w:themeColor="text1"/>
          <w:kern w:val="0"/>
          <w:sz w:val="28"/>
          <w:szCs w:val="28"/>
          <w:highlight w:val="none"/>
          <w:u w:val="single"/>
          <w:lang w:eastAsia="zh-CN"/>
          <w14:textFill>
            <w14:solidFill>
              <w14:schemeClr w14:val="tx1"/>
            </w14:solidFill>
          </w14:textFill>
        </w:rPr>
        <w:t>江苏建博工程管理咨询有限公司</w:t>
      </w:r>
    </w:p>
    <w:p>
      <w:pPr>
        <w:pageBreakBefore w:val="0"/>
        <w:kinsoku/>
        <w:overflowPunct/>
        <w:topLinePunct w:val="0"/>
        <w:bidi w:val="0"/>
        <w:spacing w:line="360" w:lineRule="auto"/>
        <w:ind w:left="0" w:leftChars="0" w:right="0" w:rightChars="0" w:firstLine="1405" w:firstLineChars="500"/>
        <w:jc w:val="left"/>
        <w:rPr>
          <w:rFonts w:hint="eastAsia" w:ascii="宋体" w:hAnsi="宋体" w:cs="宋体"/>
          <w:b/>
          <w:bCs/>
          <w:color w:val="000000" w:themeColor="text1"/>
          <w:kern w:val="0"/>
          <w:sz w:val="28"/>
          <w:szCs w:val="28"/>
          <w:highlight w:val="none"/>
          <w:u w:val="singl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日</w:t>
      </w:r>
      <w:r>
        <w:rPr>
          <w:rFonts w:hint="eastAsia" w:ascii="宋体" w:hAnsi="宋体" w:cs="宋体"/>
          <w:b/>
          <w:bCs/>
          <w:color w:val="000000" w:themeColor="text1"/>
          <w:sz w:val="28"/>
          <w:szCs w:val="28"/>
          <w:highlight w:val="none"/>
          <w:lang w:val="en-US" w:eastAsia="zh-CN"/>
          <w14:textFill>
            <w14:solidFill>
              <w14:schemeClr w14:val="tx1"/>
            </w14:solidFill>
          </w14:textFill>
        </w:rPr>
        <w:t xml:space="preserve">        </w:t>
      </w:r>
      <w:r>
        <w:rPr>
          <w:rFonts w:hint="eastAsia" w:ascii="宋体" w:hAnsi="宋体" w:cs="宋体"/>
          <w:b/>
          <w:bCs/>
          <w:color w:val="000000" w:themeColor="text1"/>
          <w:sz w:val="28"/>
          <w:szCs w:val="28"/>
          <w:highlight w:val="none"/>
          <w14:textFill>
            <w14:solidFill>
              <w14:schemeClr w14:val="tx1"/>
            </w14:solidFill>
          </w14:textFill>
        </w:rPr>
        <w:t>期：</w:t>
      </w:r>
      <w:r>
        <w:rPr>
          <w:rFonts w:ascii="宋体" w:hAnsi="宋体" w:cs="宋体"/>
          <w:b/>
          <w:bCs/>
          <w:color w:val="000000" w:themeColor="text1"/>
          <w:kern w:val="0"/>
          <w:sz w:val="28"/>
          <w:szCs w:val="28"/>
          <w:highlight w:val="none"/>
          <w:u w:val="single"/>
          <w14:textFill>
            <w14:solidFill>
              <w14:schemeClr w14:val="tx1"/>
            </w14:solidFill>
          </w14:textFill>
        </w:rPr>
        <w:t>202</w:t>
      </w:r>
      <w:r>
        <w:rPr>
          <w:rFonts w:hint="eastAsia" w:ascii="宋体" w:hAnsi="宋体" w:cs="宋体"/>
          <w:b/>
          <w:bCs/>
          <w:color w:val="000000" w:themeColor="text1"/>
          <w:kern w:val="0"/>
          <w:sz w:val="28"/>
          <w:szCs w:val="28"/>
          <w:highlight w:val="none"/>
          <w:u w:val="single"/>
          <w:lang w:val="en-US" w:eastAsia="zh-CN"/>
          <w14:textFill>
            <w14:solidFill>
              <w14:schemeClr w14:val="tx1"/>
            </w14:solidFill>
          </w14:textFill>
        </w:rPr>
        <w:t>5</w:t>
      </w:r>
      <w:r>
        <w:rPr>
          <w:rFonts w:hint="eastAsia" w:ascii="宋体" w:hAnsi="宋体" w:cs="宋体"/>
          <w:b/>
          <w:bCs/>
          <w:color w:val="000000" w:themeColor="text1"/>
          <w:kern w:val="0"/>
          <w:sz w:val="28"/>
          <w:szCs w:val="28"/>
          <w:highlight w:val="none"/>
          <w:u w:val="single"/>
          <w14:textFill>
            <w14:solidFill>
              <w14:schemeClr w14:val="tx1"/>
            </w14:solidFill>
          </w14:textFill>
        </w:rPr>
        <w:t>年</w:t>
      </w:r>
      <w:r>
        <w:rPr>
          <w:rFonts w:hint="eastAsia" w:ascii="宋体" w:hAnsi="宋体" w:cs="宋体"/>
          <w:b/>
          <w:bCs/>
          <w:color w:val="000000" w:themeColor="text1"/>
          <w:kern w:val="0"/>
          <w:sz w:val="28"/>
          <w:szCs w:val="28"/>
          <w:highlight w:val="none"/>
          <w:u w:val="single"/>
          <w:lang w:val="en-US" w:eastAsia="zh-CN"/>
          <w14:textFill>
            <w14:solidFill>
              <w14:schemeClr w14:val="tx1"/>
            </w14:solidFill>
          </w14:textFill>
        </w:rPr>
        <w:t>9</w:t>
      </w:r>
      <w:r>
        <w:rPr>
          <w:rFonts w:hint="eastAsia" w:ascii="宋体" w:hAnsi="宋体" w:cs="宋体"/>
          <w:b/>
          <w:bCs/>
          <w:color w:val="000000" w:themeColor="text1"/>
          <w:kern w:val="0"/>
          <w:sz w:val="28"/>
          <w:szCs w:val="28"/>
          <w:highlight w:val="none"/>
          <w:u w:val="single"/>
          <w14:textFill>
            <w14:solidFill>
              <w14:schemeClr w14:val="tx1"/>
            </w14:solidFill>
          </w14:textFill>
        </w:rPr>
        <w:t>月</w:t>
      </w:r>
      <w:r>
        <w:rPr>
          <w:rFonts w:hint="eastAsia" w:ascii="宋体" w:hAnsi="宋体" w:cs="宋体"/>
          <w:b/>
          <w:bCs/>
          <w:color w:val="000000" w:themeColor="text1"/>
          <w:kern w:val="0"/>
          <w:sz w:val="28"/>
          <w:szCs w:val="28"/>
          <w:highlight w:val="none"/>
          <w:u w:val="single"/>
          <w:lang w:val="en-US" w:eastAsia="zh-CN"/>
          <w14:textFill>
            <w14:solidFill>
              <w14:schemeClr w14:val="tx1"/>
            </w14:solidFill>
          </w14:textFill>
        </w:rPr>
        <w:t>17</w:t>
      </w:r>
      <w:r>
        <w:rPr>
          <w:rFonts w:hint="eastAsia" w:ascii="宋体" w:hAnsi="宋体" w:cs="宋体"/>
          <w:b/>
          <w:bCs/>
          <w:color w:val="000000" w:themeColor="text1"/>
          <w:kern w:val="0"/>
          <w:sz w:val="28"/>
          <w:szCs w:val="28"/>
          <w:highlight w:val="none"/>
          <w:u w:val="single"/>
          <w14:textFill>
            <w14:solidFill>
              <w14:schemeClr w14:val="tx1"/>
            </w14:solidFill>
          </w14:textFill>
        </w:rPr>
        <w:t>日</w:t>
      </w:r>
    </w:p>
    <w:p>
      <w:pPr>
        <w:pageBreakBefore w:val="0"/>
        <w:kinsoku/>
        <w:overflowPunct/>
        <w:topLinePunct w:val="0"/>
        <w:bidi w:val="0"/>
        <w:spacing w:line="360" w:lineRule="auto"/>
        <w:ind w:left="0" w:leftChars="0" w:right="0" w:rightChars="0" w:firstLine="1400" w:firstLineChars="500"/>
        <w:jc w:val="both"/>
        <w:rPr>
          <w:rFonts w:ascii="宋体" w:hAnsi="宋体" w:cs="Times New Roman"/>
          <w:color w:val="000000" w:themeColor="text1"/>
          <w:sz w:val="36"/>
          <w:szCs w:val="36"/>
          <w:highlight w:val="none"/>
          <w14:textFill>
            <w14:solidFill>
              <w14:schemeClr w14:val="tx1"/>
            </w14:solidFill>
          </w14:textFill>
        </w:rPr>
      </w:pPr>
      <w:r>
        <w:rPr>
          <w:rFonts w:ascii="宋体" w:hAnsi="宋体" w:cs="宋体"/>
          <w:color w:val="000000" w:themeColor="text1"/>
          <w:kern w:val="0"/>
          <w:sz w:val="28"/>
          <w:szCs w:val="28"/>
          <w:highlight w:val="none"/>
          <w:u w:val="single"/>
          <w14:textFill>
            <w14:solidFill>
              <w14:schemeClr w14:val="tx1"/>
            </w14:solidFill>
          </w14:textFill>
        </w:rPr>
        <w:br w:type="page"/>
      </w:r>
      <w:r>
        <w:rPr>
          <w:rFonts w:ascii="宋体" w:hAnsi="宋体"/>
          <w:color w:val="000000" w:themeColor="text1"/>
          <w:spacing w:val="32"/>
          <w:sz w:val="20"/>
          <w:szCs w:val="24"/>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-264160</wp:posOffset>
                </wp:positionH>
                <wp:positionV relativeFrom="paragraph">
                  <wp:posOffset>-184150</wp:posOffset>
                </wp:positionV>
                <wp:extent cx="635" cy="0"/>
                <wp:effectExtent l="0" t="0" r="0" b="0"/>
                <wp:wrapNone/>
                <wp:docPr id="1" name="直线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margin-left:-20.8pt;margin-top:-14.5pt;height:0pt;width:0.05pt;z-index:251659264;mso-width-relative:page;mso-height-relative:page;" filled="f" stroked="t" coordsize="21600,21600" o:gfxdata="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TETjJ1gAAAAsBAAAPAAAAAAAA&#10;AAEAIAAAACIAAABkcnMvZG93bnJldi54bWxQSwECFAAUAAAACACHTuJArbIhgNsBAADLAwAADgAA&#10;AAAAAAABACAAAAAlAQAAZHJzL2Uyb0RvYy54bWxQSwUGAAAAAAYABgBZAQAAcgUAAAAA&#10;">
                <v:fill on="f" focussize="0,0"/>
                <v:stroke color="#000000" joinstyle="round"/>
                <v:imagedata o:title=""/>
                <o:lock v:ext="edit" aspectratio="f"/>
              </v:line>
            </w:pict>
          </mc:Fallback>
        </mc:AlternateContent>
      </w:r>
      <w:bookmarkEnd w:id="2"/>
      <w:bookmarkEnd w:id="3"/>
      <w:bookmarkEnd w:id="4"/>
      <w:bookmarkEnd w:id="5"/>
      <w:bookmarkEnd w:id="6"/>
      <w:bookmarkStart w:id="8" w:name="_Toc427744853"/>
      <w:bookmarkStart w:id="9" w:name="_Toc380681011"/>
      <w:bookmarkStart w:id="10" w:name="_Toc380681230"/>
      <w:bookmarkStart w:id="11" w:name="_Toc380680178"/>
      <w:bookmarkStart w:id="12" w:name="_Toc380680818"/>
      <w:r>
        <w:rPr>
          <w:rFonts w:hint="eastAsia" w:ascii="宋体" w:hAnsi="宋体" w:cs="宋体"/>
          <w:color w:val="000000" w:themeColor="text1"/>
          <w:sz w:val="36"/>
          <w:szCs w:val="36"/>
          <w:highlight w:val="none"/>
          <w14:textFill>
            <w14:solidFill>
              <w14:schemeClr w14:val="tx1"/>
            </w14:solidFill>
          </w14:textFill>
        </w:rPr>
        <w:t>第一章 投标须知及投标须知前附表</w:t>
      </w:r>
      <w:bookmarkEnd w:id="8"/>
      <w:bookmarkEnd w:id="9"/>
      <w:bookmarkEnd w:id="10"/>
      <w:bookmarkEnd w:id="11"/>
      <w:bookmarkEnd w:id="12"/>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25"/>
          <w:szCs w:val="25"/>
          <w:highlight w:val="none"/>
          <w14:textFill>
            <w14:solidFill>
              <w14:schemeClr w14:val="tx1"/>
            </w14:solidFill>
          </w14:textFill>
        </w:rPr>
      </w:pPr>
      <w:bookmarkStart w:id="13" w:name="_Toc380681012"/>
      <w:bookmarkStart w:id="14" w:name="_Toc380681231"/>
      <w:bookmarkStart w:id="15" w:name="_Toc380680819"/>
      <w:bookmarkStart w:id="16" w:name="_Toc380680179"/>
      <w:r>
        <w:rPr>
          <w:rFonts w:hint="eastAsia" w:ascii="宋体" w:hAnsi="宋体" w:eastAsia="宋体" w:cs="宋体"/>
          <w:color w:val="000000" w:themeColor="text1"/>
          <w:sz w:val="30"/>
          <w:szCs w:val="30"/>
          <w:highlight w:val="none"/>
          <w14:textFill>
            <w14:solidFill>
              <w14:schemeClr w14:val="tx1"/>
            </w14:solidFill>
          </w14:textFill>
        </w:rPr>
        <w:t>一、投标须知前附表</w:t>
      </w:r>
      <w:bookmarkEnd w:id="13"/>
      <w:bookmarkEnd w:id="14"/>
      <w:bookmarkEnd w:id="15"/>
      <w:bookmarkEnd w:id="16"/>
    </w:p>
    <w:tbl>
      <w:tblPr>
        <w:tblStyle w:val="51"/>
        <w:tblW w:w="942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082"/>
        <w:gridCol w:w="1666"/>
        <w:gridCol w:w="5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904" w:type="dxa"/>
            <w:vAlign w:val="center"/>
          </w:tcPr>
          <w:p>
            <w:pPr>
              <w:pageBreakBefore w:val="0"/>
              <w:kinsoku/>
              <w:overflowPunct/>
              <w:topLinePunct w:val="0"/>
              <w:bidi w:val="0"/>
              <w:spacing w:line="360" w:lineRule="auto"/>
              <w:ind w:left="27" w:leftChars="0" w:right="0" w:rightChars="0" w:hanging="27" w:hangingChars="11"/>
              <w:jc w:val="center"/>
              <w:rPr>
                <w:rFonts w:ascii="宋体" w:hAns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项号</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条款号</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内容</w:t>
            </w:r>
          </w:p>
        </w:tc>
        <w:tc>
          <w:tcPr>
            <w:tcW w:w="5775" w:type="dxa"/>
            <w:vAlign w:val="center"/>
          </w:tcPr>
          <w:p>
            <w:pPr>
              <w:pageBreakBefore w:val="0"/>
              <w:kinsoku/>
              <w:overflowPunct/>
              <w:topLinePunct w:val="0"/>
              <w:bidi w:val="0"/>
              <w:spacing w:line="360" w:lineRule="auto"/>
              <w:ind w:left="0" w:leftChars="0" w:right="0" w:rightChars="0"/>
              <w:jc w:val="center"/>
              <w:rPr>
                <w:rFonts w:ascii="宋体" w:hAns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工程名称</w:t>
            </w:r>
          </w:p>
        </w:tc>
        <w:tc>
          <w:tcPr>
            <w:tcW w:w="5775" w:type="dxa"/>
            <w:vAlign w:val="center"/>
          </w:tcPr>
          <w:p>
            <w:pPr>
              <w:pageBreakBefore w:val="0"/>
              <w:kinsoku/>
              <w:overflowPunct/>
              <w:topLinePunct w:val="0"/>
              <w:bidi w:val="0"/>
              <w:spacing w:line="360" w:lineRule="auto"/>
              <w:ind w:left="0" w:leftChars="0" w:right="0" w:rightChars="0"/>
              <w:jc w:val="left"/>
              <w:rPr>
                <w:rFonts w:hint="eastAsia" w:ascii="宋体" w:hAnsi="宋体" w:eastAsia="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lang w:eastAsia="zh-CN"/>
                <w14:textFill>
                  <w14:solidFill>
                    <w14:schemeClr w14:val="tx1"/>
                  </w14:solidFill>
                </w14:textFill>
              </w:rPr>
              <w:t>2025年通吕闸排架、翼墙等部位防碳化处理（</w:t>
            </w:r>
            <w:r>
              <w:rPr>
                <w:rFonts w:hint="eastAsia" w:ascii="宋体" w:hAnsi="宋体" w:cs="宋体"/>
                <w:color w:val="000000" w:themeColor="text1"/>
                <w:kern w:val="0"/>
                <w:sz w:val="24"/>
                <w:szCs w:val="24"/>
                <w:highlight w:val="none"/>
                <w:lang w:val="en-US" w:eastAsia="zh-CN"/>
                <w14:textFill>
                  <w14:solidFill>
                    <w14:schemeClr w14:val="tx1"/>
                  </w14:solidFill>
                </w14:textFill>
              </w:rPr>
              <w:t>二次</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建设地点</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南通市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建设规模及标段划分</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共分一个标段，合同估算价约人民币</w:t>
            </w:r>
            <w:r>
              <w:rPr>
                <w:rFonts w:hint="eastAsia" w:ascii="宋体" w:hAnsi="宋体" w:cs="宋体"/>
                <w:color w:val="000000" w:themeColor="text1"/>
                <w:sz w:val="24"/>
                <w:szCs w:val="24"/>
                <w:highlight w:val="none"/>
                <w:lang w:val="en-US" w:eastAsia="zh-CN"/>
                <w14:textFill>
                  <w14:solidFill>
                    <w14:schemeClr w14:val="tx1"/>
                  </w14:solidFill>
                </w14:textFill>
              </w:rPr>
              <w:t>46万</w:t>
            </w:r>
            <w:r>
              <w:rPr>
                <w:rFonts w:hint="eastAsia" w:ascii="宋体" w:hAnsi="宋体" w:cs="宋体"/>
                <w:color w:val="000000" w:themeColor="text1"/>
                <w:sz w:val="24"/>
                <w:szCs w:val="24"/>
                <w:highlight w:val="none"/>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4</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承包方式</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包工包料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5</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质量标准</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6</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工期要求</w:t>
            </w:r>
          </w:p>
        </w:tc>
        <w:tc>
          <w:tcPr>
            <w:tcW w:w="5775" w:type="dxa"/>
            <w:vAlign w:val="center"/>
          </w:tcPr>
          <w:p>
            <w:pPr>
              <w:pageBreakBefore w:val="0"/>
              <w:widowControl/>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施工总工期</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60</w:t>
            </w:r>
            <w:r>
              <w:rPr>
                <w:rFonts w:hint="eastAsia" w:ascii="宋体" w:hAnsi="宋体" w:cs="宋体"/>
                <w:color w:val="000000" w:themeColor="text1"/>
                <w:sz w:val="24"/>
                <w:szCs w:val="24"/>
                <w:highlight w:val="none"/>
                <w14:textFill>
                  <w14:solidFill>
                    <w14:schemeClr w14:val="tx1"/>
                  </w14:solidFill>
                </w14:textFill>
              </w:rPr>
              <w:t>日历天。</w:t>
            </w:r>
          </w:p>
          <w:p>
            <w:pPr>
              <w:pageBreakBefore w:val="0"/>
              <w:widowControl/>
              <w:kinsoku/>
              <w:overflowPunct/>
              <w:topLinePunct w:val="0"/>
              <w:bidi w:val="0"/>
              <w:spacing w:line="360" w:lineRule="auto"/>
              <w:ind w:left="0" w:leftChars="0" w:right="0" w:rightChars="0"/>
              <w:jc w:val="left"/>
              <w:rPr>
                <w:rFonts w:ascii="宋体" w:hAnsi="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计划开工时间：</w:t>
            </w:r>
            <w:r>
              <w:rPr>
                <w:rFonts w:ascii="宋体" w:hAnsi="宋体" w:cs="宋体"/>
                <w:color w:val="000000" w:themeColor="text1"/>
                <w:sz w:val="24"/>
                <w:szCs w:val="24"/>
                <w:highlight w:val="none"/>
                <w:u w:val="single"/>
                <w14:textFill>
                  <w14:solidFill>
                    <w14:schemeClr w14:val="tx1"/>
                  </w14:solidFill>
                </w14:textFill>
              </w:rPr>
              <w:t xml:space="preserve"> 202</w:t>
            </w:r>
            <w:r>
              <w:rPr>
                <w:rFonts w:hint="eastAsia" w:ascii="宋体" w:hAnsi="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10</w:t>
            </w:r>
            <w:r>
              <w:rPr>
                <w:rFonts w:hint="eastAsia" w:ascii="宋体" w:hAnsi="宋体" w:cs="宋体"/>
                <w:color w:val="000000" w:themeColor="text1"/>
                <w:sz w:val="24"/>
                <w:szCs w:val="24"/>
                <w:highlight w:val="none"/>
                <w:u w:val="single"/>
                <w14:textFill>
                  <w14:solidFill>
                    <w14:schemeClr w14:val="tx1"/>
                  </w14:solidFill>
                </w14:textFill>
              </w:rPr>
              <w:t>月</w:t>
            </w:r>
            <w:r>
              <w:rPr>
                <w:rFonts w:hint="eastAsia" w:ascii="宋体" w:hAnsi="宋体" w:cs="宋体"/>
                <w:color w:val="000000" w:themeColor="text1"/>
                <w:sz w:val="24"/>
                <w:szCs w:val="24"/>
                <w:highlight w:val="none"/>
                <w14:textFill>
                  <w14:solidFill>
                    <w14:schemeClr w14:val="tx1"/>
                  </w14:solidFill>
                </w14:textFill>
              </w:rPr>
              <w:t>，</w:t>
            </w:r>
          </w:p>
          <w:p>
            <w:pPr>
              <w:pageBreakBefore w:val="0"/>
              <w:widowControl/>
              <w:kinsoku/>
              <w:overflowPunct/>
              <w:topLinePunct w:val="0"/>
              <w:bidi w:val="0"/>
              <w:spacing w:line="360" w:lineRule="auto"/>
              <w:ind w:left="0" w:leftChars="0" w:right="0" w:rightChars="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计划竣工时间：</w:t>
            </w:r>
            <w:r>
              <w:rPr>
                <w:rFonts w:ascii="宋体" w:hAnsi="宋体" w:cs="宋体"/>
                <w:color w:val="000000" w:themeColor="text1"/>
                <w:sz w:val="24"/>
                <w:szCs w:val="24"/>
                <w:highlight w:val="none"/>
                <w:u w:val="single"/>
                <w14:textFill>
                  <w14:solidFill>
                    <w14:schemeClr w14:val="tx1"/>
                  </w14:solidFill>
                </w14:textFill>
              </w:rPr>
              <w:t xml:space="preserve"> 202</w:t>
            </w:r>
            <w:r>
              <w:rPr>
                <w:rFonts w:hint="eastAsia" w:ascii="宋体" w:hAnsi="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12</w:t>
            </w:r>
            <w:r>
              <w:rPr>
                <w:rFonts w:hint="eastAsia" w:ascii="宋体" w:hAnsi="宋体" w:cs="宋体"/>
                <w:color w:val="000000" w:themeColor="text1"/>
                <w:sz w:val="24"/>
                <w:szCs w:val="24"/>
                <w:highlight w:val="none"/>
                <w:u w:val="single"/>
                <w14:textFill>
                  <w14:solidFill>
                    <w14:schemeClr w14:val="tx1"/>
                  </w14:solidFill>
                </w14:textFill>
              </w:rPr>
              <w:t>月</w:t>
            </w:r>
            <w:r>
              <w:rPr>
                <w:rFonts w:hint="eastAsia" w:ascii="宋体" w:hAnsi="宋体" w:cs="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（具体开工时间以发包人签发的开工通知书为准）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7</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资金来源</w:t>
            </w:r>
          </w:p>
        </w:tc>
        <w:tc>
          <w:tcPr>
            <w:tcW w:w="5775" w:type="dxa"/>
            <w:vAlign w:val="center"/>
          </w:tcPr>
          <w:p>
            <w:pPr>
              <w:pageBreakBefore w:val="0"/>
              <w:kinsoku/>
              <w:overflowPunct/>
              <w:topLinePunct w:val="0"/>
              <w:bidi w:val="0"/>
              <w:spacing w:line="360" w:lineRule="auto"/>
              <w:ind w:left="0" w:leftChars="0" w:right="0" w:rightChars="0"/>
              <w:rPr>
                <w:rFonts w:hint="eastAsia" w:ascii="宋体" w:hAnsi="宋体" w:eastAsiaTheme="majorEastAsia"/>
                <w:color w:val="000000" w:themeColor="text1"/>
                <w:sz w:val="24"/>
                <w:szCs w:val="24"/>
                <w:highlight w:val="none"/>
                <w:lang w:eastAsia="zh-CN"/>
                <w14:textFill>
                  <w14:solidFill>
                    <w14:schemeClr w14:val="tx1"/>
                  </w14:solidFill>
                </w14:textFill>
              </w:rPr>
            </w:pPr>
            <w:r>
              <w:rPr>
                <w:rFonts w:hint="eastAsia" w:eastAsiaTheme="majorEastAsia"/>
                <w:color w:val="000000" w:themeColor="text1"/>
                <w:sz w:val="24"/>
                <w:szCs w:val="28"/>
                <w:highlight w:val="none"/>
                <w:u w:val="single"/>
                <w14:textFill>
                  <w14:solidFill>
                    <w14:schemeClr w14:val="tx1"/>
                  </w14:solidFill>
                </w14:textFill>
              </w:rPr>
              <w:t xml:space="preserve"> 2025 年省级财政资金</w:t>
            </w:r>
            <w:r>
              <w:rPr>
                <w:rFonts w:hint="eastAsia" w:eastAsiaTheme="majorEastAsia"/>
                <w:color w:val="000000" w:themeColor="text1"/>
                <w:sz w:val="24"/>
                <w:szCs w:val="28"/>
                <w:highlight w:val="none"/>
                <w:u w:val="single"/>
                <w:lang w:val="en-US" w:eastAsia="zh-CN"/>
                <w14:textFill>
                  <w14:solidFill>
                    <w14:schemeClr w14:val="tx1"/>
                  </w14:solidFill>
                </w14:textFill>
              </w:rPr>
              <w:t>、</w:t>
            </w:r>
            <w:r>
              <w:rPr>
                <w:rFonts w:hint="eastAsia" w:eastAsiaTheme="majorEastAsia"/>
                <w:color w:val="000000" w:themeColor="text1"/>
                <w:sz w:val="24"/>
                <w:szCs w:val="28"/>
                <w:highlight w:val="none"/>
                <w:u w:val="single"/>
                <w14:textFill>
                  <w14:solidFill>
                    <w14:schemeClr w14:val="tx1"/>
                  </w14:solidFill>
                </w14:textFill>
              </w:rPr>
              <w:t>往年省级财政结余资金及管理所年度部门预算职能项目中支出</w:t>
            </w:r>
            <w:r>
              <w:rPr>
                <w:rFonts w:hint="eastAsia" w:eastAsiaTheme="majorEastAsia"/>
                <w:color w:val="000000" w:themeColor="text1"/>
                <w:sz w:val="24"/>
                <w:szCs w:val="28"/>
                <w:highlight w:val="none"/>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8</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1.2</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招标范围</w:t>
            </w:r>
          </w:p>
        </w:tc>
        <w:tc>
          <w:tcPr>
            <w:tcW w:w="577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施工图及工程量清单所示所有内容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9</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16</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工程报价方式</w:t>
            </w:r>
          </w:p>
        </w:tc>
        <w:tc>
          <w:tcPr>
            <w:tcW w:w="577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按工程量清单计价固定单价报价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10</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12</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投标有效期</w:t>
            </w:r>
          </w:p>
        </w:tc>
        <w:tc>
          <w:tcPr>
            <w:tcW w:w="577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为</w:t>
            </w:r>
            <w:r>
              <w:rPr>
                <w:rFonts w:ascii="宋体" w:hAnsi="宋体" w:cs="宋体"/>
                <w:b/>
                <w:bCs/>
                <w:color w:val="000000" w:themeColor="text1"/>
                <w:sz w:val="24"/>
                <w:szCs w:val="24"/>
                <w:highlight w:val="none"/>
                <w:u w:val="single"/>
                <w14:textFill>
                  <w14:solidFill>
                    <w14:schemeClr w14:val="tx1"/>
                  </w14:solidFill>
                </w14:textFill>
              </w:rPr>
              <w:t xml:space="preserve"> 45 </w:t>
            </w:r>
            <w:r>
              <w:rPr>
                <w:rFonts w:hint="eastAsia" w:ascii="宋体" w:hAnsi="宋体" w:cs="宋体"/>
                <w:b/>
                <w:bCs/>
                <w:color w:val="000000" w:themeColor="text1"/>
                <w:sz w:val="24"/>
                <w:szCs w:val="24"/>
                <w:highlight w:val="none"/>
                <w14:textFill>
                  <w14:solidFill>
                    <w14:schemeClr w14:val="tx1"/>
                  </w14:solidFill>
                </w14:textFill>
              </w:rPr>
              <w:t>日历天</w:t>
            </w:r>
            <w:r>
              <w:rPr>
                <w:rFonts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从投标截止之日算起</w:t>
            </w:r>
            <w:r>
              <w:rPr>
                <w:rFonts w:ascii="宋体" w:hAnsi="宋体" w:cs="宋体"/>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11</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14:textFill>
                  <w14:solidFill>
                    <w14:schemeClr w14:val="tx1"/>
                  </w14:solidFill>
                </w14:textFill>
              </w:rPr>
              <w:t>3</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投标保证金额</w:t>
            </w:r>
          </w:p>
        </w:tc>
        <w:tc>
          <w:tcPr>
            <w:tcW w:w="577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本项目不设置投标保证金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12</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6.2</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提交疑问材料</w:t>
            </w:r>
          </w:p>
          <w:p>
            <w:pPr>
              <w:pageBreakBefore w:val="0"/>
              <w:kinsoku/>
              <w:overflowPunct/>
              <w:topLinePunct w:val="0"/>
              <w:bidi w:val="0"/>
              <w:spacing w:line="360" w:lineRule="auto"/>
              <w:ind w:left="0" w:leftChars="0" w:right="0" w:rightChars="0"/>
              <w:jc w:val="center"/>
              <w:rPr>
                <w:rFonts w:ascii="宋体" w:hAnsi="宋体"/>
                <w:color w:val="000000" w:themeColor="text1"/>
                <w:kern w:val="0"/>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时间及方式</w:t>
            </w:r>
          </w:p>
        </w:tc>
        <w:tc>
          <w:tcPr>
            <w:tcW w:w="5775" w:type="dxa"/>
            <w:vAlign w:val="center"/>
          </w:tcPr>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如有疑问需要招标人澄清应在</w:t>
            </w:r>
            <w:r>
              <w:rPr>
                <w:rFonts w:ascii="宋体" w:hAnsi="宋体"/>
                <w:color w:val="000000" w:themeColor="text1"/>
                <w:sz w:val="24"/>
                <w:szCs w:val="24"/>
                <w:highlight w:val="none"/>
                <w:u w:val="single"/>
                <w14:textFill>
                  <w14:solidFill>
                    <w14:schemeClr w14:val="tx1"/>
                  </w14:solidFill>
                </w14:textFill>
              </w:rPr>
              <w:t>202</w:t>
            </w:r>
            <w:r>
              <w:rPr>
                <w:rFonts w:hint="eastAsia" w:ascii="宋体" w:hAnsi="宋体"/>
                <w:color w:val="000000" w:themeColor="text1"/>
                <w:sz w:val="24"/>
                <w:szCs w:val="24"/>
                <w:highlight w:val="none"/>
                <w:u w:val="single"/>
                <w:lang w:val="en-US" w:eastAsia="zh-CN"/>
                <w14:textFill>
                  <w14:solidFill>
                    <w14:schemeClr w14:val="tx1"/>
                  </w14:solidFill>
                </w14:textFill>
              </w:rPr>
              <w:t>5年9</w:t>
            </w:r>
            <w:r>
              <w:rPr>
                <w:rFonts w:ascii="宋体" w:hAnsi="宋体"/>
                <w:color w:val="000000" w:themeColor="text1"/>
                <w:sz w:val="24"/>
                <w:szCs w:val="24"/>
                <w:highlight w:val="none"/>
                <w:u w:val="single"/>
                <w14:textFill>
                  <w14:solidFill>
                    <w14:schemeClr w14:val="tx1"/>
                  </w14:solidFill>
                </w14:textFill>
              </w:rPr>
              <w:t>月</w:t>
            </w:r>
            <w:r>
              <w:rPr>
                <w:rFonts w:hint="eastAsia" w:ascii="宋体" w:hAnsi="宋体"/>
                <w:color w:val="000000" w:themeColor="text1"/>
                <w:sz w:val="24"/>
                <w:szCs w:val="24"/>
                <w:highlight w:val="none"/>
                <w:u w:val="single"/>
                <w:lang w:val="en-US" w:eastAsia="zh-CN"/>
                <w14:textFill>
                  <w14:solidFill>
                    <w14:schemeClr w14:val="tx1"/>
                  </w14:solidFill>
                </w14:textFill>
              </w:rPr>
              <w:t>22</w:t>
            </w:r>
            <w:r>
              <w:rPr>
                <w:rFonts w:ascii="宋体" w:hAnsi="宋体"/>
                <w:color w:val="000000" w:themeColor="text1"/>
                <w:sz w:val="24"/>
                <w:szCs w:val="24"/>
                <w:highlight w:val="none"/>
                <w:u w:val="single"/>
                <w14:textFill>
                  <w14:solidFill>
                    <w14:schemeClr w14:val="tx1"/>
                  </w14:solidFill>
                </w14:textFill>
              </w:rPr>
              <w:t>日17时</w:t>
            </w:r>
            <w:r>
              <w:rPr>
                <w:rFonts w:ascii="宋体" w:hAnsi="宋体"/>
                <w:color w:val="000000" w:themeColor="text1"/>
                <w:sz w:val="24"/>
                <w:szCs w:val="24"/>
                <w:highlight w:val="none"/>
                <w14:textFill>
                  <w14:solidFill>
                    <w14:schemeClr w14:val="tx1"/>
                  </w14:solidFill>
                </w14:textFill>
              </w:rPr>
              <w:t>前以电子文件形式（不具单位名称、不加盖单位公章）发送至指定邮箱</w:t>
            </w:r>
            <w:r>
              <w:rPr>
                <w:rFonts w:ascii="宋体" w:hAnsi="宋体"/>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szCs w:val="24"/>
                <w:highlight w:val="none"/>
                <w:u w:val="single"/>
                <w:lang w:eastAsia="zh-CN"/>
                <w14:textFill>
                  <w14:solidFill>
                    <w14:schemeClr w14:val="tx1"/>
                  </w14:solidFill>
                </w14:textFill>
              </w:rPr>
              <w:t>1552917108</w:t>
            </w:r>
            <w:r>
              <w:rPr>
                <w:rFonts w:hint="eastAsia" w:ascii="宋体" w:hAnsi="宋体"/>
                <w:color w:val="000000" w:themeColor="text1"/>
                <w:sz w:val="24"/>
                <w:szCs w:val="24"/>
                <w:highlight w:val="none"/>
                <w:u w:val="single"/>
                <w14:textFill>
                  <w14:solidFill>
                    <w14:schemeClr w14:val="tx1"/>
                  </w14:solidFill>
                </w14:textFill>
              </w:rPr>
              <w:t>@qq.com</w:t>
            </w:r>
            <w:r>
              <w:rPr>
                <w:rFonts w:ascii="宋体" w:hAnsi="宋体"/>
                <w:color w:val="000000" w:themeColor="text1"/>
                <w:sz w:val="24"/>
                <w:szCs w:val="24"/>
                <w:highlight w:val="none"/>
                <w:u w:val="singl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向招标人提出，招标人予以解答，解答的内容报在</w:t>
            </w:r>
            <w:r>
              <w:rPr>
                <w:rFonts w:hint="eastAsia" w:ascii="宋体" w:hAnsi="宋体"/>
                <w:color w:val="000000" w:themeColor="text1"/>
                <w:sz w:val="24"/>
                <w:szCs w:val="24"/>
                <w:highlight w:val="none"/>
                <w14:textFill>
                  <w14:solidFill>
                    <w14:schemeClr w14:val="tx1"/>
                  </w14:solidFill>
                </w14:textFill>
              </w:rPr>
              <w:t xml:space="preserve"> 南通市水利局-公告公示栏公布。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13</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踏勘现场</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投标人自行踏勘现场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14</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18.2</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招标控制价编制依据</w:t>
            </w:r>
          </w:p>
        </w:tc>
        <w:tc>
          <w:tcPr>
            <w:tcW w:w="5775" w:type="dxa"/>
            <w:vAlign w:val="center"/>
          </w:tcPr>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由建设单位提供的设计图纸等；</w:t>
            </w:r>
          </w:p>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《建设工程工程量清单计价规范》GB50500-2013；</w:t>
            </w:r>
          </w:p>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lang w:eastAsia="zh-CN"/>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3</w:t>
            </w:r>
            <w:r>
              <w:rPr>
                <w:rFonts w:hint="eastAsia" w:ascii="宋体" w:hAnsi="宋体"/>
                <w:color w:val="000000" w:themeColor="text1"/>
                <w:sz w:val="24"/>
                <w:szCs w:val="24"/>
                <w:highlight w:val="none"/>
                <w:lang w:eastAsia="zh-CN"/>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《水利工程工程量清单计价规范》（GB50501-2007）</w:t>
            </w:r>
            <w:r>
              <w:rPr>
                <w:rFonts w:hint="eastAsia" w:ascii="宋体" w:hAnsi="宋体"/>
                <w:color w:val="000000" w:themeColor="text1"/>
                <w:sz w:val="24"/>
                <w:szCs w:val="24"/>
                <w:highlight w:val="none"/>
                <w14:textFill>
                  <w14:solidFill>
                    <w14:schemeClr w14:val="tx1"/>
                  </w14:solidFill>
                </w14:textFill>
              </w:rPr>
              <w:t>；</w:t>
            </w:r>
          </w:p>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4</w:t>
            </w:r>
            <w:r>
              <w:rPr>
                <w:rFonts w:ascii="宋体" w:hAnsi="宋体"/>
                <w:color w:val="000000" w:themeColor="text1"/>
                <w:sz w:val="24"/>
                <w:szCs w:val="24"/>
                <w:highlight w:val="none"/>
                <w14:textFill>
                  <w14:solidFill>
                    <w14:schemeClr w14:val="tx1"/>
                  </w14:solidFill>
                </w14:textFill>
              </w:rPr>
              <w:t>）《江苏省水利工程招标投标文件工程量清单格式》（苏水基[2011]21号</w:t>
            </w:r>
            <w:r>
              <w:rPr>
                <w:rFonts w:hint="eastAsia" w:ascii="宋体" w:hAnsi="宋体"/>
                <w:color w:val="000000" w:themeColor="text1"/>
                <w:sz w:val="24"/>
                <w:szCs w:val="24"/>
                <w:highlight w:val="none"/>
                <w14:textFill>
                  <w14:solidFill>
                    <w14:schemeClr w14:val="tx1"/>
                  </w14:solidFill>
                </w14:textFill>
              </w:rPr>
              <w:t>）；</w:t>
            </w:r>
          </w:p>
          <w:p>
            <w:pPr>
              <w:pageBreakBefore w:val="0"/>
              <w:kinsoku/>
              <w:overflowPunct/>
              <w:topLinePunct w:val="0"/>
              <w:bidi w:val="0"/>
              <w:adjustRightInd w:val="0"/>
              <w:snapToGrid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5</w:t>
            </w: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《江苏省水利预算定额》2010版；</w:t>
            </w:r>
          </w:p>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（6）招标答疑、补充通知或澄清文件。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15</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18.3</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公布的招标控制价文件组成</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建设项目招标控制价汇总表、分部分项工程和单价措施项目清单与计价表、材料价格表……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16</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18.4</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招标控制价</w:t>
            </w:r>
          </w:p>
        </w:tc>
        <w:tc>
          <w:tcPr>
            <w:tcW w:w="5775" w:type="dxa"/>
            <w:vAlign w:val="center"/>
          </w:tcPr>
          <w:p>
            <w:pPr>
              <w:pageBreakBefore w:val="0"/>
              <w:widowControl/>
              <w:kinsoku/>
              <w:overflowPunct/>
              <w:topLinePunct w:val="0"/>
              <w:bidi w:val="0"/>
              <w:spacing w:line="360" w:lineRule="auto"/>
              <w:ind w:left="0" w:leftChars="0" w:right="0" w:rightChars="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 xml:space="preserve">本工程招标控制价：¥ </w:t>
            </w:r>
            <w:r>
              <w:rPr>
                <w:rFonts w:hint="eastAsia" w:ascii="宋体" w:hAnsi="宋体" w:cs="宋体"/>
                <w:color w:val="000000" w:themeColor="text1"/>
                <w:kern w:val="0"/>
                <w:sz w:val="24"/>
                <w:szCs w:val="24"/>
                <w:highlight w:val="none"/>
                <w:lang w:val="en-US" w:eastAsia="zh-CN"/>
                <w14:textFill>
                  <w14:solidFill>
                    <w14:schemeClr w14:val="tx1"/>
                  </w14:solidFill>
                </w14:textFill>
              </w:rPr>
              <w:t>463000.00</w:t>
            </w:r>
            <w:r>
              <w:rPr>
                <w:rFonts w:hint="eastAsia" w:ascii="宋体" w:hAnsi="宋体" w:cs="宋体"/>
                <w:color w:val="000000" w:themeColor="text1"/>
                <w:kern w:val="0"/>
                <w:sz w:val="24"/>
                <w:szCs w:val="24"/>
                <w:highlight w:val="none"/>
                <w14:textFill>
                  <w14:solidFill>
                    <w14:schemeClr w14:val="tx1"/>
                  </w14:solidFill>
                </w14:textFill>
              </w:rPr>
              <w:t>元</w:t>
            </w:r>
          </w:p>
          <w:p>
            <w:pPr>
              <w:pageBreakBefore w:val="0"/>
              <w:widowControl/>
              <w:kinsoku/>
              <w:overflowPunct/>
              <w:topLinePunct w:val="0"/>
              <w:bidi w:val="0"/>
              <w:spacing w:line="360" w:lineRule="auto"/>
              <w:ind w:left="0" w:leftChars="0" w:right="0" w:rightChars="0"/>
              <w:jc w:val="left"/>
              <w:rPr>
                <w:rFonts w:ascii="宋体" w:hAnsi="宋体"/>
                <w:color w:val="000000" w:themeColor="text1"/>
                <w:kern w:val="0"/>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招标控制价等文件同招标文件同时在将在</w:t>
            </w:r>
            <w:r>
              <w:rPr>
                <w:rFonts w:hint="eastAsia" w:ascii="宋体" w:hAnsi="宋体"/>
                <w:color w:val="000000" w:themeColor="text1"/>
                <w:sz w:val="24"/>
                <w:szCs w:val="24"/>
                <w:highlight w:val="none"/>
                <w14:textFill>
                  <w14:solidFill>
                    <w14:schemeClr w14:val="tx1"/>
                  </w14:solidFill>
                </w14:textFill>
              </w:rPr>
              <w:t>南通市水利局-公告公示栏</w:t>
            </w:r>
            <w:r>
              <w:rPr>
                <w:rFonts w:ascii="宋体" w:hAnsi="宋体"/>
                <w:color w:val="000000" w:themeColor="text1"/>
                <w:sz w:val="24"/>
                <w:szCs w:val="24"/>
                <w:highlight w:val="none"/>
                <w14:textFill>
                  <w14:solidFill>
                    <w14:schemeClr w14:val="tx1"/>
                  </w14:solidFill>
                </w14:textFill>
              </w:rPr>
              <w:t>招标板块</w:t>
            </w:r>
            <w:r>
              <w:rPr>
                <w:rFonts w:hint="eastAsia" w:ascii="宋体" w:hAnsi="宋体"/>
                <w:color w:val="000000" w:themeColor="text1"/>
                <w:sz w:val="24"/>
                <w:szCs w:val="24"/>
                <w:highlight w:val="none"/>
                <w14:textFill>
                  <w14:solidFill>
                    <w14:schemeClr w14:val="tx1"/>
                  </w14:solidFill>
                </w14:textFill>
              </w:rPr>
              <w:t>公布</w:t>
            </w:r>
            <w:r>
              <w:rPr>
                <w:rFonts w:ascii="宋体" w:hAnsi="宋体"/>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17</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20.1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投标文件份数</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b/>
                <w:snapToGrid w:val="0"/>
                <w:color w:val="000000" w:themeColor="text1"/>
                <w:kern w:val="0"/>
                <w:sz w:val="24"/>
                <w:szCs w:val="24"/>
                <w:highlight w:val="none"/>
                <w14:textFill>
                  <w14:solidFill>
                    <w14:schemeClr w14:val="tx1"/>
                  </w14:solidFill>
                </w14:textFill>
              </w:rPr>
            </w:pPr>
            <w:r>
              <w:rPr>
                <w:rFonts w:ascii="宋体" w:hAnsi="宋体"/>
                <w:b/>
                <w:snapToGrid w:val="0"/>
                <w:color w:val="000000" w:themeColor="text1"/>
                <w:kern w:val="0"/>
                <w:sz w:val="24"/>
                <w:szCs w:val="24"/>
                <w:highlight w:val="none"/>
                <w14:textFill>
                  <w14:solidFill>
                    <w14:schemeClr w14:val="tx1"/>
                  </w14:solidFill>
                </w14:textFill>
              </w:rPr>
              <w:t>纸质文件正本</w:t>
            </w:r>
            <w:r>
              <w:rPr>
                <w:rFonts w:ascii="宋体" w:hAnsi="宋体"/>
                <w:b/>
                <w:snapToGrid w:val="0"/>
                <w:color w:val="000000" w:themeColor="text1"/>
                <w:kern w:val="0"/>
                <w:sz w:val="24"/>
                <w:szCs w:val="24"/>
                <w:highlight w:val="none"/>
                <w:u w:val="single"/>
                <w14:textFill>
                  <w14:solidFill>
                    <w14:schemeClr w14:val="tx1"/>
                  </w14:solidFill>
                </w14:textFill>
              </w:rPr>
              <w:t xml:space="preserve"> 壹 </w:t>
            </w:r>
            <w:r>
              <w:rPr>
                <w:rFonts w:ascii="宋体" w:hAnsi="宋体"/>
                <w:b/>
                <w:snapToGrid w:val="0"/>
                <w:color w:val="000000" w:themeColor="text1"/>
                <w:kern w:val="0"/>
                <w:sz w:val="24"/>
                <w:szCs w:val="24"/>
                <w:highlight w:val="none"/>
                <w14:textFill>
                  <w14:solidFill>
                    <w14:schemeClr w14:val="tx1"/>
                  </w14:solidFill>
                </w14:textFill>
              </w:rPr>
              <w:t>份</w:t>
            </w:r>
            <w:r>
              <w:rPr>
                <w:rFonts w:hint="eastAsia" w:ascii="宋体" w:hAnsi="宋体"/>
                <w:b/>
                <w:snapToGrid w:val="0"/>
                <w:color w:val="000000" w:themeColor="text1"/>
                <w:kern w:val="0"/>
                <w:sz w:val="24"/>
                <w:szCs w:val="24"/>
                <w:highlight w:val="none"/>
                <w14:textFill>
                  <w14:solidFill>
                    <w14:schemeClr w14:val="tx1"/>
                  </w14:solidFill>
                </w14:textFill>
              </w:rPr>
              <w:t>，副本</w:t>
            </w:r>
            <w:r>
              <w:rPr>
                <w:rFonts w:hint="eastAsia" w:ascii="宋体" w:hAnsi="宋体"/>
                <w:b/>
                <w:snapToGrid w:val="0"/>
                <w:color w:val="000000" w:themeColor="text1"/>
                <w:kern w:val="0"/>
                <w:sz w:val="24"/>
                <w:szCs w:val="24"/>
                <w:highlight w:val="none"/>
                <w:u w:val="single"/>
                <w14:textFill>
                  <w14:solidFill>
                    <w14:schemeClr w14:val="tx1"/>
                  </w14:solidFill>
                </w14:textFill>
              </w:rPr>
              <w:t xml:space="preserve"> 贰 </w:t>
            </w:r>
            <w:r>
              <w:rPr>
                <w:rFonts w:hint="eastAsia" w:ascii="宋体" w:hAnsi="宋体"/>
                <w:b/>
                <w:snapToGrid w:val="0"/>
                <w:color w:val="000000" w:themeColor="text1"/>
                <w:kern w:val="0"/>
                <w:sz w:val="24"/>
                <w:szCs w:val="24"/>
                <w:highlight w:val="none"/>
                <w14:textFill>
                  <w14:solidFill>
                    <w14:schemeClr w14:val="tx1"/>
                  </w14:solidFill>
                </w14:textFill>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18</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21</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投标文件提交地点及截止时间</w:t>
            </w:r>
          </w:p>
        </w:tc>
        <w:tc>
          <w:tcPr>
            <w:tcW w:w="5775" w:type="dxa"/>
            <w:vAlign w:val="center"/>
          </w:tcPr>
          <w:p>
            <w:pPr>
              <w:pageBreakBefore w:val="0"/>
              <w:kinsoku/>
              <w:overflowPunct/>
              <w:topLinePunct w:val="0"/>
              <w:bidi w:val="0"/>
              <w:spacing w:line="360" w:lineRule="auto"/>
              <w:ind w:left="0" w:leftChars="0" w:right="0" w:rightChars="0"/>
              <w:jc w:val="left"/>
              <w:rPr>
                <w:rFonts w:hint="eastAsia" w:ascii="宋体" w:hAnsi="宋体" w:eastAsia="宋体"/>
                <w:b/>
                <w:color w:val="000000" w:themeColor="text1"/>
                <w:sz w:val="24"/>
                <w:szCs w:val="24"/>
                <w:highlight w:val="none"/>
                <w:lang w:eastAsia="zh-CN"/>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收件人：</w:t>
            </w:r>
            <w:r>
              <w:rPr>
                <w:rFonts w:hint="eastAsia" w:ascii="宋体" w:hAnsi="宋体"/>
                <w:b/>
                <w:color w:val="000000" w:themeColor="text1"/>
                <w:sz w:val="24"/>
                <w:szCs w:val="24"/>
                <w:highlight w:val="none"/>
                <w:lang w:eastAsia="zh-CN"/>
                <w14:textFill>
                  <w14:solidFill>
                    <w14:schemeClr w14:val="tx1"/>
                  </w14:solidFill>
                </w14:textFill>
              </w:rPr>
              <w:t>江苏建博工程管理咨询有限公司</w:t>
            </w:r>
          </w:p>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u w:val="singl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截止时间：</w:t>
            </w:r>
            <w:r>
              <w:rPr>
                <w:rFonts w:hint="eastAsia" w:ascii="宋体" w:hAnsi="宋体"/>
                <w:b/>
                <w:bCs/>
                <w:color w:val="000000" w:themeColor="text1"/>
                <w:sz w:val="24"/>
                <w:szCs w:val="24"/>
                <w:highlight w:val="none"/>
                <w:u w:val="single"/>
                <w14:textFill>
                  <w14:solidFill>
                    <w14:schemeClr w14:val="tx1"/>
                  </w14:solidFill>
                </w14:textFill>
              </w:rPr>
              <w:t>202</w:t>
            </w:r>
            <w:r>
              <w:rPr>
                <w:rFonts w:hint="eastAsia" w:ascii="宋体" w:hAnsi="宋体"/>
                <w:b/>
                <w:bCs/>
                <w:color w:val="000000" w:themeColor="text1"/>
                <w:sz w:val="24"/>
                <w:szCs w:val="24"/>
                <w:highlight w:val="none"/>
                <w:u w:val="single"/>
                <w:lang w:val="en-US" w:eastAsia="zh-CN"/>
                <w14:textFill>
                  <w14:solidFill>
                    <w14:schemeClr w14:val="tx1"/>
                  </w14:solidFill>
                </w14:textFill>
              </w:rPr>
              <w:t>5</w:t>
            </w:r>
            <w:r>
              <w:rPr>
                <w:rFonts w:hint="eastAsia" w:ascii="宋体" w:hAnsi="宋体"/>
                <w:b/>
                <w:bCs/>
                <w:color w:val="000000" w:themeColor="text1"/>
                <w:sz w:val="24"/>
                <w:szCs w:val="24"/>
                <w:highlight w:val="none"/>
                <w:u w:val="single"/>
                <w14:textFill>
                  <w14:solidFill>
                    <w14:schemeClr w14:val="tx1"/>
                  </w14:solidFill>
                </w14:textFill>
              </w:rPr>
              <w:t>年</w:t>
            </w:r>
            <w:r>
              <w:rPr>
                <w:rFonts w:hint="eastAsia" w:ascii="宋体" w:hAnsi="宋体"/>
                <w:b/>
                <w:bCs/>
                <w:color w:val="000000" w:themeColor="text1"/>
                <w:sz w:val="24"/>
                <w:szCs w:val="24"/>
                <w:highlight w:val="none"/>
                <w:u w:val="single"/>
                <w:lang w:val="en-US" w:eastAsia="zh-CN"/>
                <w14:textFill>
                  <w14:solidFill>
                    <w14:schemeClr w14:val="tx1"/>
                  </w14:solidFill>
                </w14:textFill>
              </w:rPr>
              <w:t>9</w:t>
            </w:r>
            <w:r>
              <w:rPr>
                <w:rFonts w:hint="eastAsia" w:ascii="宋体" w:hAnsi="宋体"/>
                <w:b/>
                <w:bCs/>
                <w:color w:val="000000" w:themeColor="text1"/>
                <w:sz w:val="24"/>
                <w:szCs w:val="24"/>
                <w:highlight w:val="none"/>
                <w:u w:val="single"/>
                <w14:textFill>
                  <w14:solidFill>
                    <w14:schemeClr w14:val="tx1"/>
                  </w14:solidFill>
                </w14:textFill>
              </w:rPr>
              <w:t>月</w:t>
            </w:r>
            <w:r>
              <w:rPr>
                <w:rFonts w:hint="eastAsia" w:ascii="宋体" w:hAnsi="宋体"/>
                <w:b/>
                <w:bCs/>
                <w:color w:val="000000" w:themeColor="text1"/>
                <w:sz w:val="24"/>
                <w:szCs w:val="24"/>
                <w:highlight w:val="none"/>
                <w:u w:val="single"/>
                <w:lang w:val="en-US" w:eastAsia="zh-CN"/>
                <w14:textFill>
                  <w14:solidFill>
                    <w14:schemeClr w14:val="tx1"/>
                  </w14:solidFill>
                </w14:textFill>
              </w:rPr>
              <w:t>28</w:t>
            </w:r>
            <w:r>
              <w:rPr>
                <w:rFonts w:hint="eastAsia" w:ascii="宋体" w:hAnsi="宋体"/>
                <w:b/>
                <w:bCs/>
                <w:color w:val="000000" w:themeColor="text1"/>
                <w:sz w:val="24"/>
                <w:szCs w:val="24"/>
                <w:highlight w:val="none"/>
                <w:u w:val="single"/>
                <w14:textFill>
                  <w14:solidFill>
                    <w14:schemeClr w14:val="tx1"/>
                  </w14:solidFill>
                </w14:textFill>
              </w:rPr>
              <w:t>日14时</w:t>
            </w:r>
            <w:r>
              <w:rPr>
                <w:rFonts w:hint="eastAsia" w:ascii="宋体" w:hAnsi="宋体"/>
                <w:b/>
                <w:bCs/>
                <w:color w:val="000000" w:themeColor="text1"/>
                <w:sz w:val="24"/>
                <w:szCs w:val="24"/>
                <w:highlight w:val="none"/>
                <w:u w:val="single"/>
                <w:lang w:val="en-US" w:eastAsia="zh-CN"/>
                <w14:textFill>
                  <w14:solidFill>
                    <w14:schemeClr w14:val="tx1"/>
                  </w14:solidFill>
                </w14:textFill>
              </w:rPr>
              <w:t>00</w:t>
            </w:r>
            <w:r>
              <w:rPr>
                <w:rFonts w:hint="eastAsia" w:ascii="宋体" w:hAnsi="宋体"/>
                <w:b/>
                <w:bCs/>
                <w:color w:val="000000" w:themeColor="text1"/>
                <w:sz w:val="24"/>
                <w:szCs w:val="24"/>
                <w:highlight w:val="none"/>
                <w:u w:val="single"/>
                <w14:textFill>
                  <w14:solidFill>
                    <w14:schemeClr w14:val="tx1"/>
                  </w14:solidFill>
                </w14:textFill>
              </w:rPr>
              <w:t>分</w:t>
            </w:r>
            <w:r>
              <w:rPr>
                <w:rFonts w:ascii="宋体" w:hAnsi="宋体"/>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szCs w:val="24"/>
                <w:highlight w:val="none"/>
                <w:u w:val="single"/>
                <w14:textFill>
                  <w14:solidFill>
                    <w14:schemeClr w14:val="tx1"/>
                  </w14:solidFill>
                </w14:textFill>
              </w:rPr>
              <w:t>北京时间</w:t>
            </w:r>
            <w:r>
              <w:rPr>
                <w:rFonts w:ascii="宋体" w:hAnsi="宋体"/>
                <w:color w:val="000000" w:themeColor="text1"/>
                <w:sz w:val="24"/>
                <w:szCs w:val="24"/>
                <w:highlight w:val="none"/>
                <w:u w:val="single"/>
                <w14:textFill>
                  <w14:solidFill>
                    <w14:schemeClr w14:val="tx1"/>
                  </w14:solidFill>
                </w14:textFill>
              </w:rPr>
              <w:t>）</w:t>
            </w:r>
          </w:p>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提交地点：</w:t>
            </w:r>
            <w:r>
              <w:rPr>
                <w:rFonts w:hint="eastAsia" w:ascii="宋体" w:hAnsi="宋体"/>
                <w:b/>
                <w:snapToGrid w:val="0"/>
                <w:color w:val="000000" w:themeColor="text1"/>
                <w:kern w:val="0"/>
                <w:sz w:val="24"/>
                <w:szCs w:val="24"/>
                <w:highlight w:val="none"/>
                <w14:textFill>
                  <w14:solidFill>
                    <w14:schemeClr w14:val="tx1"/>
                  </w14:solidFill>
                </w14:textFill>
              </w:rPr>
              <w:t>南通市通吕运河水利工程管理所（外环西路397号）三楼会议室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24</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开标</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u w:val="singl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开标时间：</w:t>
            </w:r>
            <w:r>
              <w:rPr>
                <w:rFonts w:hint="eastAsia" w:ascii="宋体" w:hAnsi="宋体"/>
                <w:b/>
                <w:bCs/>
                <w:color w:val="000000" w:themeColor="text1"/>
                <w:sz w:val="24"/>
                <w:szCs w:val="24"/>
                <w:highlight w:val="none"/>
                <w:u w:val="single"/>
                <w14:textFill>
                  <w14:solidFill>
                    <w14:schemeClr w14:val="tx1"/>
                  </w14:solidFill>
                </w14:textFill>
              </w:rPr>
              <w:t>202</w:t>
            </w:r>
            <w:r>
              <w:rPr>
                <w:rFonts w:hint="eastAsia" w:ascii="宋体" w:hAnsi="宋体"/>
                <w:b/>
                <w:bCs/>
                <w:color w:val="000000" w:themeColor="text1"/>
                <w:sz w:val="24"/>
                <w:szCs w:val="24"/>
                <w:highlight w:val="none"/>
                <w:u w:val="single"/>
                <w:lang w:val="en-US" w:eastAsia="zh-CN"/>
                <w14:textFill>
                  <w14:solidFill>
                    <w14:schemeClr w14:val="tx1"/>
                  </w14:solidFill>
                </w14:textFill>
              </w:rPr>
              <w:t>5</w:t>
            </w:r>
            <w:r>
              <w:rPr>
                <w:rFonts w:hint="eastAsia" w:ascii="宋体" w:hAnsi="宋体"/>
                <w:b/>
                <w:bCs/>
                <w:color w:val="000000" w:themeColor="text1"/>
                <w:sz w:val="24"/>
                <w:szCs w:val="24"/>
                <w:highlight w:val="none"/>
                <w:u w:val="single"/>
                <w14:textFill>
                  <w14:solidFill>
                    <w14:schemeClr w14:val="tx1"/>
                  </w14:solidFill>
                </w14:textFill>
              </w:rPr>
              <w:t>年</w:t>
            </w:r>
            <w:r>
              <w:rPr>
                <w:rFonts w:hint="eastAsia" w:ascii="宋体" w:hAnsi="宋体"/>
                <w:b/>
                <w:bCs/>
                <w:color w:val="000000" w:themeColor="text1"/>
                <w:sz w:val="24"/>
                <w:szCs w:val="24"/>
                <w:highlight w:val="none"/>
                <w:u w:val="single"/>
                <w:lang w:val="en-US" w:eastAsia="zh-CN"/>
                <w14:textFill>
                  <w14:solidFill>
                    <w14:schemeClr w14:val="tx1"/>
                  </w14:solidFill>
                </w14:textFill>
              </w:rPr>
              <w:t>9</w:t>
            </w:r>
            <w:r>
              <w:rPr>
                <w:rFonts w:hint="eastAsia" w:ascii="宋体" w:hAnsi="宋体"/>
                <w:b/>
                <w:bCs/>
                <w:color w:val="000000" w:themeColor="text1"/>
                <w:sz w:val="24"/>
                <w:szCs w:val="24"/>
                <w:highlight w:val="none"/>
                <w:u w:val="single"/>
                <w14:textFill>
                  <w14:solidFill>
                    <w14:schemeClr w14:val="tx1"/>
                  </w14:solidFill>
                </w14:textFill>
              </w:rPr>
              <w:t>月</w:t>
            </w:r>
            <w:r>
              <w:rPr>
                <w:rFonts w:hint="eastAsia" w:ascii="宋体" w:hAnsi="宋体"/>
                <w:b/>
                <w:bCs/>
                <w:color w:val="000000" w:themeColor="text1"/>
                <w:sz w:val="24"/>
                <w:szCs w:val="24"/>
                <w:highlight w:val="none"/>
                <w:u w:val="single"/>
                <w:lang w:val="en-US" w:eastAsia="zh-CN"/>
                <w14:textFill>
                  <w14:solidFill>
                    <w14:schemeClr w14:val="tx1"/>
                  </w14:solidFill>
                </w14:textFill>
              </w:rPr>
              <w:t>28</w:t>
            </w:r>
            <w:r>
              <w:rPr>
                <w:rFonts w:hint="eastAsia" w:ascii="宋体" w:hAnsi="宋体"/>
                <w:b/>
                <w:bCs/>
                <w:color w:val="000000" w:themeColor="text1"/>
                <w:sz w:val="24"/>
                <w:szCs w:val="24"/>
                <w:highlight w:val="none"/>
                <w:u w:val="single"/>
                <w14:textFill>
                  <w14:solidFill>
                    <w14:schemeClr w14:val="tx1"/>
                  </w14:solidFill>
                </w14:textFill>
              </w:rPr>
              <w:t>日14时</w:t>
            </w:r>
            <w:r>
              <w:rPr>
                <w:rFonts w:hint="eastAsia" w:ascii="宋体" w:hAnsi="宋体"/>
                <w:b/>
                <w:bCs/>
                <w:color w:val="000000" w:themeColor="text1"/>
                <w:sz w:val="24"/>
                <w:szCs w:val="24"/>
                <w:highlight w:val="none"/>
                <w:u w:val="single"/>
                <w:lang w:val="en-US" w:eastAsia="zh-CN"/>
                <w14:textFill>
                  <w14:solidFill>
                    <w14:schemeClr w14:val="tx1"/>
                  </w14:solidFill>
                </w14:textFill>
              </w:rPr>
              <w:t>00</w:t>
            </w:r>
            <w:r>
              <w:rPr>
                <w:rFonts w:hint="eastAsia" w:ascii="宋体" w:hAnsi="宋体"/>
                <w:b/>
                <w:bCs/>
                <w:color w:val="000000" w:themeColor="text1"/>
                <w:sz w:val="24"/>
                <w:szCs w:val="24"/>
                <w:highlight w:val="none"/>
                <w:u w:val="single"/>
                <w14:textFill>
                  <w14:solidFill>
                    <w14:schemeClr w14:val="tx1"/>
                  </w14:solidFill>
                </w14:textFill>
              </w:rPr>
              <w:t>分（</w:t>
            </w:r>
            <w:r>
              <w:rPr>
                <w:rFonts w:hint="eastAsia" w:ascii="宋体" w:hAnsi="宋体"/>
                <w:color w:val="000000" w:themeColor="text1"/>
                <w:sz w:val="24"/>
                <w:szCs w:val="24"/>
                <w:highlight w:val="none"/>
                <w:u w:val="single"/>
                <w14:textFill>
                  <w14:solidFill>
                    <w14:schemeClr w14:val="tx1"/>
                  </w14:solidFill>
                </w14:textFill>
              </w:rPr>
              <w:t>北京时间</w:t>
            </w:r>
            <w:r>
              <w:rPr>
                <w:rFonts w:ascii="宋体" w:hAnsi="宋体"/>
                <w:color w:val="000000" w:themeColor="text1"/>
                <w:sz w:val="24"/>
                <w:szCs w:val="24"/>
                <w:highlight w:val="none"/>
                <w:u w:val="single"/>
                <w14:textFill>
                  <w14:solidFill>
                    <w14:schemeClr w14:val="tx1"/>
                  </w14:solidFill>
                </w14:textFill>
              </w:rPr>
              <w:t>）</w:t>
            </w:r>
          </w:p>
          <w:p>
            <w:pPr>
              <w:pageBreakBefore w:val="0"/>
              <w:kinsoku/>
              <w:overflowPunct/>
              <w:topLinePunct w:val="0"/>
              <w:bidi w:val="0"/>
              <w:spacing w:line="360" w:lineRule="auto"/>
              <w:ind w:left="0" w:leftChars="0" w:right="0" w:rightChars="0"/>
              <w:rPr>
                <w:rFonts w:ascii="宋体" w:hAnsi="宋体"/>
                <w:b/>
                <w:bCs/>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开标地点：</w:t>
            </w:r>
            <w:r>
              <w:rPr>
                <w:rFonts w:hint="eastAsia" w:ascii="宋体" w:hAnsi="宋体"/>
                <w:b/>
                <w:snapToGrid w:val="0"/>
                <w:color w:val="000000" w:themeColor="text1"/>
                <w:kern w:val="0"/>
                <w:sz w:val="24"/>
                <w:szCs w:val="24"/>
                <w:highlight w:val="none"/>
                <w14:textFill>
                  <w14:solidFill>
                    <w14:schemeClr w14:val="tx1"/>
                  </w14:solidFill>
                </w14:textFill>
              </w:rPr>
              <w:t>南通市通吕运河水利工程管理所（外环西路397号）三楼会议室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20</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25</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评标委员会</w:t>
            </w:r>
          </w:p>
        </w:tc>
        <w:tc>
          <w:tcPr>
            <w:tcW w:w="5775" w:type="dxa"/>
            <w:vAlign w:val="center"/>
          </w:tcPr>
          <w:p>
            <w:pPr>
              <w:pageBreakBefore w:val="0"/>
              <w:kinsoku/>
              <w:overflowPunct/>
              <w:topLinePunct w:val="0"/>
              <w:bidi w:val="0"/>
              <w:spacing w:line="360" w:lineRule="auto"/>
              <w:ind w:left="0" w:leftChars="0" w:right="0" w:rightChars="0"/>
              <w:jc w:val="left"/>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评标专家确定方式：</w:t>
            </w:r>
            <w:r>
              <w:rPr>
                <w:rFonts w:hint="eastAsia" w:ascii="宋体" w:hAnsi="宋体"/>
                <w:color w:val="000000" w:themeColor="text1"/>
                <w:sz w:val="24"/>
                <w:szCs w:val="24"/>
                <w:highlight w:val="none"/>
                <w14:textFill>
                  <w14:solidFill>
                    <w14:schemeClr w14:val="tx1"/>
                  </w14:solidFill>
                </w14:textFill>
              </w:rPr>
              <w:t>由招标人依法组建</w:t>
            </w:r>
            <w:r>
              <w:rPr>
                <w:rFonts w:ascii="宋体" w:hAnsi="宋体"/>
                <w:color w:val="000000" w:themeColor="text1"/>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21</w:t>
            </w:r>
          </w:p>
        </w:tc>
        <w:tc>
          <w:tcPr>
            <w:tcW w:w="1082"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35</w:t>
            </w:r>
          </w:p>
        </w:tc>
        <w:tc>
          <w:tcPr>
            <w:tcW w:w="1666"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履约担保金额</w:t>
            </w:r>
          </w:p>
        </w:tc>
        <w:tc>
          <w:tcPr>
            <w:tcW w:w="5775" w:type="dxa"/>
            <w:vAlign w:val="center"/>
          </w:tcPr>
          <w:p>
            <w:pPr>
              <w:pageBreakBefore w:val="0"/>
              <w:kinsoku/>
              <w:overflowPunct/>
              <w:topLinePunct w:val="0"/>
              <w:bidi w:val="0"/>
              <w:spacing w:line="360" w:lineRule="auto"/>
              <w:ind w:left="0" w:leftChars="0" w:right="0" w:rightChars="0"/>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中标人须在中标通知书发出后3个工作日内交齐履约担保金后根据招标文件的要求签订施工合同，否则视为自动放弃中标资格，且投标保证金不予退还。履约担保金额为合同价×10%</w:t>
            </w:r>
            <w:r>
              <w:rPr>
                <w:rFonts w:hint="eastAsia" w:ascii="宋体" w:hAnsi="宋体" w:cs="宋体"/>
                <w:color w:val="000000" w:themeColor="text1"/>
                <w:sz w:val="24"/>
                <w:szCs w:val="24"/>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904" w:type="dxa"/>
            <w:tcBorders>
              <w:top w:val="nil"/>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22</w:t>
            </w:r>
          </w:p>
        </w:tc>
        <w:tc>
          <w:tcPr>
            <w:tcW w:w="2748" w:type="dxa"/>
            <w:gridSpan w:val="2"/>
            <w:tcBorders>
              <w:top w:val="nil"/>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招标单位</w:t>
            </w:r>
          </w:p>
        </w:tc>
        <w:tc>
          <w:tcPr>
            <w:tcW w:w="5775" w:type="dxa"/>
            <w:vAlign w:val="center"/>
          </w:tcPr>
          <w:p>
            <w:pPr>
              <w:pageBreakBefore w:val="0"/>
              <w:kinsoku/>
              <w:overflowPunct/>
              <w:topLinePunct w:val="0"/>
              <w:bidi w:val="0"/>
              <w:adjustRightInd w:val="0"/>
              <w:snapToGrid w:val="0"/>
              <w:spacing w:line="360" w:lineRule="auto"/>
              <w:ind w:left="0" w:leftChars="0" w:right="0" w:rightChars="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招标人：南通市通吕运河水利工程管理所</w:t>
            </w:r>
          </w:p>
          <w:p>
            <w:pPr>
              <w:pageBreakBefore w:val="0"/>
              <w:kinsoku/>
              <w:overflowPunct/>
              <w:topLinePunct w:val="0"/>
              <w:bidi w:val="0"/>
              <w:adjustRightInd w:val="0"/>
              <w:snapToGrid w:val="0"/>
              <w:spacing w:line="360" w:lineRule="auto"/>
              <w:ind w:left="0" w:leftChars="0" w:right="0" w:rightChars="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地址：南通市通吕运河水利工程管理所（外环西路397号）</w:t>
            </w:r>
          </w:p>
          <w:p>
            <w:pPr>
              <w:pageBreakBefore w:val="0"/>
              <w:kinsoku/>
              <w:overflowPunct/>
              <w:topLinePunct w:val="0"/>
              <w:bidi w:val="0"/>
              <w:adjustRightInd w:val="0"/>
              <w:snapToGrid w:val="0"/>
              <w:spacing w:line="360" w:lineRule="auto"/>
              <w:ind w:left="0" w:leftChars="0" w:right="0" w:rightChars="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 xml:space="preserve">联系人：张先生  </w:t>
            </w:r>
          </w:p>
          <w:p>
            <w:pPr>
              <w:pageBreakBefore w:val="0"/>
              <w:kinsoku/>
              <w:overflowPunct/>
              <w:topLinePunct w:val="0"/>
              <w:bidi w:val="0"/>
              <w:adjustRightInd w:val="0"/>
              <w:snapToGrid w:val="0"/>
              <w:spacing w:line="360" w:lineRule="auto"/>
              <w:ind w:left="0" w:leftChars="0" w:right="0" w:rightChars="0"/>
              <w:jc w:val="left"/>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联系电话：0513-83530190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904"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23</w:t>
            </w:r>
          </w:p>
        </w:tc>
        <w:tc>
          <w:tcPr>
            <w:tcW w:w="2748" w:type="dxa"/>
            <w:gridSpan w:val="2"/>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招标代理单位</w:t>
            </w:r>
          </w:p>
        </w:tc>
        <w:tc>
          <w:tcPr>
            <w:tcW w:w="5775" w:type="dxa"/>
            <w:vAlign w:val="center"/>
          </w:tcPr>
          <w:p>
            <w:pPr>
              <w:pageBreakBefore w:val="0"/>
              <w:kinsoku/>
              <w:overflowPunct/>
              <w:topLinePunct w:val="0"/>
              <w:bidi w:val="0"/>
              <w:adjustRightInd w:val="0"/>
              <w:snapToGrid w:val="0"/>
              <w:spacing w:line="360" w:lineRule="auto"/>
              <w:ind w:left="0" w:leftChars="0" w:right="0" w:rightChars="0"/>
              <w:jc w:val="lef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单位名称：</w:t>
            </w:r>
            <w:r>
              <w:rPr>
                <w:rFonts w:hint="eastAsia" w:ascii="宋体" w:hAnsi="宋体" w:cs="宋体"/>
                <w:color w:val="000000" w:themeColor="text1"/>
                <w:kern w:val="0"/>
                <w:sz w:val="24"/>
                <w:szCs w:val="24"/>
                <w:highlight w:val="none"/>
                <w:lang w:eastAsia="zh-CN"/>
                <w14:textFill>
                  <w14:solidFill>
                    <w14:schemeClr w14:val="tx1"/>
                  </w14:solidFill>
                </w14:textFill>
              </w:rPr>
              <w:t>江苏建博工程管理咨询有限公司</w:t>
            </w:r>
          </w:p>
          <w:p>
            <w:pPr>
              <w:pageBreakBefore w:val="0"/>
              <w:kinsoku/>
              <w:overflowPunct/>
              <w:topLinePunct w:val="0"/>
              <w:bidi w:val="0"/>
              <w:adjustRightInd w:val="0"/>
              <w:snapToGrid w:val="0"/>
              <w:spacing w:line="360" w:lineRule="auto"/>
              <w:ind w:left="0" w:leftChars="0" w:right="0" w:rightChars="0"/>
              <w:jc w:val="lef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地址：</w:t>
            </w:r>
            <w:r>
              <w:rPr>
                <w:rFonts w:hint="eastAsia" w:ascii="宋体" w:hAnsi="宋体" w:cs="宋体"/>
                <w:color w:val="000000" w:themeColor="text1"/>
                <w:kern w:val="0"/>
                <w:sz w:val="24"/>
                <w:szCs w:val="24"/>
                <w:highlight w:val="none"/>
                <w:lang w:eastAsia="zh-CN"/>
                <w14:textFill>
                  <w14:solidFill>
                    <w14:schemeClr w14:val="tx1"/>
                  </w14:solidFill>
                </w14:textFill>
              </w:rPr>
              <w:t>南通市崇川区新胜路北同济科技园B7座4楼</w:t>
            </w:r>
          </w:p>
          <w:p>
            <w:pPr>
              <w:pageBreakBefore w:val="0"/>
              <w:kinsoku/>
              <w:overflowPunct/>
              <w:topLinePunct w:val="0"/>
              <w:bidi w:val="0"/>
              <w:adjustRightInd w:val="0"/>
              <w:snapToGrid w:val="0"/>
              <w:spacing w:line="360" w:lineRule="auto"/>
              <w:ind w:left="0" w:leftChars="0" w:right="0" w:rightChars="0"/>
              <w:jc w:val="lef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联系人：</w:t>
            </w:r>
            <w:r>
              <w:rPr>
                <w:rFonts w:hint="eastAsia" w:ascii="宋体" w:hAnsi="宋体" w:cs="宋体"/>
                <w:color w:val="000000" w:themeColor="text1"/>
                <w:kern w:val="0"/>
                <w:sz w:val="24"/>
                <w:szCs w:val="24"/>
                <w:highlight w:val="none"/>
                <w:lang w:eastAsia="zh-CN"/>
                <w14:textFill>
                  <w14:solidFill>
                    <w14:schemeClr w14:val="tx1"/>
                  </w14:solidFill>
                </w14:textFill>
              </w:rPr>
              <w:t>刘丽敏</w:t>
            </w:r>
          </w:p>
          <w:p>
            <w:pPr>
              <w:pageBreakBefore w:val="0"/>
              <w:kinsoku/>
              <w:overflowPunct/>
              <w:topLinePunct w:val="0"/>
              <w:bidi w:val="0"/>
              <w:adjustRightInd w:val="0"/>
              <w:snapToGrid w:val="0"/>
              <w:spacing w:line="360" w:lineRule="auto"/>
              <w:ind w:left="0" w:leftChars="0" w:right="0" w:rightChars="0"/>
              <w:jc w:val="left"/>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电话：</w:t>
            </w:r>
            <w:r>
              <w:rPr>
                <w:rFonts w:hint="eastAsia" w:ascii="宋体" w:hAnsi="宋体" w:cs="宋体"/>
                <w:color w:val="000000" w:themeColor="text1"/>
                <w:kern w:val="0"/>
                <w:sz w:val="24"/>
                <w:szCs w:val="24"/>
                <w:highlight w:val="none"/>
                <w:lang w:eastAsia="zh-CN"/>
                <w14:textFill>
                  <w14:solidFill>
                    <w14:schemeClr w14:val="tx1"/>
                  </w14:solidFill>
                </w14:textFill>
              </w:rPr>
              <w:t>18251304156</w:t>
            </w:r>
          </w:p>
        </w:tc>
      </w:tr>
    </w:tbl>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bookmarkStart w:id="17" w:name="_Toc380680820"/>
      <w:bookmarkStart w:id="18" w:name="_Toc380681013"/>
      <w:bookmarkStart w:id="19" w:name="_Toc380680180"/>
      <w:bookmarkStart w:id="20" w:name="_Toc380681232"/>
      <w:r>
        <w:rPr>
          <w:rFonts w:ascii="宋体" w:hAnsi="宋体" w:eastAsia="宋体" w:cs="Times New Roman"/>
          <w:color w:val="000000" w:themeColor="text1"/>
          <w:sz w:val="30"/>
          <w:szCs w:val="30"/>
          <w:highlight w:val="none"/>
          <w14:textFill>
            <w14:solidFill>
              <w14:schemeClr w14:val="tx1"/>
            </w14:solidFill>
          </w14:textFill>
        </w:rPr>
        <w:br w:type="page"/>
      </w:r>
      <w:r>
        <w:rPr>
          <w:rFonts w:hint="eastAsia" w:ascii="宋体" w:hAnsi="宋体" w:eastAsia="宋体" w:cs="宋体"/>
          <w:color w:val="000000" w:themeColor="text1"/>
          <w:sz w:val="30"/>
          <w:szCs w:val="30"/>
          <w:highlight w:val="none"/>
          <w14:textFill>
            <w14:solidFill>
              <w14:schemeClr w14:val="tx1"/>
            </w14:solidFill>
          </w14:textFill>
        </w:rPr>
        <w:t>二、投标须知</w:t>
      </w:r>
    </w:p>
    <w:bookmarkEnd w:id="17"/>
    <w:bookmarkEnd w:id="18"/>
    <w:bookmarkEnd w:id="19"/>
    <w:bookmarkEnd w:id="20"/>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highlight w:val="none"/>
          <w14:textFill>
            <w14:solidFill>
              <w14:schemeClr w14:val="tx1"/>
            </w14:solidFill>
          </w14:textFill>
        </w:rPr>
      </w:pPr>
      <w:bookmarkStart w:id="21" w:name="_Toc380680821"/>
      <w:bookmarkStart w:id="22" w:name="_Toc380681014"/>
      <w:bookmarkStart w:id="23" w:name="_Toc380681233"/>
      <w:bookmarkStart w:id="24" w:name="_Toc286661158"/>
      <w:bookmarkStart w:id="25" w:name="_Toc380680181"/>
      <w:r>
        <w:rPr>
          <w:rFonts w:hint="eastAsia" w:ascii="宋体" w:hAnsi="宋体" w:eastAsia="宋体" w:cs="宋体"/>
          <w:color w:val="000000" w:themeColor="text1"/>
          <w:sz w:val="30"/>
          <w:szCs w:val="30"/>
          <w:highlight w:val="none"/>
          <w14:textFill>
            <w14:solidFill>
              <w14:schemeClr w14:val="tx1"/>
            </w14:solidFill>
          </w14:textFill>
        </w:rPr>
        <w:t>（一）总则</w:t>
      </w:r>
      <w:bookmarkEnd w:id="21"/>
      <w:bookmarkEnd w:id="22"/>
      <w:bookmarkEnd w:id="23"/>
      <w:bookmarkEnd w:id="24"/>
      <w:bookmarkEnd w:id="25"/>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highlight w:val="none"/>
          <w14:textFill>
            <w14:solidFill>
              <w14:schemeClr w14:val="tx1"/>
            </w14:solidFill>
          </w14:textFill>
        </w:rPr>
      </w:pPr>
      <w:r>
        <w:rPr>
          <w:rFonts w:ascii="宋体" w:hAnsi="宋体"/>
          <w:b/>
          <w:color w:val="000000" w:themeColor="text1"/>
          <w:kern w:val="0"/>
          <w:sz w:val="24"/>
          <w:highlight w:val="none"/>
          <w14:textFill>
            <w14:solidFill>
              <w14:schemeClr w14:val="tx1"/>
            </w14:solidFill>
          </w14:textFill>
        </w:rPr>
        <w:t>1</w:t>
      </w:r>
      <w:r>
        <w:rPr>
          <w:rFonts w:hint="eastAsia" w:ascii="宋体" w:hAnsi="宋体"/>
          <w:b/>
          <w:color w:val="000000" w:themeColor="text1"/>
          <w:kern w:val="0"/>
          <w:sz w:val="24"/>
          <w:highlight w:val="none"/>
          <w14:textFill>
            <w14:solidFill>
              <w14:schemeClr w14:val="tx1"/>
            </w14:solidFill>
          </w14:textFill>
        </w:rPr>
        <w:t>、</w:t>
      </w:r>
      <w:r>
        <w:rPr>
          <w:rFonts w:ascii="宋体" w:hAnsi="宋体"/>
          <w:b/>
          <w:color w:val="000000" w:themeColor="text1"/>
          <w:kern w:val="0"/>
          <w:sz w:val="24"/>
          <w:highlight w:val="none"/>
          <w14:textFill>
            <w14:solidFill>
              <w14:schemeClr w14:val="tx1"/>
            </w14:solidFill>
          </w14:textFill>
        </w:rPr>
        <w:t>工程概况</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1.1</w:t>
      </w:r>
      <w:r>
        <w:rPr>
          <w:rFonts w:hint="eastAsia" w:ascii="宋体" w:hAnsi="宋体" w:cs="宋体"/>
          <w:color w:val="000000" w:themeColor="text1"/>
          <w:sz w:val="24"/>
          <w:szCs w:val="24"/>
          <w:highlight w:val="none"/>
          <w14:textFill>
            <w14:solidFill>
              <w14:schemeClr w14:val="tx1"/>
            </w14:solidFill>
          </w14:textFill>
        </w:rPr>
        <w:t>本招标工程项目说明详见本须知前附表第</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项～第</w:t>
      </w:r>
      <w:r>
        <w:rPr>
          <w:rFonts w:ascii="宋体" w:hAnsi="宋体" w:cs="宋体"/>
          <w:color w:val="000000" w:themeColor="text1"/>
          <w:sz w:val="24"/>
          <w:szCs w:val="24"/>
          <w:highlight w:val="none"/>
          <w14:textFill>
            <w14:solidFill>
              <w14:schemeClr w14:val="tx1"/>
            </w14:solidFill>
          </w14:textFill>
        </w:rPr>
        <w:t>7</w:t>
      </w:r>
      <w:r>
        <w:rPr>
          <w:rFonts w:hint="eastAsia" w:ascii="宋体" w:hAnsi="宋体" w:cs="宋体"/>
          <w:color w:val="000000" w:themeColor="text1"/>
          <w:sz w:val="24"/>
          <w:szCs w:val="24"/>
          <w:highlight w:val="none"/>
          <w14:textFill>
            <w14:solidFill>
              <w14:schemeClr w14:val="tx1"/>
            </w14:solidFill>
          </w14:textFill>
        </w:rPr>
        <w:t>项。</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1.2</w:t>
      </w:r>
      <w:r>
        <w:rPr>
          <w:rFonts w:hint="eastAsia" w:ascii="宋体" w:hAnsi="宋体" w:cs="宋体"/>
          <w:color w:val="000000" w:themeColor="text1"/>
          <w:sz w:val="24"/>
          <w:szCs w:val="24"/>
          <w:highlight w:val="none"/>
          <w14:textFill>
            <w14:solidFill>
              <w14:schemeClr w14:val="tx1"/>
            </w14:solidFill>
          </w14:textFill>
        </w:rPr>
        <w:t>招标范围：见本须知前附表第</w:t>
      </w:r>
      <w:r>
        <w:rPr>
          <w:rFonts w:ascii="宋体" w:hAnsi="宋体" w:cs="宋体"/>
          <w:color w:val="000000" w:themeColor="text1"/>
          <w:sz w:val="24"/>
          <w:szCs w:val="24"/>
          <w:highlight w:val="none"/>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项。</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1.3</w:t>
      </w:r>
      <w:r>
        <w:rPr>
          <w:rFonts w:hint="eastAsia" w:ascii="宋体" w:hAnsi="宋体" w:cs="宋体"/>
          <w:color w:val="000000" w:themeColor="text1"/>
          <w:sz w:val="24"/>
          <w:szCs w:val="24"/>
          <w:highlight w:val="none"/>
          <w14:textFill>
            <w14:solidFill>
              <w14:schemeClr w14:val="tx1"/>
            </w14:solidFill>
          </w14:textFill>
        </w:rPr>
        <w:t>现场条件：</w:t>
      </w:r>
    </w:p>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    (1)</w:t>
      </w:r>
      <w:r>
        <w:rPr>
          <w:rFonts w:hint="eastAsia" w:ascii="宋体" w:hAnsi="宋体" w:cs="宋体"/>
          <w:color w:val="000000" w:themeColor="text1"/>
          <w:sz w:val="24"/>
          <w:szCs w:val="24"/>
          <w:highlight w:val="none"/>
          <w14:textFill>
            <w14:solidFill>
              <w14:schemeClr w14:val="tx1"/>
            </w14:solidFill>
          </w14:textFill>
        </w:rPr>
        <w:t>施工现场拆迁及平整情况：</w:t>
      </w:r>
      <w:r>
        <w:rPr>
          <w:rFonts w:hint="eastAsia" w:ascii="宋体" w:hAnsi="宋体" w:cs="宋体"/>
          <w:snapToGrid w:val="0"/>
          <w:color w:val="000000" w:themeColor="text1"/>
          <w:kern w:val="0"/>
          <w:sz w:val="24"/>
          <w:szCs w:val="24"/>
          <w:highlight w:val="none"/>
          <w:u w:val="single"/>
          <w14:textFill>
            <w14:solidFill>
              <w14:schemeClr w14:val="tx1"/>
            </w14:solidFill>
          </w14:textFill>
        </w:rPr>
        <w:t>现貌</w:t>
      </w:r>
      <w:r>
        <w:rPr>
          <w:rFonts w:hint="eastAsia" w:ascii="宋体" w:hAnsi="宋体" w:cs="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u w:val="singl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施工用水、电：</w:t>
      </w:r>
      <w:r>
        <w:rPr>
          <w:rFonts w:hint="eastAsia" w:ascii="宋体" w:hAnsi="宋体" w:cs="宋体"/>
          <w:snapToGrid w:val="0"/>
          <w:color w:val="000000" w:themeColor="text1"/>
          <w:kern w:val="0"/>
          <w:sz w:val="24"/>
          <w:szCs w:val="24"/>
          <w:highlight w:val="none"/>
          <w:u w:val="single"/>
          <w14:textFill>
            <w14:solidFill>
              <w14:schemeClr w14:val="tx1"/>
            </w14:solidFill>
          </w14:textFill>
        </w:rPr>
        <w:t>由投标人自行考虑，费用综合考虑到工程报价中</w:t>
      </w:r>
      <w:r>
        <w:rPr>
          <w:rFonts w:hint="eastAsia" w:ascii="宋体" w:hAnsi="宋体" w:cs="宋体"/>
          <w:snapToGrid w:val="0"/>
          <w:color w:val="000000" w:themeColor="text1"/>
          <w:kern w:val="0"/>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snapToGrid w:val="0"/>
          <w:color w:val="000000" w:themeColor="text1"/>
          <w:kern w:val="0"/>
          <w:sz w:val="24"/>
          <w:szCs w:val="24"/>
          <w:highlight w:val="none"/>
          <w:u w:val="singl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场内外道路：</w:t>
      </w:r>
      <w:r>
        <w:rPr>
          <w:rFonts w:hint="eastAsia" w:ascii="宋体" w:hAnsi="宋体" w:cs="宋体"/>
          <w:snapToGrid w:val="0"/>
          <w:color w:val="000000" w:themeColor="text1"/>
          <w:kern w:val="0"/>
          <w:sz w:val="24"/>
          <w:szCs w:val="24"/>
          <w:highlight w:val="none"/>
          <w:u w:val="single"/>
          <w14:textFill>
            <w14:solidFill>
              <w14:schemeClr w14:val="tx1"/>
            </w14:solidFill>
          </w14:textFill>
        </w:rPr>
        <w:t>现貌</w:t>
      </w:r>
      <w:r>
        <w:rPr>
          <w:rFonts w:hint="eastAsia" w:ascii="宋体" w:hAnsi="宋体" w:cs="宋体"/>
          <w:snapToGrid w:val="0"/>
          <w:color w:val="000000" w:themeColor="text1"/>
          <w:kern w:val="0"/>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b/>
          <w:bCs/>
          <w:color w:val="000000" w:themeColor="text1"/>
          <w:sz w:val="24"/>
          <w:szCs w:val="24"/>
          <w:highlight w:val="none"/>
          <w:u w:val="singl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其他：</w:t>
      </w:r>
      <w:r>
        <w:rPr>
          <w:rFonts w:hint="eastAsia" w:ascii="宋体" w:hAnsi="宋体" w:cs="宋体"/>
          <w:color w:val="000000" w:themeColor="text1"/>
          <w:sz w:val="24"/>
          <w:szCs w:val="24"/>
          <w:highlight w:val="none"/>
          <w:u w:val="single"/>
          <w14:textFill>
            <w14:solidFill>
              <w14:schemeClr w14:val="tx1"/>
            </w14:solidFill>
          </w14:textFill>
        </w:rPr>
        <w:t>投标人应认真对现场环境进行踏勘，对施工现场情况和影响施工的因素以及困难条件进行周密的勘察和研究，作出自己的判断结论和估价。中标后和签订合同时及施工过程中，投标人均不得以不了解现场情况为由，提出任何形式增加工程造价的要求，施工时因场地问题引起的成本费用增加，均由投标人自行承担，结算时不予调整。</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中标人应独立、有效地做好该工程周边的有关群众工作，并充分考虑工程实施范围内外的单位、个人和其他可能出现阻挠施工的情况，若发生的机械台班停置费、二次机械进退场费、人员窝工、处理周边群众纠纷等费用和损失，由投标人自行考虑，并列入投标报价，工程结算时不作调整。</w:t>
      </w:r>
    </w:p>
    <w:p>
      <w:pPr>
        <w:pageBreakBefore w:val="0"/>
        <w:widowControl/>
        <w:tabs>
          <w:tab w:val="left" w:pos="0"/>
          <w:tab w:val="left" w:pos="993"/>
          <w:tab w:val="left" w:pos="1134"/>
        </w:tabs>
        <w:kinsoku/>
        <w:overflowPunct/>
        <w:topLinePunct w:val="0"/>
        <w:bidi w:val="0"/>
        <w:adjustRightInd w:val="0"/>
        <w:snapToGrid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投标人务必自行认真踏勘现场条件，如若对现场施工条件有疑问，请在提交疑问截止时间之前提出，否则视同认可。一旦中标不得对现场条件提出额外要求，不得要求增加费用</w:t>
      </w:r>
      <w:r>
        <w:rPr>
          <w:rFonts w:hint="eastAsia" w:ascii="宋体" w:hAnsi="宋体" w:cs="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1.4承包方式说明：</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工程发包范围内的包工、包料（发包人供应或发包人另行发包的除外）、包质量、包工期、包安全、包文明、包成品养护、包风险等。</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1.5按照《中华人民共和国招标投标法》、《工程建设项目施工招标投标办法》及相关规定，上述工程已符合招标条件，现采用</w:t>
      </w:r>
      <w:r>
        <w:rPr>
          <w:rFonts w:ascii="宋体" w:hAnsi="宋体"/>
          <w:b/>
          <w:color w:val="000000" w:themeColor="text1"/>
          <w:sz w:val="24"/>
          <w:szCs w:val="24"/>
          <w:highlight w:val="none"/>
          <w:u w:val="single"/>
          <w14:textFill>
            <w14:solidFill>
              <w14:schemeClr w14:val="tx1"/>
            </w14:solidFill>
          </w14:textFill>
        </w:rPr>
        <w:t xml:space="preserve"> 公开招标、资格后审</w:t>
      </w:r>
      <w:r>
        <w:rPr>
          <w:rFonts w:ascii="宋体" w:hAnsi="宋体"/>
          <w:color w:val="000000" w:themeColor="text1"/>
          <w:sz w:val="24"/>
          <w:szCs w:val="24"/>
          <w:highlight w:val="none"/>
          <w14:textFill>
            <w14:solidFill>
              <w14:schemeClr w14:val="tx1"/>
            </w14:solidFill>
          </w14:textFill>
        </w:rPr>
        <w:t>招标方式，择优选定施工单位。</w:t>
      </w:r>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highlight w:val="none"/>
          <w14:textFill>
            <w14:solidFill>
              <w14:schemeClr w14:val="tx1"/>
            </w14:solidFill>
          </w14:textFill>
        </w:rPr>
      </w:pPr>
      <w:bookmarkStart w:id="26" w:name="_Toc286661161"/>
      <w:r>
        <w:rPr>
          <w:rFonts w:ascii="宋体" w:hAnsi="宋体"/>
          <w:b/>
          <w:color w:val="000000" w:themeColor="text1"/>
          <w:kern w:val="0"/>
          <w:sz w:val="24"/>
          <w:highlight w:val="none"/>
          <w14:textFill>
            <w14:solidFill>
              <w14:schemeClr w14:val="tx1"/>
            </w14:solidFill>
          </w14:textFill>
        </w:rPr>
        <w:t>2</w:t>
      </w:r>
      <w:r>
        <w:rPr>
          <w:rFonts w:hint="eastAsia" w:ascii="宋体" w:hAnsi="宋体"/>
          <w:b/>
          <w:color w:val="000000" w:themeColor="text1"/>
          <w:kern w:val="0"/>
          <w:sz w:val="24"/>
          <w:highlight w:val="none"/>
          <w14:textFill>
            <w14:solidFill>
              <w14:schemeClr w14:val="tx1"/>
            </w14:solidFill>
          </w14:textFill>
        </w:rPr>
        <w:t>、</w:t>
      </w:r>
      <w:r>
        <w:rPr>
          <w:rFonts w:ascii="宋体" w:hAnsi="宋体"/>
          <w:b/>
          <w:color w:val="000000" w:themeColor="text1"/>
          <w:kern w:val="0"/>
          <w:sz w:val="24"/>
          <w:highlight w:val="none"/>
          <w14:textFill>
            <w14:solidFill>
              <w14:schemeClr w14:val="tx1"/>
            </w14:solidFill>
          </w14:textFill>
        </w:rPr>
        <w:t>投标人资格要求</w:t>
      </w:r>
    </w:p>
    <w:p>
      <w:pPr>
        <w:keepNext w:val="0"/>
        <w:keepLines w:val="0"/>
        <w:pageBreakBefore w:val="0"/>
        <w:kinsoku/>
        <w:wordWrap/>
        <w:overflowPunct/>
        <w:topLinePunct w:val="0"/>
        <w:autoSpaceDE/>
        <w:autoSpaceDN/>
        <w:bidi w:val="0"/>
        <w:spacing w:line="360" w:lineRule="auto"/>
        <w:ind w:left="0" w:leftChars="0" w:right="0" w:rightChars="0" w:firstLine="480"/>
        <w:textAlignment w:val="auto"/>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2.1投标人应具备承担本工程施工的资质条件、能力和信誉：</w:t>
      </w:r>
    </w:p>
    <w:p>
      <w:pPr>
        <w:keepNext w:val="0"/>
        <w:keepLines w:val="0"/>
        <w:pageBreakBefore w:val="0"/>
        <w:numPr>
          <w:ilvl w:val="0"/>
          <w:numId w:val="1"/>
        </w:numPr>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cs="宋体"/>
          <w:b/>
          <w:bCs/>
          <w:color w:val="000000" w:themeColor="text1"/>
          <w:sz w:val="24"/>
          <w:highlight w:val="none"/>
          <w:u w:val="single"/>
          <w14:textFill>
            <w14:solidFill>
              <w14:schemeClr w14:val="tx1"/>
            </w14:solidFill>
          </w14:textFill>
        </w:rPr>
      </w:pPr>
      <w:r>
        <w:rPr>
          <w:rFonts w:hint="eastAsia" w:ascii="宋体" w:hAnsi="宋体" w:cs="宋体"/>
          <w:snapToGrid w:val="0"/>
          <w:color w:val="000000" w:themeColor="text1"/>
          <w:kern w:val="0"/>
          <w:sz w:val="24"/>
          <w:highlight w:val="none"/>
          <w14:textFill>
            <w14:solidFill>
              <w14:schemeClr w14:val="tx1"/>
            </w14:solidFill>
          </w14:textFill>
        </w:rPr>
        <w:t>企业资质条件：</w:t>
      </w:r>
      <w:r>
        <w:rPr>
          <w:rFonts w:hint="eastAsia" w:ascii="宋体" w:hAnsi="宋体" w:cs="宋体"/>
          <w:color w:val="000000" w:themeColor="text1"/>
          <w:sz w:val="24"/>
          <w:highlight w:val="none"/>
          <w14:textFill>
            <w14:solidFill>
              <w14:schemeClr w14:val="tx1"/>
            </w14:solidFill>
          </w14:textFill>
        </w:rPr>
        <w:t>具有独立法人资格和</w:t>
      </w:r>
      <w:r>
        <w:rPr>
          <w:rFonts w:hint="eastAsia" w:ascii="宋体" w:hAnsi="宋体" w:cs="宋体"/>
          <w:b/>
          <w:bCs/>
          <w:color w:val="000000" w:themeColor="text1"/>
          <w:sz w:val="24"/>
          <w:highlight w:val="none"/>
          <w:u w:val="single"/>
          <w:lang w:eastAsia="zh-CN"/>
          <w14:textFill>
            <w14:solidFill>
              <w14:schemeClr w14:val="tx1"/>
            </w14:solidFill>
          </w14:textFill>
        </w:rPr>
        <w:t>防水防腐保温工程专业承包二</w:t>
      </w:r>
      <w:r>
        <w:rPr>
          <w:rFonts w:hint="eastAsia" w:ascii="宋体" w:hAnsi="宋体" w:cs="宋体"/>
          <w:b/>
          <w:bCs/>
          <w:color w:val="000000" w:themeColor="text1"/>
          <w:sz w:val="24"/>
          <w:highlight w:val="none"/>
          <w:u w:val="single"/>
          <w14:textFill>
            <w14:solidFill>
              <w14:schemeClr w14:val="tx1"/>
            </w14:solidFill>
          </w14:textFill>
        </w:rPr>
        <w:t>级及以上资质；</w:t>
      </w:r>
    </w:p>
    <w:p>
      <w:pPr>
        <w:widowControl/>
        <w:tabs>
          <w:tab w:val="left" w:pos="0"/>
          <w:tab w:val="left" w:pos="993"/>
          <w:tab w:val="left" w:pos="1135"/>
        </w:tabs>
        <w:adjustRightInd w:val="0"/>
        <w:snapToGrid w:val="0"/>
        <w:spacing w:line="360" w:lineRule="auto"/>
        <w:ind w:firstLine="482" w:firstLineChars="200"/>
        <w:jc w:val="left"/>
        <w:rPr>
          <w:rFonts w:hint="eastAsia" w:ascii="宋体" w:hAnsi="宋体" w:cs="宋体"/>
          <w:b/>
          <w:bCs/>
          <w:color w:val="000000" w:themeColor="text1"/>
          <w:sz w:val="24"/>
          <w:highlight w:val="none"/>
          <w:u w:val="single"/>
          <w14:textFill>
            <w14:solidFill>
              <w14:schemeClr w14:val="tx1"/>
            </w14:solidFill>
          </w14:textFill>
        </w:rPr>
      </w:pPr>
      <w:r>
        <w:rPr>
          <w:rFonts w:hint="eastAsia" w:ascii="宋体" w:hAnsi="宋体" w:cs="宋体"/>
          <w:b/>
          <w:bCs/>
          <w:snapToGrid w:val="0"/>
          <w:color w:val="000000" w:themeColor="text1"/>
          <w:sz w:val="24"/>
          <w:szCs w:val="24"/>
          <w:highlight w:val="none"/>
          <w14:textFill>
            <w14:solidFill>
              <w14:schemeClr w14:val="tx1"/>
            </w14:solidFill>
          </w14:textFill>
        </w:rPr>
        <w:t>根据《省住房城乡建设关于开展建筑业企业资质动态监管工作的公告》(〔2018〕第 6 号)、《关于在我省国有资金投资工程建设项目招标投标中应用建筑企业资质动态监管结果有关要求的通知》（苏建招办【2022】2号）文件要求，投标人在投标文件递交截止时间当日，资质动态监管结果处于不合格状态的，将作为资格审查不通过处理。(企业动态资质查询信息以“江苏省建筑市场监管与诚信信息一体化平台”发布的信息为准)。资质动态监管执行苏建函建管〔2019〕233 号“对资质核查结果为不达标的企业，不能参加招投标、合同备案等经营活动”的规定，仅对企业某项被核查为不达标的资质进行限制，不影响该企业其他核查达标的资质参加招投标、合同备案等经营活动。</w:t>
      </w:r>
    </w:p>
    <w:p>
      <w:pPr>
        <w:keepNext w:val="0"/>
        <w:keepLines w:val="0"/>
        <w:pageBreakBefore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cs="宋体"/>
          <w:b/>
          <w:color w:val="000000" w:themeColor="text1"/>
          <w:kern w:val="0"/>
          <w:sz w:val="24"/>
          <w:highlight w:val="none"/>
          <w:u w:val="singl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（2）项目经理（项目负责人）资格：</w:t>
      </w:r>
      <w:r>
        <w:rPr>
          <w:rFonts w:hint="eastAsia" w:ascii="宋体" w:hAnsi="宋体" w:cs="宋体"/>
          <w:b/>
          <w:color w:val="000000" w:themeColor="text1"/>
          <w:kern w:val="0"/>
          <w:sz w:val="24"/>
          <w:highlight w:val="none"/>
          <w:u w:val="single"/>
          <w14:textFill>
            <w14:solidFill>
              <w14:schemeClr w14:val="tx1"/>
            </w14:solidFill>
          </w14:textFill>
        </w:rPr>
        <w:t>建筑工程专业</w:t>
      </w:r>
      <w:r>
        <w:rPr>
          <w:rFonts w:hint="eastAsia" w:ascii="宋体" w:hAnsi="宋体" w:cs="宋体"/>
          <w:b/>
          <w:color w:val="000000" w:themeColor="text1"/>
          <w:kern w:val="0"/>
          <w:sz w:val="24"/>
          <w:highlight w:val="none"/>
          <w:u w:val="single"/>
          <w:lang w:eastAsia="zh-CN"/>
          <w14:textFill>
            <w14:solidFill>
              <w14:schemeClr w14:val="tx1"/>
            </w14:solidFill>
          </w14:textFill>
        </w:rPr>
        <w:t>或水利水电工程专业</w:t>
      </w:r>
      <w:r>
        <w:rPr>
          <w:rFonts w:hint="eastAsia" w:ascii="宋体" w:hAnsi="宋体" w:cs="宋体"/>
          <w:b/>
          <w:color w:val="000000" w:themeColor="text1"/>
          <w:kern w:val="0"/>
          <w:sz w:val="24"/>
          <w:highlight w:val="none"/>
          <w:u w:val="single"/>
          <w14:textFill>
            <w14:solidFill>
              <w14:schemeClr w14:val="tx1"/>
            </w14:solidFill>
          </w14:textFill>
        </w:rPr>
        <w:t>二级及以上注册建造师资格，并具备安全考核合格证书(B证)；且项目负责人为企业正式人员。</w:t>
      </w:r>
    </w:p>
    <w:p>
      <w:pPr>
        <w:keepNext w:val="0"/>
        <w:keepLines w:val="0"/>
        <w:pageBreakBefore w:val="0"/>
        <w:widowControl/>
        <w:tabs>
          <w:tab w:val="left" w:pos="0"/>
          <w:tab w:val="left" w:pos="993"/>
          <w:tab w:val="left" w:pos="1135"/>
        </w:tabs>
        <w:kinsoku/>
        <w:wordWrap/>
        <w:overflowPunct/>
        <w:topLinePunct w:val="0"/>
        <w:autoSpaceDE/>
        <w:autoSpaceDN/>
        <w:bidi w:val="0"/>
        <w:adjustRightInd w:val="0"/>
        <w:snapToGrid w:val="0"/>
        <w:spacing w:line="360" w:lineRule="auto"/>
        <w:ind w:left="0" w:leftChars="0" w:right="0" w:rightChars="0" w:firstLine="482" w:firstLineChars="200"/>
        <w:jc w:val="left"/>
        <w:textAlignment w:val="auto"/>
        <w:rPr>
          <w:rFonts w:ascii="宋体" w:hAnsi="宋体" w:cs="宋体"/>
          <w:b/>
          <w:bCs/>
          <w:snapToGrid w:val="0"/>
          <w:color w:val="000000" w:themeColor="text1"/>
          <w:sz w:val="24"/>
          <w:szCs w:val="24"/>
          <w:highlight w:val="none"/>
          <w14:textFill>
            <w14:solidFill>
              <w14:schemeClr w14:val="tx1"/>
            </w14:solidFill>
          </w14:textFill>
        </w:rPr>
      </w:pPr>
      <w:r>
        <w:rPr>
          <w:rFonts w:hint="eastAsia" w:ascii="宋体" w:hAnsi="宋体" w:cs="宋体"/>
          <w:b/>
          <w:bCs/>
          <w:snapToGrid w:val="0"/>
          <w:color w:val="000000" w:themeColor="text1"/>
          <w:sz w:val="24"/>
          <w:szCs w:val="24"/>
          <w:highlight w:val="none"/>
          <w14:textFill>
            <w14:solidFill>
              <w14:schemeClr w14:val="tx1"/>
            </w14:solidFill>
          </w14:textFill>
        </w:rPr>
        <w:t>特别提醒：①本工程投标人拟派项目负责人为二级注册建造师的，必须根据《省住房和城乡建设厅关于我省二级建造师、二级造价工程师、二级注册结二级注册建筑师、构工程师注册证书电子证照换发的公告》（(2023)第26号）文件要求使用并提供证书，如未按文件要求提供证书，该证书无效，视为项目负责人的资格不符合要求。</w:t>
      </w:r>
    </w:p>
    <w:p>
      <w:pPr>
        <w:keepNext w:val="0"/>
        <w:keepLines w:val="0"/>
        <w:pageBreakBefore w:val="0"/>
        <w:widowControl/>
        <w:tabs>
          <w:tab w:val="left" w:pos="0"/>
          <w:tab w:val="left" w:pos="993"/>
          <w:tab w:val="left" w:pos="1135"/>
        </w:tabs>
        <w:kinsoku/>
        <w:wordWrap/>
        <w:overflowPunct/>
        <w:topLinePunct w:val="0"/>
        <w:autoSpaceDE/>
        <w:autoSpaceDN/>
        <w:bidi w:val="0"/>
        <w:adjustRightInd w:val="0"/>
        <w:snapToGrid w:val="0"/>
        <w:spacing w:line="360" w:lineRule="auto"/>
        <w:ind w:left="0" w:leftChars="0" w:right="0" w:rightChars="0" w:firstLine="482" w:firstLineChars="200"/>
        <w:jc w:val="left"/>
        <w:textAlignment w:val="auto"/>
        <w:rPr>
          <w:rFonts w:hint="eastAsia" w:ascii="宋体" w:hAnsi="宋体" w:cs="宋体"/>
          <w:b/>
          <w:color w:val="000000" w:themeColor="text1"/>
          <w:kern w:val="0"/>
          <w:sz w:val="24"/>
          <w:highlight w:val="none"/>
          <w:u w:val="single"/>
          <w14:textFill>
            <w14:solidFill>
              <w14:schemeClr w14:val="tx1"/>
            </w14:solidFill>
          </w14:textFill>
        </w:rPr>
      </w:pPr>
      <w:r>
        <w:rPr>
          <w:rFonts w:hint="eastAsia" w:ascii="宋体" w:hAnsi="宋体" w:cs="宋体"/>
          <w:b/>
          <w:bCs/>
          <w:snapToGrid w:val="0"/>
          <w:color w:val="000000" w:themeColor="text1"/>
          <w:sz w:val="24"/>
          <w:szCs w:val="24"/>
          <w:highlight w:val="none"/>
          <w14:textFill>
            <w14:solidFill>
              <w14:schemeClr w14:val="tx1"/>
            </w14:solidFill>
          </w14:textFill>
        </w:rPr>
        <w:t>②本工程投标人拟派的项目负责人如为一级注册建造师，必须根据《住房和城乡建设部办公厅关于全面实行一级建造师电子注册证书的通知》（建办市〔2021〕40 号）文件要求使用并提供电子证书，如未按文件要求提供电子证书，该电子证书无效，视为拟派项目负责人的资格不符合要求。</w:t>
      </w:r>
    </w:p>
    <w:p>
      <w:pPr>
        <w:pageBreakBefore w:val="0"/>
        <w:kinsoku/>
        <w:overflowPunct/>
        <w:topLinePunct w:val="0"/>
        <w:bidi w:val="0"/>
        <w:spacing w:line="360" w:lineRule="auto"/>
        <w:ind w:left="0" w:leftChars="0" w:right="0" w:rightChars="0"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（3）企业具备安全生产条件，并取得有效安全生产许可证。</w:t>
      </w:r>
    </w:p>
    <w:p>
      <w:pPr>
        <w:pageBreakBefore w:val="0"/>
        <w:kinsoku/>
        <w:overflowPunct/>
        <w:topLinePunct w:val="0"/>
        <w:bidi w:val="0"/>
        <w:spacing w:line="360" w:lineRule="auto"/>
        <w:ind w:left="0" w:leftChars="0" w:right="0" w:rightChars="0" w:firstLine="480" w:firstLineChars="200"/>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eastAsia="zh-CN"/>
          <w14:textFill>
            <w14:solidFill>
              <w14:schemeClr w14:val="tx1"/>
            </w14:solidFill>
          </w14:textFill>
        </w:rPr>
        <w:t>投标企业20</w:t>
      </w:r>
      <w:r>
        <w:rPr>
          <w:rFonts w:hint="eastAsia" w:ascii="宋体" w:hAnsi="宋体" w:cs="宋体"/>
          <w:color w:val="000000" w:themeColor="text1"/>
          <w:sz w:val="24"/>
          <w:highlight w:val="none"/>
          <w:lang w:val="en-US" w:eastAsia="zh-CN"/>
          <w14:textFill>
            <w14:solidFill>
              <w14:schemeClr w14:val="tx1"/>
            </w14:solidFill>
          </w14:textFill>
        </w:rPr>
        <w:t>20</w:t>
      </w:r>
      <w:r>
        <w:rPr>
          <w:rFonts w:hint="eastAsia" w:ascii="宋体" w:hAnsi="宋体" w:cs="宋体"/>
          <w:color w:val="000000" w:themeColor="text1"/>
          <w:sz w:val="24"/>
          <w:highlight w:val="none"/>
          <w:lang w:eastAsia="zh-CN"/>
          <w14:textFill>
            <w14:solidFill>
              <w14:schemeClr w14:val="tx1"/>
            </w14:solidFill>
          </w14:textFill>
        </w:rPr>
        <w:t>年</w:t>
      </w:r>
      <w:r>
        <w:rPr>
          <w:rFonts w:hint="eastAsia" w:ascii="宋体" w:hAnsi="宋体" w:cs="宋体"/>
          <w:color w:val="000000" w:themeColor="text1"/>
          <w:sz w:val="24"/>
          <w:highlight w:val="none"/>
          <w:lang w:val="en-US" w:eastAsia="zh-CN"/>
          <w14:textFill>
            <w14:solidFill>
              <w14:schemeClr w14:val="tx1"/>
            </w14:solidFill>
          </w14:textFill>
        </w:rPr>
        <w:t>8</w:t>
      </w:r>
      <w:r>
        <w:rPr>
          <w:rFonts w:hint="eastAsia" w:ascii="宋体" w:hAnsi="宋体" w:cs="宋体"/>
          <w:color w:val="000000" w:themeColor="text1"/>
          <w:sz w:val="24"/>
          <w:highlight w:val="none"/>
          <w:lang w:eastAsia="zh-CN"/>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1日</w:t>
      </w:r>
      <w:r>
        <w:rPr>
          <w:rFonts w:hint="eastAsia" w:ascii="宋体" w:hAnsi="宋体" w:cs="宋体"/>
          <w:color w:val="000000" w:themeColor="text1"/>
          <w:sz w:val="24"/>
          <w:highlight w:val="none"/>
          <w:lang w:eastAsia="zh-CN"/>
          <w14:textFill>
            <w14:solidFill>
              <w14:schemeClr w14:val="tx1"/>
            </w14:solidFill>
          </w14:textFill>
        </w:rPr>
        <w:t>以来（以合同签订日期为准）承担过单项合同价在</w:t>
      </w:r>
      <w:r>
        <w:rPr>
          <w:rFonts w:hint="eastAsia" w:ascii="宋体" w:hAnsi="宋体" w:cs="宋体"/>
          <w:color w:val="000000" w:themeColor="text1"/>
          <w:sz w:val="24"/>
          <w:highlight w:val="none"/>
          <w:lang w:val="en-US" w:eastAsia="zh-CN"/>
          <w14:textFill>
            <w14:solidFill>
              <w14:schemeClr w14:val="tx1"/>
            </w14:solidFill>
          </w14:textFill>
        </w:rPr>
        <w:t>25</w:t>
      </w:r>
      <w:r>
        <w:rPr>
          <w:rFonts w:hint="eastAsia" w:ascii="宋体" w:hAnsi="宋体" w:cs="宋体"/>
          <w:color w:val="000000" w:themeColor="text1"/>
          <w:sz w:val="24"/>
          <w:highlight w:val="none"/>
          <w:lang w:eastAsia="zh-CN"/>
          <w14:textFill>
            <w14:solidFill>
              <w14:schemeClr w14:val="tx1"/>
            </w14:solidFill>
          </w14:textFill>
        </w:rPr>
        <w:t>万元及以上的水工建筑物防腐项目业绩。业绩证明材料须同时提供合同、完工验收证明。</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2.2以下条件属于资格审查的必要合格条件：</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（1）具有独立订立合同的能力；</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（2）企业的资质类别、等级和项目负责人注册专业、资格等级符合国家有关规定；</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（3）企业具备安全生产条件，并取得安全生产许可证；</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（4）项目负责人必须满足下列条件：</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①项目负责人不得同时在两个或者两个以上单位受聘或者执业：</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A、不得同时在两个及以上单位签订劳动合同或交纳社会保险；</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B、不得将本人执（职）业资格证书同时注册在两个及以上单位。</w:t>
      </w:r>
    </w:p>
    <w:p>
      <w:pPr>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（5）资格预审申请人或者投标人不得存在下列情形之一：</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①为招标人不具有独立法人资格的附属机构（单位）；</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②为本招标项目的监理人、代建人、项目管理人，以及为本招标项目提供招标代理、设计服务的；</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③与本招标项目的监理人、代建人、招标代理机构同为一个法定代表人的，或者相互控股、参股的；</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④与招标人存在厉害关系可能影响招标公正性的；</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⑤单位负责人为同一人或者存在控股、管理关系的不同单位；</w:t>
      </w:r>
    </w:p>
    <w:p>
      <w:pPr>
        <w:widowControl/>
        <w:spacing w:line="360" w:lineRule="auto"/>
        <w:ind w:firstLine="480" w:firstLineChars="20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⑥处于被责令停业、财产被接管、冻结和破产状态，以及投标资格被取消或者被暂停且在暂停期内的；</w:t>
      </w:r>
    </w:p>
    <w:p>
      <w:pPr>
        <w:widowControl/>
        <w:spacing w:line="360" w:lineRule="auto"/>
        <w:ind w:firstLine="480" w:firstLineChars="200"/>
        <w:jc w:val="left"/>
        <w:rPr>
          <w:rFonts w:hint="eastAsia" w:ascii="宋体" w:hAnsi="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⑦因拖欠工人工资或者因发生质量安全事故被有关部门限制在招标项目所在地承接工程的；</w:t>
      </w:r>
    </w:p>
    <w:p>
      <w:pPr>
        <w:pageBreakBefore w:val="0"/>
        <w:widowControl/>
        <w:kinsoku/>
        <w:overflowPunct/>
        <w:topLinePunct w:val="0"/>
        <w:bidi w:val="0"/>
        <w:snapToGrid w:val="0"/>
        <w:spacing w:line="360" w:lineRule="auto"/>
        <w:ind w:left="0" w:leftChars="0" w:right="0" w:rightChars="0" w:firstLine="482"/>
        <w:jc w:val="left"/>
        <w:rPr>
          <w:rFonts w:ascii="宋体" w:hAnsi="宋体"/>
          <w:b/>
          <w:bCs/>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b/>
          <w:bCs/>
          <w:color w:val="000000" w:themeColor="text1"/>
          <w:sz w:val="24"/>
          <w:szCs w:val="24"/>
          <w:highlight w:val="none"/>
          <w14:textFill>
            <w14:solidFill>
              <w14:schemeClr w14:val="tx1"/>
            </w14:solidFill>
          </w14:textFill>
        </w:rPr>
        <w:t>本工程不接受联合体形式的投标形式。</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ascii="宋体" w:hAnsi="宋体"/>
          <w:b/>
          <w:color w:val="000000" w:themeColor="text1"/>
          <w:sz w:val="24"/>
          <w:highlight w:val="none"/>
          <w14:textFill>
            <w14:solidFill>
              <w14:schemeClr w14:val="tx1"/>
            </w14:solidFill>
          </w14:textFill>
        </w:rPr>
        <w:t>未尽之处具体详见第二章“评标办法”中的“资格审查标准汇总表”。</w:t>
      </w:r>
    </w:p>
    <w:p>
      <w:pPr>
        <w:pageBreakBefore w:val="0"/>
        <w:kinsoku/>
        <w:overflowPunct/>
        <w:topLinePunct w:val="0"/>
        <w:autoSpaceDE w:val="0"/>
        <w:autoSpaceDN w:val="0"/>
        <w:bidi w:val="0"/>
        <w:adjustRightInd w:val="0"/>
        <w:spacing w:line="360" w:lineRule="auto"/>
        <w:ind w:left="0" w:leftChars="0" w:right="0" w:rightChars="0" w:firstLine="482" w:firstLineChars="200"/>
        <w:jc w:val="left"/>
        <w:rPr>
          <w:rFonts w:ascii="宋体" w:hAnsi="宋体"/>
          <w:b/>
          <w:color w:val="000000" w:themeColor="text1"/>
          <w:kern w:val="0"/>
          <w:sz w:val="24"/>
          <w:highlight w:val="none"/>
          <w14:textFill>
            <w14:solidFill>
              <w14:schemeClr w14:val="tx1"/>
            </w14:solidFill>
          </w14:textFill>
        </w:rPr>
      </w:pPr>
      <w:r>
        <w:rPr>
          <w:rFonts w:ascii="宋体" w:hAnsi="宋体"/>
          <w:b/>
          <w:color w:val="000000" w:themeColor="text1"/>
          <w:kern w:val="0"/>
          <w:sz w:val="24"/>
          <w:highlight w:val="none"/>
          <w14:textFill>
            <w14:solidFill>
              <w14:schemeClr w14:val="tx1"/>
            </w14:solidFill>
          </w14:textFill>
        </w:rPr>
        <w:t>3</w:t>
      </w:r>
      <w:r>
        <w:rPr>
          <w:rFonts w:hint="eastAsia" w:ascii="宋体" w:hAnsi="宋体"/>
          <w:b/>
          <w:color w:val="000000" w:themeColor="text1"/>
          <w:kern w:val="0"/>
          <w:sz w:val="24"/>
          <w:highlight w:val="none"/>
          <w14:textFill>
            <w14:solidFill>
              <w14:schemeClr w14:val="tx1"/>
            </w14:solidFill>
          </w14:textFill>
        </w:rPr>
        <w:t>、</w:t>
      </w:r>
      <w:r>
        <w:rPr>
          <w:rFonts w:ascii="宋体" w:hAnsi="宋体"/>
          <w:b/>
          <w:color w:val="000000" w:themeColor="text1"/>
          <w:kern w:val="0"/>
          <w:sz w:val="24"/>
          <w:highlight w:val="none"/>
          <w14:textFill>
            <w14:solidFill>
              <w14:schemeClr w14:val="tx1"/>
            </w14:solidFill>
          </w14:textFill>
        </w:rPr>
        <w:t>投标费用</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3.1投标人应承担其编</w:t>
      </w:r>
      <w:r>
        <w:rPr>
          <w:rFonts w:ascii="宋体" w:hAnsi="宋体"/>
          <w:color w:val="000000" w:themeColor="text1"/>
          <w:sz w:val="24"/>
          <w:highlight w:val="none"/>
          <w14:textFill>
            <w14:solidFill>
              <w14:schemeClr w14:val="tx1"/>
            </w14:solidFill>
          </w14:textFill>
        </w:rPr>
        <w:t>制投标文件以及递交投标文件所涉及的一切费用。无论投标结果如何，招标人对上述费用不负任何责任。</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4、</w:t>
      </w:r>
      <w:r>
        <w:rPr>
          <w:rFonts w:ascii="宋体" w:hAnsi="宋体"/>
          <w:b/>
          <w:color w:val="000000" w:themeColor="text1"/>
          <w:kern w:val="0"/>
          <w:sz w:val="24"/>
          <w:highlight w:val="none"/>
          <w14:textFill>
            <w14:solidFill>
              <w14:schemeClr w14:val="tx1"/>
            </w14:solidFill>
          </w14:textFill>
        </w:rPr>
        <w:t>踏勘现场</w:t>
      </w:r>
      <w:bookmarkStart w:id="27" w:name="_Toc380681015"/>
      <w:bookmarkStart w:id="28" w:name="_Toc380680822"/>
      <w:bookmarkStart w:id="29" w:name="_Toc380681234"/>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w:t>
      </w:r>
      <w:r>
        <w:rPr>
          <w:rFonts w:ascii="宋体" w:hAnsi="宋体"/>
          <w:color w:val="000000" w:themeColor="text1"/>
          <w:sz w:val="24"/>
          <w:szCs w:val="24"/>
          <w:highlight w:val="none"/>
          <w14:textFill>
            <w14:solidFill>
              <w14:schemeClr w14:val="tx1"/>
            </w14:solidFill>
          </w14:textFill>
        </w:rPr>
        <w:t>经招标人允许，投标人可为踏勘目的进入招标人的项目现场，但投标人不得因此使招标人承担有关的责任和蒙受损失，投标人应承担踏勘现场的责任和风险。</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4.2</w:t>
      </w:r>
      <w:r>
        <w:rPr>
          <w:rFonts w:ascii="宋体" w:hAnsi="宋体"/>
          <w:color w:val="000000" w:themeColor="text1"/>
          <w:sz w:val="24"/>
          <w:szCs w:val="24"/>
          <w:highlight w:val="none"/>
          <w14:textFill>
            <w14:solidFill>
              <w14:schemeClr w14:val="tx1"/>
            </w14:solidFill>
          </w14:textFill>
        </w:rPr>
        <w:t>投标人自行对工程现场及周围环境进行踏勘，以便投标人获取有关编制投标文件和签署合同所涉及的现场资料。投标人承担踏勘现场发生的一切费用。</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4.3</w:t>
      </w:r>
      <w:r>
        <w:rPr>
          <w:rFonts w:ascii="宋体" w:hAnsi="宋体"/>
          <w:color w:val="000000" w:themeColor="text1"/>
          <w:sz w:val="24"/>
          <w:szCs w:val="24"/>
          <w:highlight w:val="none"/>
          <w14:textFill>
            <w14:solidFill>
              <w14:schemeClr w14:val="tx1"/>
            </w14:solidFill>
          </w14:textFill>
        </w:rPr>
        <w:t>招标人向投标人提供的有关现场的数据和资料，是招标人现有的能被投标人利用的资料，招标人对投标人作出的任何推论、理解和结论均不负责任。</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4.4</w:t>
      </w:r>
      <w:r>
        <w:rPr>
          <w:rFonts w:ascii="宋体" w:hAnsi="宋体"/>
          <w:color w:val="000000" w:themeColor="text1"/>
          <w:sz w:val="24"/>
          <w:szCs w:val="24"/>
          <w:highlight w:val="none"/>
          <w14:textFill>
            <w14:solidFill>
              <w14:schemeClr w14:val="tx1"/>
            </w14:solidFill>
          </w14:textFill>
        </w:rPr>
        <w:t>投标人应充分考虑标书制作过程中的数据变化因素，检查确认标书内容的正确完整和对招标文件的响应程度。</w:t>
      </w: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（二）招标文件</w:t>
      </w:r>
      <w:bookmarkEnd w:id="27"/>
      <w:bookmarkEnd w:id="28"/>
      <w:bookmarkEnd w:id="29"/>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highlight w:val="none"/>
          <w14:textFill>
            <w14:solidFill>
              <w14:schemeClr w14:val="tx1"/>
            </w14:solidFill>
          </w14:textFill>
        </w:rPr>
      </w:pPr>
      <w:r>
        <w:rPr>
          <w:rFonts w:ascii="宋体" w:hAnsi="宋体"/>
          <w:b/>
          <w:color w:val="000000" w:themeColor="text1"/>
          <w:kern w:val="0"/>
          <w:sz w:val="24"/>
          <w:highlight w:val="none"/>
          <w14:textFill>
            <w14:solidFill>
              <w14:schemeClr w14:val="tx1"/>
            </w14:solidFill>
          </w14:textFill>
        </w:rPr>
        <w:t>5</w:t>
      </w:r>
      <w:r>
        <w:rPr>
          <w:rFonts w:hint="eastAsia" w:ascii="宋体" w:hAnsi="宋体"/>
          <w:b/>
          <w:color w:val="000000" w:themeColor="text1"/>
          <w:kern w:val="0"/>
          <w:sz w:val="24"/>
          <w:highlight w:val="none"/>
          <w14:textFill>
            <w14:solidFill>
              <w14:schemeClr w14:val="tx1"/>
            </w14:solidFill>
          </w14:textFill>
        </w:rPr>
        <w:t>、</w:t>
      </w:r>
      <w:r>
        <w:rPr>
          <w:rFonts w:ascii="宋体" w:hAnsi="宋体"/>
          <w:b/>
          <w:color w:val="000000" w:themeColor="text1"/>
          <w:kern w:val="0"/>
          <w:sz w:val="24"/>
          <w:highlight w:val="none"/>
          <w14:textFill>
            <w14:solidFill>
              <w14:schemeClr w14:val="tx1"/>
            </w14:solidFill>
          </w14:textFill>
        </w:rPr>
        <w:t>招标文件的组成</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5.1</w:t>
      </w:r>
      <w:r>
        <w:rPr>
          <w:rFonts w:hint="eastAsia" w:ascii="宋体" w:hAnsi="宋体" w:cs="宋体"/>
          <w:color w:val="000000" w:themeColor="text1"/>
          <w:sz w:val="24"/>
          <w:szCs w:val="24"/>
          <w:highlight w:val="none"/>
          <w14:textFill>
            <w14:solidFill>
              <w14:schemeClr w14:val="tx1"/>
            </w14:solidFill>
          </w14:textFill>
        </w:rPr>
        <w:t>招标文件包括下列内容：</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第一章：投标须知及投标须知前附表</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第二章：评标办法</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第三章：建设工程施工合同</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第四章：工程建设标准</w:t>
      </w:r>
    </w:p>
    <w:p>
      <w:pPr>
        <w:pageBreakBefore w:val="0"/>
        <w:kinsoku/>
        <w:overflowPunct/>
        <w:topLinePunct w:val="0"/>
        <w:bidi w:val="0"/>
        <w:spacing w:line="360" w:lineRule="auto"/>
        <w:ind w:left="0" w:leftChars="0" w:right="0" w:rightChars="0" w:firstLine="480"/>
        <w:rPr>
          <w:rFonts w:ascii="宋体" w:hAns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第五章：图纸、技术资料及附件</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第六章：资格审查文件格式</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第七章：商务标文件格式</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lang w:val="zh-CN"/>
          <w14:textFill>
            <w14:solidFill>
              <w14:schemeClr w14:val="tx1"/>
            </w14:solidFill>
          </w14:textFill>
        </w:rPr>
        <w:t>第八章：工程量清单</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5.2</w:t>
      </w:r>
      <w:r>
        <w:rPr>
          <w:rFonts w:ascii="宋体" w:hAnsi="宋体"/>
          <w:color w:val="000000" w:themeColor="text1"/>
          <w:sz w:val="24"/>
          <w:highlight w:val="none"/>
          <w14:textFill>
            <w14:solidFill>
              <w14:schemeClr w14:val="tx1"/>
            </w14:solidFill>
          </w14:textFill>
        </w:rPr>
        <w:t>根据本章第6、7款对招标文件所作的澄清、修改，构成招标文件的组成部分。投标人在投标截止时间前，应通过将在</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随时查阅有关该工程招标文件的澄清、招标文件的修改(招标答疑、补遗文件)、招标控制价公示等内容。</w:t>
      </w:r>
      <w:r>
        <w:rPr>
          <w:rFonts w:ascii="宋体" w:hAnsi="宋体"/>
          <w:b/>
          <w:color w:val="000000" w:themeColor="text1"/>
          <w:sz w:val="24"/>
          <w:highlight w:val="none"/>
          <w14:textFill>
            <w14:solidFill>
              <w14:schemeClr w14:val="tx1"/>
            </w14:solidFill>
          </w14:textFill>
        </w:rPr>
        <w:t>投标人查阅如有遗漏，其风险应由投标人自行承担。</w:t>
      </w:r>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highlight w:val="none"/>
          <w14:textFill>
            <w14:solidFill>
              <w14:schemeClr w14:val="tx1"/>
            </w14:solidFill>
          </w14:textFill>
        </w:rPr>
      </w:pPr>
      <w:r>
        <w:rPr>
          <w:rFonts w:ascii="宋体" w:hAnsi="宋体"/>
          <w:b/>
          <w:color w:val="000000" w:themeColor="text1"/>
          <w:kern w:val="0"/>
          <w:sz w:val="24"/>
          <w:highlight w:val="none"/>
          <w14:textFill>
            <w14:solidFill>
              <w14:schemeClr w14:val="tx1"/>
            </w14:solidFill>
          </w14:textFill>
        </w:rPr>
        <w:t>6、招标文件的澄清</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6.1投标人从</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下载招标文件后应仔细阅读和检查招标文件的全部内容。如发现缺页或附件不全，应及时向招标人提出，以便补齐。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和单价措施项目清单与计价表”中每个工作子目的工程量进行重新计算和校核。如果投标人经过检查和复核以后认为招标人提供的工程量清单存在差异，则投标人应将此类差异的详细情况连同按投标人须知规定提交的要求招标人澄清的其他问题一起提交给招标人，招标人将根据实际情况决定是否颁发工程量清单的补充和(或)修改文件。</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6.2招标人不组织集中答疑，投标人如对招标公告、招标文件、工程量清单、图纸、标底、招标控制价等文件存在前后矛盾，部分条款说明不清、存在歧义、违反相关法律法规，存在限制性条款等有疑问的应在</w:t>
      </w:r>
      <w:r>
        <w:rPr>
          <w:rFonts w:hint="eastAsia" w:ascii="宋体" w:hAnsi="宋体"/>
          <w:b/>
          <w:color w:val="000000" w:themeColor="text1"/>
          <w:sz w:val="24"/>
          <w:highlight w:val="none"/>
          <w:u w:val="single"/>
          <w14:textFill>
            <w14:solidFill>
              <w14:schemeClr w14:val="tx1"/>
            </w14:solidFill>
          </w14:textFill>
        </w:rPr>
        <w:t>202</w:t>
      </w:r>
      <w:r>
        <w:rPr>
          <w:rFonts w:hint="eastAsia" w:ascii="宋体" w:hAnsi="宋体"/>
          <w:b/>
          <w:color w:val="000000" w:themeColor="text1"/>
          <w:sz w:val="24"/>
          <w:highlight w:val="none"/>
          <w:u w:val="single"/>
          <w:lang w:val="en-US" w:eastAsia="zh-CN"/>
          <w14:textFill>
            <w14:solidFill>
              <w14:schemeClr w14:val="tx1"/>
            </w14:solidFill>
          </w14:textFill>
        </w:rPr>
        <w:t>5</w:t>
      </w:r>
      <w:r>
        <w:rPr>
          <w:rFonts w:ascii="宋体" w:hAnsi="宋体"/>
          <w:b/>
          <w:color w:val="000000" w:themeColor="text1"/>
          <w:sz w:val="24"/>
          <w:highlight w:val="none"/>
          <w:u w:val="single"/>
          <w14:textFill>
            <w14:solidFill>
              <w14:schemeClr w14:val="tx1"/>
            </w14:solidFill>
          </w14:textFill>
        </w:rPr>
        <w:t>年</w:t>
      </w:r>
      <w:r>
        <w:rPr>
          <w:rFonts w:hint="eastAsia" w:ascii="宋体" w:hAnsi="宋体"/>
          <w:b/>
          <w:color w:val="000000" w:themeColor="text1"/>
          <w:sz w:val="24"/>
          <w:highlight w:val="none"/>
          <w:u w:val="single"/>
          <w:lang w:val="en-US" w:eastAsia="zh-CN"/>
          <w14:textFill>
            <w14:solidFill>
              <w14:schemeClr w14:val="tx1"/>
            </w14:solidFill>
          </w14:textFill>
        </w:rPr>
        <w:t>9</w:t>
      </w:r>
      <w:r>
        <w:rPr>
          <w:rFonts w:ascii="宋体" w:hAnsi="宋体"/>
          <w:b/>
          <w:color w:val="000000" w:themeColor="text1"/>
          <w:sz w:val="24"/>
          <w:highlight w:val="none"/>
          <w:u w:val="single"/>
          <w14:textFill>
            <w14:solidFill>
              <w14:schemeClr w14:val="tx1"/>
            </w14:solidFill>
          </w14:textFill>
        </w:rPr>
        <w:t>月</w:t>
      </w:r>
      <w:r>
        <w:rPr>
          <w:rFonts w:hint="eastAsia" w:ascii="宋体" w:hAnsi="宋体"/>
          <w:b/>
          <w:color w:val="000000" w:themeColor="text1"/>
          <w:sz w:val="24"/>
          <w:highlight w:val="none"/>
          <w:u w:val="single"/>
          <w:lang w:val="en-US" w:eastAsia="zh-CN"/>
          <w14:textFill>
            <w14:solidFill>
              <w14:schemeClr w14:val="tx1"/>
            </w14:solidFill>
          </w14:textFill>
        </w:rPr>
        <w:t>22</w:t>
      </w:r>
      <w:r>
        <w:rPr>
          <w:rFonts w:ascii="宋体" w:hAnsi="宋体"/>
          <w:b/>
          <w:color w:val="000000" w:themeColor="text1"/>
          <w:sz w:val="24"/>
          <w:highlight w:val="none"/>
          <w:u w:val="single"/>
          <w14:textFill>
            <w14:solidFill>
              <w14:schemeClr w14:val="tx1"/>
            </w14:solidFill>
          </w14:textFill>
        </w:rPr>
        <w:t>日17时前</w:t>
      </w:r>
      <w:r>
        <w:rPr>
          <w:rFonts w:ascii="宋体" w:hAnsi="宋体"/>
          <w:color w:val="000000" w:themeColor="text1"/>
          <w:sz w:val="24"/>
          <w:highlight w:val="none"/>
          <w14:textFill>
            <w14:solidFill>
              <w14:schemeClr w14:val="tx1"/>
            </w14:solidFill>
          </w14:textFill>
        </w:rPr>
        <w:t>向招标人提出澄清要求，</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"mailto:以电子文件形式发送至550362779@qq.com" </w:instrText>
      </w:r>
      <w:r>
        <w:rPr>
          <w:color w:val="000000" w:themeColor="text1"/>
          <w:highlight w:val="none"/>
          <w14:textFill>
            <w14:solidFill>
              <w14:schemeClr w14:val="tx1"/>
            </w14:solidFill>
          </w14:textFill>
        </w:rPr>
        <w:fldChar w:fldCharType="separate"/>
      </w:r>
      <w:r>
        <w:rPr>
          <w:rFonts w:ascii="宋体" w:hAnsi="宋体"/>
          <w:color w:val="000000" w:themeColor="text1"/>
          <w:sz w:val="24"/>
          <w:highlight w:val="none"/>
          <w14:textFill>
            <w14:solidFill>
              <w14:schemeClr w14:val="tx1"/>
            </w14:solidFill>
          </w14:textFill>
        </w:rPr>
        <w:t>以电子文件形式发送至</w:t>
      </w:r>
      <w:r>
        <w:rPr>
          <w:rFonts w:ascii="宋体" w:hAnsi="宋体"/>
          <w:color w:val="000000" w:themeColor="text1"/>
          <w:sz w:val="24"/>
          <w:highlight w:val="none"/>
          <w14:textFill>
            <w14:solidFill>
              <w14:schemeClr w14:val="tx1"/>
            </w14:solidFill>
          </w14:textFill>
        </w:rPr>
        <w:fldChar w:fldCharType="end"/>
      </w:r>
      <w:r>
        <w:rPr>
          <w:rFonts w:ascii="宋体" w:hAnsi="宋体"/>
          <w:color w:val="000000" w:themeColor="text1"/>
          <w:sz w:val="24"/>
          <w:highlight w:val="none"/>
          <w14:textFill>
            <w14:solidFill>
              <w14:schemeClr w14:val="tx1"/>
            </w14:solidFill>
          </w14:textFill>
        </w:rPr>
        <w:t>指定邮箱：</w:t>
      </w:r>
      <w:r>
        <w:rPr>
          <w:rFonts w:hint="eastAsia" w:ascii="宋体" w:hAnsi="宋体"/>
          <w:color w:val="000000" w:themeColor="text1"/>
          <w:sz w:val="24"/>
          <w:highlight w:val="none"/>
          <w:lang w:eastAsia="zh-CN"/>
          <w14:textFill>
            <w14:solidFill>
              <w14:schemeClr w14:val="tx1"/>
            </w14:solidFill>
          </w14:textFill>
        </w:rPr>
        <w:t>1552917108</w:t>
      </w:r>
      <w:r>
        <w:rPr>
          <w:rFonts w:hint="eastAsia" w:ascii="宋体" w:hAnsi="宋体"/>
          <w:color w:val="000000" w:themeColor="text1"/>
          <w:sz w:val="24"/>
          <w:highlight w:val="none"/>
          <w14:textFill>
            <w14:solidFill>
              <w14:schemeClr w14:val="tx1"/>
            </w14:solidFill>
          </w14:textFill>
        </w:rPr>
        <w:t>@qq.com</w:t>
      </w:r>
      <w:r>
        <w:rPr>
          <w:rFonts w:ascii="宋体" w:hAnsi="宋体"/>
          <w:color w:val="000000" w:themeColor="text1"/>
          <w:sz w:val="24"/>
          <w:highlight w:val="none"/>
          <w14:textFill>
            <w14:solidFill>
              <w14:schemeClr w14:val="tx1"/>
            </w14:solidFill>
          </w14:textFill>
        </w:rPr>
        <w:t>（不具单位名称，不加盖单位公章）。招标人在收到疑问材料后2日内予以解答，并于</w:t>
      </w:r>
      <w:r>
        <w:rPr>
          <w:rFonts w:hint="eastAsia" w:ascii="宋体" w:hAnsi="宋体"/>
          <w:b/>
          <w:color w:val="000000" w:themeColor="text1"/>
          <w:sz w:val="24"/>
          <w:highlight w:val="none"/>
          <w:u w:val="single"/>
          <w14:textFill>
            <w14:solidFill>
              <w14:schemeClr w14:val="tx1"/>
            </w14:solidFill>
          </w14:textFill>
        </w:rPr>
        <w:t>202</w:t>
      </w:r>
      <w:r>
        <w:rPr>
          <w:rFonts w:hint="eastAsia" w:ascii="宋体" w:hAnsi="宋体"/>
          <w:b/>
          <w:color w:val="000000" w:themeColor="text1"/>
          <w:sz w:val="24"/>
          <w:highlight w:val="none"/>
          <w:u w:val="single"/>
          <w:lang w:val="en-US" w:eastAsia="zh-CN"/>
          <w14:textFill>
            <w14:solidFill>
              <w14:schemeClr w14:val="tx1"/>
            </w14:solidFill>
          </w14:textFill>
        </w:rPr>
        <w:t>5</w:t>
      </w:r>
      <w:r>
        <w:rPr>
          <w:rFonts w:ascii="宋体" w:hAnsi="宋体"/>
          <w:b/>
          <w:color w:val="000000" w:themeColor="text1"/>
          <w:sz w:val="24"/>
          <w:highlight w:val="none"/>
          <w:u w:val="single"/>
          <w14:textFill>
            <w14:solidFill>
              <w14:schemeClr w14:val="tx1"/>
            </w14:solidFill>
          </w14:textFill>
        </w:rPr>
        <w:t>年</w:t>
      </w:r>
      <w:r>
        <w:rPr>
          <w:rFonts w:hint="eastAsia" w:ascii="宋体" w:hAnsi="宋体"/>
          <w:b/>
          <w:color w:val="000000" w:themeColor="text1"/>
          <w:sz w:val="24"/>
          <w:highlight w:val="none"/>
          <w:u w:val="single"/>
          <w:lang w:val="en-US" w:eastAsia="zh-CN"/>
          <w14:textFill>
            <w14:solidFill>
              <w14:schemeClr w14:val="tx1"/>
            </w14:solidFill>
          </w14:textFill>
        </w:rPr>
        <w:t>9</w:t>
      </w:r>
      <w:r>
        <w:rPr>
          <w:rFonts w:ascii="宋体" w:hAnsi="宋体"/>
          <w:b/>
          <w:color w:val="000000" w:themeColor="text1"/>
          <w:sz w:val="24"/>
          <w:highlight w:val="none"/>
          <w:u w:val="single"/>
          <w14:textFill>
            <w14:solidFill>
              <w14:schemeClr w14:val="tx1"/>
            </w14:solidFill>
          </w14:textFill>
        </w:rPr>
        <w:t>月</w:t>
      </w:r>
      <w:r>
        <w:rPr>
          <w:rFonts w:hint="eastAsia" w:ascii="宋体" w:hAnsi="宋体"/>
          <w:b/>
          <w:color w:val="000000" w:themeColor="text1"/>
          <w:sz w:val="24"/>
          <w:highlight w:val="none"/>
          <w:u w:val="single"/>
          <w:lang w:val="en-US" w:eastAsia="zh-CN"/>
          <w14:textFill>
            <w14:solidFill>
              <w14:schemeClr w14:val="tx1"/>
            </w14:solidFill>
          </w14:textFill>
        </w:rPr>
        <w:t>24</w:t>
      </w:r>
      <w:r>
        <w:rPr>
          <w:rFonts w:ascii="宋体" w:hAnsi="宋体"/>
          <w:b/>
          <w:color w:val="000000" w:themeColor="text1"/>
          <w:sz w:val="24"/>
          <w:highlight w:val="none"/>
          <w:u w:val="single"/>
          <w14:textFill>
            <w14:solidFill>
              <w14:schemeClr w14:val="tx1"/>
            </w14:solidFill>
          </w14:textFill>
        </w:rPr>
        <w:t>日17时前</w:t>
      </w:r>
      <w:r>
        <w:rPr>
          <w:rFonts w:ascii="宋体" w:hAnsi="宋体"/>
          <w:color w:val="000000" w:themeColor="text1"/>
          <w:sz w:val="24"/>
          <w:highlight w:val="none"/>
          <w14:textFill>
            <w14:solidFill>
              <w14:schemeClr w14:val="tx1"/>
            </w14:solidFill>
          </w14:textFill>
        </w:rPr>
        <w:t>将解答内容（若有）以电子文档上传至</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，请各潜在投标人在</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自行下载。</w:t>
      </w:r>
    </w:p>
    <w:p>
      <w:pPr>
        <w:pageBreakBefore w:val="0"/>
        <w:kinsoku/>
        <w:overflowPunct/>
        <w:topLinePunct w:val="0"/>
        <w:bidi w:val="0"/>
        <w:spacing w:line="360" w:lineRule="auto"/>
        <w:ind w:left="0" w:leftChars="0" w:right="0" w:rightChars="0" w:firstLine="48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投标人未以书面、电子文件形式</w:t>
      </w:r>
      <w:r>
        <w:rPr>
          <w:rFonts w:hint="eastAsia" w:ascii="宋体" w:hAnsi="宋体"/>
          <w:b/>
          <w:color w:val="000000" w:themeColor="text1"/>
          <w:sz w:val="24"/>
          <w:highlight w:val="none"/>
          <w:lang w:val="en-US" w:eastAsia="zh-CN"/>
          <w14:textFill>
            <w14:solidFill>
              <w14:schemeClr w14:val="tx1"/>
            </w14:solidFill>
          </w14:textFill>
        </w:rPr>
        <w:t>在规定时间内</w:t>
      </w:r>
      <w:r>
        <w:rPr>
          <w:rFonts w:ascii="宋体" w:hAnsi="宋体"/>
          <w:b/>
          <w:color w:val="000000" w:themeColor="text1"/>
          <w:sz w:val="24"/>
          <w:highlight w:val="none"/>
          <w14:textFill>
            <w14:solidFill>
              <w14:schemeClr w14:val="tx1"/>
            </w14:solidFill>
          </w14:textFill>
        </w:rPr>
        <w:t>提出疑问（质疑）的，视为投标人接受招标公告、招标文件所注全部条款。开标后投标人再对招标公告、招标文件等提出质疑或投诉的，招标人有理由不予受理，由此引起的损失由投标人自行承担。</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6.3招标文件的澄清答疑将在投标人须知前附表规定的时间前，在</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向所有投标人公示，但招标人不指明澄清问题的来源。如果招标人在检查投标人提交的工程量差异问题后认为没有必要对工程量清单进行补充和(或)修改，或者招标人根据投标人所提问题对工程量清单进行了补充和(或)修改，但投标人认为工程量清单中的工程量依然存在差异，则此类差异不再提交招标人答疑和修正，而是直接按招标人提供的工程量清单(包括招标人已作的补充和(或)修改)进行投标报价。</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投标人对招标人提供的招标文件所做出的推论、解释和结论，招标人概不负责。投标人由于对招标文件的任何推论和误解均由投标人自负。</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在投标截止时间</w:t>
      </w: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天前，招标人可以修改招标文件，并在</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发布。如果修改招标文件的时间距投标截止时间不足</w:t>
      </w: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天，相应延长投标截止时间。</w:t>
      </w:r>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highlight w:val="none"/>
          <w14:textFill>
            <w14:solidFill>
              <w14:schemeClr w14:val="tx1"/>
            </w14:solidFill>
          </w14:textFill>
        </w:rPr>
      </w:pPr>
      <w:r>
        <w:rPr>
          <w:rFonts w:ascii="宋体" w:hAnsi="宋体"/>
          <w:b/>
          <w:color w:val="000000" w:themeColor="text1"/>
          <w:kern w:val="0"/>
          <w:sz w:val="24"/>
          <w:highlight w:val="none"/>
          <w14:textFill>
            <w14:solidFill>
              <w14:schemeClr w14:val="tx1"/>
            </w14:solidFill>
          </w14:textFill>
        </w:rPr>
        <w:t>7、招标文件的修改</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7.1招标文件发布后，在投标截止期前，确需对招标文件进行修改的，招标人以招标文件澄清、答疑方式，经</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向所有投标人公示。</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7.2招标人在投标截止期前对招标文件的所作澄清、答疑、修改作为招标文件的组成部分，对招标人、投标人均具有约束力。如果修改招标文件时间距投标截止时间不足</w:t>
      </w: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天，为保证投标人合理时间编制投标文件，招标人应合理延长递交投标文件的截止日期。</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szCs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7.3本工程采用电子答疑，招标人对招标文件的所作澄清、答疑、修改均以</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上公布的内容为准。招标文件的答疑内容前后期相互矛盾时，以公示时间在后的文件为准。投标人应在投标截止时间前随时查看</w:t>
      </w:r>
      <w:r>
        <w:rPr>
          <w:rFonts w:hint="eastAsia" w:ascii="宋体" w:hAnsi="宋体"/>
          <w:color w:val="000000" w:themeColor="text1"/>
          <w:sz w:val="24"/>
          <w:highlight w:val="none"/>
          <w14:textFill>
            <w14:solidFill>
              <w14:schemeClr w14:val="tx1"/>
            </w14:solidFill>
          </w14:textFill>
        </w:rPr>
        <w:t>南通市水利局-公告公示栏</w:t>
      </w:r>
      <w:r>
        <w:rPr>
          <w:rFonts w:ascii="宋体" w:hAnsi="宋体"/>
          <w:color w:val="000000" w:themeColor="text1"/>
          <w:sz w:val="24"/>
          <w:highlight w:val="none"/>
          <w14:textFill>
            <w14:solidFill>
              <w14:schemeClr w14:val="tx1"/>
            </w14:solidFill>
          </w14:textFill>
        </w:rPr>
        <w:t>中有关该工程招标文件的答疑内容。投标人因自身原因未能及时掌握上述网上公示信息，由此造成投标损失自负。</w:t>
      </w: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（三）投标文件</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8</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投标人应认真阅读招标文件所有内容，未按招标文件要求编制的投标文件将被拒绝或者作为废标处理。</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9</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本工程投标文件由</w:t>
      </w:r>
      <w:r>
        <w:rPr>
          <w:rFonts w:ascii="宋体" w:hAnsi="宋体"/>
          <w:b/>
          <w:color w:val="000000" w:themeColor="text1"/>
          <w:sz w:val="24"/>
          <w:szCs w:val="24"/>
          <w:highlight w:val="none"/>
          <w:u w:val="single"/>
          <w14:textFill>
            <w14:solidFill>
              <w14:schemeClr w14:val="tx1"/>
            </w14:solidFill>
          </w14:textFill>
        </w:rPr>
        <w:t>资格审查资料包、商务标</w:t>
      </w:r>
      <w:r>
        <w:rPr>
          <w:rFonts w:hint="eastAsia" w:ascii="宋体" w:hAnsi="宋体"/>
          <w:bCs/>
          <w:color w:val="000000" w:themeColor="text1"/>
          <w:sz w:val="24"/>
          <w:szCs w:val="24"/>
          <w:highlight w:val="none"/>
          <w14:textFill>
            <w14:solidFill>
              <w14:schemeClr w14:val="tx1"/>
            </w14:solidFill>
          </w14:textFill>
        </w:rPr>
        <w:t>两</w:t>
      </w:r>
      <w:r>
        <w:rPr>
          <w:rFonts w:ascii="宋体" w:hAnsi="宋体"/>
          <w:bCs/>
          <w:color w:val="000000" w:themeColor="text1"/>
          <w:sz w:val="24"/>
          <w:szCs w:val="24"/>
          <w:highlight w:val="none"/>
          <w14:textFill>
            <w14:solidFill>
              <w14:schemeClr w14:val="tx1"/>
            </w14:solidFill>
          </w14:textFill>
        </w:rPr>
        <w:t>部</w:t>
      </w:r>
      <w:r>
        <w:rPr>
          <w:rFonts w:ascii="宋体" w:hAnsi="宋体"/>
          <w:color w:val="000000" w:themeColor="text1"/>
          <w:sz w:val="24"/>
          <w:szCs w:val="24"/>
          <w:highlight w:val="none"/>
          <w14:textFill>
            <w14:solidFill>
              <w14:schemeClr w14:val="tx1"/>
            </w14:solidFill>
          </w14:textFill>
        </w:rPr>
        <w:t>分组成，具体应包括以下内容：</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9.</w:t>
      </w:r>
      <w:r>
        <w:rPr>
          <w:rFonts w:hint="eastAsia" w:ascii="宋体" w:hAnsi="宋体"/>
          <w:b/>
          <w:color w:val="000000" w:themeColor="text1"/>
          <w:sz w:val="24"/>
          <w:szCs w:val="24"/>
          <w:highlight w:val="none"/>
          <w14:textFill>
            <w14:solidFill>
              <w14:schemeClr w14:val="tx1"/>
            </w14:solidFill>
          </w14:textFill>
        </w:rPr>
        <w:t xml:space="preserve">1 </w:t>
      </w:r>
      <w:r>
        <w:rPr>
          <w:rFonts w:ascii="宋体" w:hAnsi="宋体"/>
          <w:b/>
          <w:color w:val="000000" w:themeColor="text1"/>
          <w:sz w:val="24"/>
          <w:szCs w:val="24"/>
          <w:highlight w:val="none"/>
          <w14:textFill>
            <w14:solidFill>
              <w14:schemeClr w14:val="tx1"/>
            </w14:solidFill>
          </w14:textFill>
        </w:rPr>
        <w:t>资格审查资料包包括内容：</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bookmarkStart w:id="30" w:name="OLE_LINK1"/>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法定代表人身份证明书（格式见第六章）；</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授权委托书</w:t>
      </w:r>
      <w:r>
        <w:rPr>
          <w:rFonts w:ascii="宋体" w:hAnsi="宋体" w:cs="宋体"/>
          <w:color w:val="000000" w:themeColor="text1"/>
          <w:sz w:val="24"/>
          <w:szCs w:val="24"/>
          <w:highlight w:val="non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如有授权</w:t>
      </w:r>
      <w:r>
        <w:rPr>
          <w:rFonts w:ascii="宋体" w:hAnsi="宋体" w:cs="宋体"/>
          <w:color w:val="000000" w:themeColor="text1"/>
          <w:sz w:val="24"/>
          <w:szCs w:val="24"/>
          <w:highlight w:val="non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（格式见第六章）；</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企业法人营业执照（副本）复印件；</w:t>
      </w:r>
    </w:p>
    <w:p>
      <w:pPr>
        <w:pageBreakBefore w:val="0"/>
        <w:kinsoku/>
        <w:overflowPunct/>
        <w:topLinePunct w:val="0"/>
        <w:bidi w:val="0"/>
        <w:spacing w:line="360" w:lineRule="auto"/>
        <w:ind w:left="0" w:leftChars="0" w:right="0" w:rightChars="0" w:firstLine="360" w:firstLineChars="15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 (4)</w:t>
      </w:r>
      <w:r>
        <w:rPr>
          <w:rFonts w:hint="eastAsia" w:ascii="宋体" w:hAnsi="宋体" w:cs="宋体"/>
          <w:color w:val="000000" w:themeColor="text1"/>
          <w:sz w:val="24"/>
          <w:szCs w:val="24"/>
          <w:highlight w:val="none"/>
          <w14:textFill>
            <w14:solidFill>
              <w14:schemeClr w14:val="tx1"/>
            </w14:solidFill>
          </w14:textFill>
        </w:rPr>
        <w:t>企业资质证书（副本）复印件；</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企业安全生产许可证（副本）复印件；</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拟派项目负责人的建造师注册证书复印件；</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(7)</w:t>
      </w:r>
      <w:r>
        <w:rPr>
          <w:rFonts w:hint="eastAsia" w:ascii="宋体" w:hAnsi="宋体" w:cs="宋体"/>
          <w:color w:val="000000" w:themeColor="text1"/>
          <w:sz w:val="24"/>
          <w:szCs w:val="24"/>
          <w:highlight w:val="none"/>
          <w14:textFill>
            <w14:solidFill>
              <w14:schemeClr w14:val="tx1"/>
            </w14:solidFill>
          </w14:textFill>
        </w:rPr>
        <w:t>拟派项目负责人安全生产考核合格证（</w:t>
      </w:r>
      <w:r>
        <w:rPr>
          <w:rFonts w:ascii="宋体" w:hAnsi="宋体" w:cs="宋体"/>
          <w:color w:val="000000" w:themeColor="text1"/>
          <w:sz w:val="24"/>
          <w:szCs w:val="24"/>
          <w:highlight w:val="none"/>
          <w14:textFill>
            <w14:solidFill>
              <w14:schemeClr w14:val="tx1"/>
            </w14:solidFill>
          </w14:textFill>
        </w:rPr>
        <w:t>B</w:t>
      </w:r>
      <w:r>
        <w:rPr>
          <w:rFonts w:hint="eastAsia" w:ascii="宋体" w:hAnsi="宋体" w:cs="宋体"/>
          <w:color w:val="000000" w:themeColor="text1"/>
          <w:sz w:val="24"/>
          <w:szCs w:val="24"/>
          <w:highlight w:val="none"/>
          <w14:textFill>
            <w14:solidFill>
              <w14:schemeClr w14:val="tx1"/>
            </w14:solidFill>
          </w14:textFill>
        </w:rPr>
        <w:t>证）复印件；</w:t>
      </w:r>
    </w:p>
    <w:p>
      <w:pPr>
        <w:pageBreakBefore w:val="0"/>
        <w:kinsoku/>
        <w:overflowPunct/>
        <w:topLinePunct w:val="0"/>
        <w:bidi w:val="0"/>
        <w:spacing w:line="360" w:lineRule="auto"/>
        <w:ind w:left="0" w:leftChars="0" w:right="0" w:rightChars="0" w:firstLine="480" w:firstLineChars="200"/>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拟派项目负责人为投标企业正式人员证明材料复印件（必须提供：拟派项目负责人与投标企业签订的有效劳动合同书</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bCs/>
          <w:color w:val="000000" w:themeColor="text1"/>
          <w:sz w:val="24"/>
          <w:highlight w:val="none"/>
          <w14:textFill>
            <w14:solidFill>
              <w14:schemeClr w14:val="tx1"/>
            </w14:solidFill>
          </w14:textFill>
        </w:rPr>
        <w:t>社保机构出具并盖章的投标企业为项目负责人缴纳的20</w:t>
      </w:r>
      <w:r>
        <w:rPr>
          <w:rFonts w:hint="eastAsia" w:ascii="宋体" w:hAnsi="宋体"/>
          <w:bCs/>
          <w:color w:val="000000" w:themeColor="text1"/>
          <w:sz w:val="24"/>
          <w:highlight w:val="none"/>
          <w:lang w:val="en-US" w:eastAsia="zh-CN"/>
          <w14:textFill>
            <w14:solidFill>
              <w14:schemeClr w14:val="tx1"/>
            </w14:solidFill>
          </w14:textFill>
        </w:rPr>
        <w:t>25</w:t>
      </w:r>
      <w:r>
        <w:rPr>
          <w:rFonts w:hint="eastAsia" w:ascii="宋体" w:hAnsi="宋体"/>
          <w:bCs/>
          <w:color w:val="000000" w:themeColor="text1"/>
          <w:sz w:val="24"/>
          <w:highlight w:val="none"/>
          <w14:textFill>
            <w14:solidFill>
              <w14:schemeClr w14:val="tx1"/>
            </w14:solidFill>
          </w14:textFill>
        </w:rPr>
        <w:t>年</w:t>
      </w:r>
      <w:r>
        <w:rPr>
          <w:rFonts w:hint="eastAsia" w:ascii="宋体" w:hAnsi="宋体"/>
          <w:bCs/>
          <w:color w:val="000000" w:themeColor="text1"/>
          <w:sz w:val="24"/>
          <w:highlight w:val="none"/>
          <w:lang w:val="en-US" w:eastAsia="zh-CN"/>
          <w14:textFill>
            <w14:solidFill>
              <w14:schemeClr w14:val="tx1"/>
            </w14:solidFill>
          </w14:textFill>
        </w:rPr>
        <w:t>6</w:t>
      </w:r>
      <w:r>
        <w:rPr>
          <w:rFonts w:hint="eastAsia" w:ascii="宋体" w:hAnsi="宋体"/>
          <w:bCs/>
          <w:color w:val="000000" w:themeColor="text1"/>
          <w:sz w:val="24"/>
          <w:highlight w:val="none"/>
          <w14:textFill>
            <w14:solidFill>
              <w14:schemeClr w14:val="tx1"/>
            </w14:solidFill>
          </w14:textFill>
        </w:rPr>
        <w:t>月～20</w:t>
      </w:r>
      <w:r>
        <w:rPr>
          <w:rFonts w:hint="eastAsia" w:ascii="宋体" w:hAnsi="宋体"/>
          <w:bCs/>
          <w:color w:val="000000" w:themeColor="text1"/>
          <w:sz w:val="24"/>
          <w:highlight w:val="none"/>
          <w:lang w:val="en-US" w:eastAsia="zh-CN"/>
          <w14:textFill>
            <w14:solidFill>
              <w14:schemeClr w14:val="tx1"/>
            </w14:solidFill>
          </w14:textFill>
        </w:rPr>
        <w:t>25</w:t>
      </w:r>
      <w:r>
        <w:rPr>
          <w:rFonts w:hint="eastAsia" w:ascii="宋体" w:hAnsi="宋体"/>
          <w:bCs/>
          <w:color w:val="000000" w:themeColor="text1"/>
          <w:sz w:val="24"/>
          <w:highlight w:val="none"/>
          <w14:textFill>
            <w14:solidFill>
              <w14:schemeClr w14:val="tx1"/>
            </w14:solidFill>
          </w14:textFill>
        </w:rPr>
        <w:t>年</w:t>
      </w:r>
      <w:r>
        <w:rPr>
          <w:rFonts w:hint="eastAsia" w:ascii="宋体" w:hAnsi="宋体"/>
          <w:bCs/>
          <w:color w:val="000000" w:themeColor="text1"/>
          <w:sz w:val="24"/>
          <w:highlight w:val="none"/>
          <w:lang w:val="en-US" w:eastAsia="zh-CN"/>
          <w14:textFill>
            <w14:solidFill>
              <w14:schemeClr w14:val="tx1"/>
            </w14:solidFill>
          </w14:textFill>
        </w:rPr>
        <w:t>8</w:t>
      </w:r>
      <w:r>
        <w:rPr>
          <w:rFonts w:hint="eastAsia" w:ascii="宋体" w:hAnsi="宋体"/>
          <w:bCs/>
          <w:color w:val="000000" w:themeColor="text1"/>
          <w:sz w:val="24"/>
          <w:highlight w:val="none"/>
          <w14:textFill>
            <w14:solidFill>
              <w14:schemeClr w14:val="tx1"/>
            </w14:solidFill>
          </w14:textFill>
        </w:rPr>
        <w:t>月</w:t>
      </w:r>
      <w:r>
        <w:rPr>
          <w:rFonts w:hint="eastAsia" w:ascii="宋体" w:hAnsi="宋体"/>
          <w:bCs/>
          <w:color w:val="000000" w:themeColor="text1"/>
          <w:sz w:val="24"/>
          <w:highlight w:val="none"/>
          <w:lang w:val="en-US" w:eastAsia="zh-CN"/>
          <w14:textFill>
            <w14:solidFill>
              <w14:schemeClr w14:val="tx1"/>
            </w14:solidFill>
          </w14:textFill>
        </w:rPr>
        <w:t>任意一</w:t>
      </w:r>
      <w:bookmarkStart w:id="52" w:name="_GoBack"/>
      <w:bookmarkEnd w:id="52"/>
      <w:r>
        <w:rPr>
          <w:rFonts w:hint="eastAsia" w:ascii="宋体" w:hAnsi="宋体"/>
          <w:bCs/>
          <w:color w:val="000000" w:themeColor="text1"/>
          <w:sz w:val="24"/>
          <w:highlight w:val="none"/>
          <w:lang w:val="en-US" w:eastAsia="zh-CN"/>
          <w14:textFill>
            <w14:solidFill>
              <w14:schemeClr w14:val="tx1"/>
            </w14:solidFill>
          </w14:textFill>
        </w:rPr>
        <w:t>个月</w:t>
      </w:r>
      <w:r>
        <w:rPr>
          <w:rFonts w:hint="eastAsia" w:ascii="宋体" w:hAnsi="宋体"/>
          <w:bCs/>
          <w:color w:val="000000" w:themeColor="text1"/>
          <w:sz w:val="24"/>
          <w:highlight w:val="none"/>
          <w14:textFill>
            <w14:solidFill>
              <w14:schemeClr w14:val="tx1"/>
            </w14:solidFill>
          </w14:textFill>
        </w:rPr>
        <w:t>的</w:t>
      </w:r>
      <w:r>
        <w:rPr>
          <w:rFonts w:hint="eastAsia" w:ascii="宋体" w:hAnsi="宋体"/>
          <w:bCs/>
          <w:color w:val="000000" w:themeColor="text1"/>
          <w:sz w:val="24"/>
          <w:highlight w:val="none"/>
          <w:lang w:val="en-US" w:eastAsia="zh-CN"/>
          <w14:textFill>
            <w14:solidFill>
              <w14:schemeClr w14:val="tx1"/>
            </w14:solidFill>
          </w14:textFill>
        </w:rPr>
        <w:t>社保</w:t>
      </w:r>
      <w:r>
        <w:rPr>
          <w:rFonts w:hint="eastAsia" w:ascii="宋体" w:hAnsi="宋体" w:cs="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(9)投标企业2020年8月1日以来（以合同签订日期为准）承担过单项合同价在25万元及以上的水工建筑物防腐项目业绩。业绩证明材料须同时提供合同、完工验收证明复印件；</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10</w:t>
      </w:r>
      <w:r>
        <w:rPr>
          <w:rFonts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诚信承诺书原件（格式见第六章）；</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ascii="宋体" w:hAnsi="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资格审查文件表格（格式见第六章）</w:t>
      </w:r>
      <w:r>
        <w:rPr>
          <w:rFonts w:ascii="宋体" w:hAnsi="宋体" w:cs="宋体"/>
          <w:color w:val="000000" w:themeColor="text1"/>
          <w:sz w:val="24"/>
          <w:szCs w:val="24"/>
          <w:highlight w:val="none"/>
          <w14:textFill>
            <w14:solidFill>
              <w14:schemeClr w14:val="tx1"/>
            </w14:solidFill>
          </w14:textFill>
        </w:rPr>
        <w:t>;</w:t>
      </w:r>
    </w:p>
    <w:bookmarkEnd w:id="30"/>
    <w:p>
      <w:pPr>
        <w:pageBreakBefore w:val="0"/>
        <w:kinsoku/>
        <w:overflowPunct/>
        <w:topLinePunct w:val="0"/>
        <w:bidi w:val="0"/>
        <w:spacing w:line="360" w:lineRule="auto"/>
        <w:ind w:left="0" w:leftChars="0" w:right="0" w:rightChars="0" w:firstLine="602" w:firstLineChars="25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u w:val="single"/>
          <w14:textFill>
            <w14:solidFill>
              <w14:schemeClr w14:val="tx1"/>
            </w14:solidFill>
          </w14:textFill>
        </w:rPr>
        <w:t>具体要求详见本招标文件第二章中附件《资格审查标准汇总表》。提供的资格审查材料及审查标准，前后矛盾的以《资格审查标准汇总表》为准。</w:t>
      </w:r>
    </w:p>
    <w:p>
      <w:pPr>
        <w:pageBreakBefore w:val="0"/>
        <w:kinsoku/>
        <w:overflowPunct/>
        <w:topLinePunct w:val="0"/>
        <w:bidi w:val="0"/>
        <w:spacing w:line="360" w:lineRule="auto"/>
        <w:ind w:left="0" w:leftChars="0" w:right="0" w:rightChars="0" w:firstLine="602" w:firstLineChars="25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u w:val="single"/>
          <w14:textFill>
            <w14:solidFill>
              <w14:schemeClr w14:val="tx1"/>
            </w14:solidFill>
          </w14:textFill>
        </w:rPr>
        <w:t>以上复印件须加盖投标单位公章，所有材料须统一密封在一个封袋中并编写材料目录，以便在开标时核查，并在封袋上加盖投标人单位公章和法定代表人印章。</w:t>
      </w:r>
    </w:p>
    <w:p>
      <w:pPr>
        <w:pageBreakBefore w:val="0"/>
        <w:kinsoku/>
        <w:overflowPunct/>
        <w:topLinePunct w:val="0"/>
        <w:bidi w:val="0"/>
        <w:spacing w:line="360" w:lineRule="auto"/>
        <w:ind w:left="0" w:leftChars="0" w:right="0" w:rightChars="0" w:firstLine="482" w:firstLineChars="200"/>
        <w:rPr>
          <w:rFonts w:ascii="宋体" w:hAnsi="宋体"/>
          <w:b/>
          <w:bCs/>
          <w:color w:val="000000" w:themeColor="text1"/>
          <w:sz w:val="24"/>
          <w:szCs w:val="24"/>
          <w:highlight w:val="none"/>
          <w14:textFill>
            <w14:solidFill>
              <w14:schemeClr w14:val="tx1"/>
            </w14:solidFill>
          </w14:textFill>
        </w:rPr>
      </w:pPr>
      <w:r>
        <w:rPr>
          <w:rFonts w:ascii="宋体" w:hAnsi="宋体" w:cs="宋体"/>
          <w:b/>
          <w:bCs/>
          <w:color w:val="000000" w:themeColor="text1"/>
          <w:sz w:val="24"/>
          <w:szCs w:val="24"/>
          <w:highlight w:val="none"/>
          <w14:textFill>
            <w14:solidFill>
              <w14:schemeClr w14:val="tx1"/>
            </w14:solidFill>
          </w14:textFill>
        </w:rPr>
        <w:t>9.</w:t>
      </w:r>
      <w:r>
        <w:rPr>
          <w:rFonts w:hint="eastAsia" w:ascii="宋体" w:hAnsi="宋体" w:cs="宋体"/>
          <w:b/>
          <w:bCs/>
          <w:color w:val="000000" w:themeColor="text1"/>
          <w:sz w:val="24"/>
          <w:szCs w:val="24"/>
          <w:highlight w:val="none"/>
          <w14:textFill>
            <w14:solidFill>
              <w14:schemeClr w14:val="tx1"/>
            </w14:solidFill>
          </w14:textFill>
        </w:rPr>
        <w:t>2 商务标包括内容：</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1</w:t>
      </w:r>
      <w:r>
        <w:rPr>
          <w:rFonts w:ascii="宋体" w:hAnsi="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投标函（格式参见第七章）；</w:t>
      </w:r>
    </w:p>
    <w:p>
      <w:pPr>
        <w:pageBreakBefore w:val="0"/>
        <w:kinsoku/>
        <w:overflowPunct/>
        <w:topLinePunct w:val="0"/>
        <w:bidi w:val="0"/>
        <w:spacing w:line="360" w:lineRule="auto"/>
        <w:ind w:right="0" w:rightChars="0" w:firstLine="480" w:firstLineChars="200"/>
        <w:rPr>
          <w:rFonts w:hint="eastAsia" w:ascii="宋体" w:hAnsi="宋体" w:cs="宋体"/>
          <w:color w:val="000000" w:themeColor="text1"/>
          <w:sz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2</w:t>
      </w:r>
      <w:r>
        <w:rPr>
          <w:rFonts w:ascii="宋体" w:hAnsi="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已标价的工程量清单：</w:t>
      </w:r>
    </w:p>
    <w:p>
      <w:pPr>
        <w:pageBreakBefore w:val="0"/>
        <w:kinsoku/>
        <w:overflowPunct/>
        <w:topLinePunct w:val="0"/>
        <w:bidi w:val="0"/>
        <w:spacing w:line="360" w:lineRule="auto"/>
        <w:ind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lang w:val="en-US" w:eastAsia="zh-CN"/>
          <w14:textFill>
            <w14:solidFill>
              <w14:schemeClr w14:val="tx1"/>
            </w14:solidFill>
          </w14:textFill>
        </w:rPr>
        <w:t>3</w:t>
      </w:r>
      <w:r>
        <w:rPr>
          <w:rFonts w:ascii="宋体" w:hAnsi="宋体"/>
          <w:color w:val="000000" w:themeColor="text1"/>
          <w:sz w:val="24"/>
          <w:szCs w:val="24"/>
          <w:highlight w:val="none"/>
          <w14:textFill>
            <w14:solidFill>
              <w14:schemeClr w14:val="tx1"/>
            </w14:solidFill>
          </w14:textFill>
        </w:rPr>
        <w:t>)计划投入的主要施工机械设备表、主要施工管理人员表。</w:t>
      </w:r>
    </w:p>
    <w:p>
      <w:pPr>
        <w:pageBreakBefore w:val="0"/>
        <w:kinsoku/>
        <w:overflowPunct/>
        <w:topLinePunct w:val="0"/>
        <w:bidi w:val="0"/>
        <w:spacing w:line="360" w:lineRule="auto"/>
        <w:ind w:left="0" w:leftChars="0" w:right="0" w:rightChars="0" w:firstLine="602" w:firstLineChars="25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u w:val="single"/>
          <w14:textFill>
            <w14:solidFill>
              <w14:schemeClr w14:val="tx1"/>
            </w14:solidFill>
          </w14:textFill>
        </w:rPr>
        <w:t>未尽之处具体详见第二章“评标办法”中的“资格审查标准汇总表”提供的资格审查材料及审查标准，前后矛盾的以《资格审查标准汇总表》为准。</w:t>
      </w:r>
    </w:p>
    <w:p>
      <w:pPr>
        <w:pageBreakBefore w:val="0"/>
        <w:widowControl/>
        <w:kinsoku/>
        <w:overflowPunct/>
        <w:topLinePunct w:val="0"/>
        <w:bidi w:val="0"/>
        <w:spacing w:line="360" w:lineRule="auto"/>
        <w:ind w:left="0" w:leftChars="0" w:right="0" w:rightChars="0" w:firstLine="602" w:firstLineChars="250"/>
        <w:jc w:val="left"/>
        <w:rPr>
          <w:rFonts w:ascii="宋体" w:hAnsi="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本项目资格审查以资格审查资料包的内容为准，招标文件中要求提交的资料请各投标人务必提供齐全。</w:t>
      </w:r>
    </w:p>
    <w:p>
      <w:pPr>
        <w:pageBreakBefore w:val="0"/>
        <w:kinsoku/>
        <w:overflowPunct/>
        <w:topLinePunct w:val="0"/>
        <w:bidi w:val="0"/>
        <w:spacing w:line="360" w:lineRule="auto"/>
        <w:ind w:left="0" w:leftChars="0" w:right="0" w:rightChars="0" w:firstLine="48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10</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招标文件提供的文件格式(第六章</w:t>
      </w:r>
      <w:r>
        <w:rPr>
          <w:rFonts w:hint="eastAsia" w:ascii="宋体" w:hAnsi="宋体"/>
          <w:color w:val="000000" w:themeColor="text1"/>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第七章)投标人必须使用。但表式可以按同样格式进行扩展。</w:t>
      </w:r>
    </w:p>
    <w:p>
      <w:pPr>
        <w:pageBreakBefore w:val="0"/>
        <w:kinsoku/>
        <w:overflowPunct/>
        <w:topLinePunct w:val="0"/>
        <w:bidi w:val="0"/>
        <w:spacing w:line="360" w:lineRule="auto"/>
        <w:ind w:left="0" w:leftChars="0" w:right="0" w:rightChars="0" w:firstLine="482" w:firstLineChars="200"/>
        <w:outlineLvl w:val="3"/>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11</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纸质投标文件正本须用不能擦去的墨水书写或打印，投标文件副本可以复印，其正、副本都应装订成册，并在封面上正确标明“正本”、“副本”字样。资格审查资料包、商务标分开装袋密封。</w:t>
      </w:r>
    </w:p>
    <w:p>
      <w:pPr>
        <w:pageBreakBefore w:val="0"/>
        <w:kinsoku/>
        <w:overflowPunct/>
        <w:topLinePunct w:val="0"/>
        <w:bidi w:val="0"/>
        <w:spacing w:line="360" w:lineRule="auto"/>
        <w:ind w:left="0" w:leftChars="0" w:right="0" w:rightChars="0" w:firstLine="480" w:firstLineChars="200"/>
        <w:outlineLvl w:val="3"/>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全套投标文件应无修改和行间插字。如有修改，须在修改处加盖投标人法定代表人或其代理人的印鉴。</w:t>
      </w:r>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12</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b/>
          <w:color w:val="000000" w:themeColor="text1"/>
          <w:kern w:val="0"/>
          <w:sz w:val="24"/>
          <w:szCs w:val="24"/>
          <w:highlight w:val="none"/>
          <w14:textFill>
            <w14:solidFill>
              <w14:schemeClr w14:val="tx1"/>
            </w14:solidFill>
          </w14:textFill>
        </w:rPr>
        <w:t>投标有效期</w:t>
      </w:r>
    </w:p>
    <w:p>
      <w:pPr>
        <w:pageBreakBefore w:val="0"/>
        <w:kinsoku/>
        <w:overflowPunct/>
        <w:topLinePunct w:val="0"/>
        <w:autoSpaceDE w:val="0"/>
        <w:autoSpaceDN w:val="0"/>
        <w:bidi w:val="0"/>
        <w:adjustRightInd w:val="0"/>
        <w:spacing w:line="360" w:lineRule="auto"/>
        <w:ind w:left="0" w:leftChars="0" w:right="0" w:rightChars="0"/>
        <w:jc w:val="left"/>
        <w:rPr>
          <w:rFonts w:ascii="宋体" w:hAnsi="宋体"/>
          <w:b/>
          <w:color w:val="000000" w:themeColor="text1"/>
          <w:kern w:val="0"/>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投标文件自投标截止时间起至投标须知前附表规定的时间内有效。</w:t>
      </w:r>
    </w:p>
    <w:p>
      <w:pPr>
        <w:pageBreakBefore w:val="0"/>
        <w:kinsoku/>
        <w:overflowPunct/>
        <w:topLinePunct w:val="0"/>
        <w:autoSpaceDE w:val="0"/>
        <w:autoSpaceDN w:val="0"/>
        <w:bidi w:val="0"/>
        <w:adjustRightInd w:val="0"/>
        <w:spacing w:line="360" w:lineRule="auto"/>
        <w:ind w:left="0" w:leftChars="0" w:right="0" w:rightChars="0" w:firstLine="482" w:firstLineChars="200"/>
        <w:jc w:val="left"/>
        <w:rPr>
          <w:rFonts w:ascii="宋体" w:hAnsi="宋体"/>
          <w:b/>
          <w:color w:val="000000" w:themeColor="text1"/>
          <w:kern w:val="0"/>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13</w:t>
      </w:r>
      <w:r>
        <w:rPr>
          <w:rFonts w:hint="eastAsia" w:ascii="宋体" w:hAnsi="宋体"/>
          <w:b/>
          <w:color w:val="000000" w:themeColor="text1"/>
          <w:kern w:val="0"/>
          <w:sz w:val="24"/>
          <w:szCs w:val="24"/>
          <w:highlight w:val="none"/>
          <w14:textFill>
            <w14:solidFill>
              <w14:schemeClr w14:val="tx1"/>
            </w14:solidFill>
          </w14:textFill>
        </w:rPr>
        <w:t>、</w:t>
      </w:r>
      <w:r>
        <w:rPr>
          <w:rFonts w:ascii="宋体" w:hAnsi="宋体"/>
          <w:b/>
          <w:color w:val="000000" w:themeColor="text1"/>
          <w:kern w:val="0"/>
          <w:sz w:val="24"/>
          <w:szCs w:val="24"/>
          <w:highlight w:val="none"/>
          <w14:textFill>
            <w14:solidFill>
              <w14:schemeClr w14:val="tx1"/>
            </w14:solidFill>
          </w14:textFill>
        </w:rPr>
        <w:t>投标保证金</w:t>
      </w:r>
      <w:r>
        <w:rPr>
          <w:rFonts w:hint="eastAsia" w:ascii="宋体" w:hAnsi="宋体"/>
          <w:b/>
          <w:color w:val="000000" w:themeColor="text1"/>
          <w:kern w:val="0"/>
          <w:sz w:val="24"/>
          <w:szCs w:val="24"/>
          <w:highlight w:val="none"/>
          <w14:textFill>
            <w14:solidFill>
              <w14:schemeClr w14:val="tx1"/>
            </w14:solidFill>
          </w14:textFill>
        </w:rPr>
        <w:t>（本工程不设置投标保证金）</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w:t>
      </w:r>
      <w:r>
        <w:rPr>
          <w:rFonts w:hint="eastAsia" w:ascii="宋体" w:hAnsi="宋体"/>
          <w:b/>
          <w:color w:val="000000" w:themeColor="text1"/>
          <w:sz w:val="24"/>
          <w:szCs w:val="24"/>
          <w:highlight w:val="none"/>
          <w14:textFill>
            <w14:solidFill>
              <w14:schemeClr w14:val="tx1"/>
            </w14:solidFill>
          </w14:textFill>
        </w:rPr>
        <w:t>、</w:t>
      </w:r>
      <w:r>
        <w:rPr>
          <w:rFonts w:ascii="宋体" w:hAnsi="宋体"/>
          <w:b/>
          <w:color w:val="000000" w:themeColor="text1"/>
          <w:sz w:val="24"/>
          <w:szCs w:val="24"/>
          <w:highlight w:val="none"/>
          <w14:textFill>
            <w14:solidFill>
              <w14:schemeClr w14:val="tx1"/>
            </w14:solidFill>
          </w14:textFill>
        </w:rPr>
        <w:t>投标保证金退还</w:t>
      </w:r>
      <w:r>
        <w:rPr>
          <w:rFonts w:hint="eastAsia" w:ascii="宋体" w:hAnsi="宋体"/>
          <w:b/>
          <w:color w:val="000000" w:themeColor="text1"/>
          <w:sz w:val="24"/>
          <w:szCs w:val="24"/>
          <w:highlight w:val="none"/>
          <w14:textFill>
            <w14:solidFill>
              <w14:schemeClr w14:val="tx1"/>
            </w14:solidFill>
          </w14:textFill>
        </w:rPr>
        <w:t>（不适用）</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14.1 未中标单位的投标保证金在其定标后予以退还。</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14.2 中标单位的投标保证金在施工合同生效后一周内予以退还。</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14.3 投标人出现下列情况，其投标保证金一律不予退还。</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14.3.1投标人在投标有效期内撤回其投标文件；</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14.3.2投标人存在《江苏省房屋建筑和市政基础设施工程招标投标中串通投标和弄虚作假行为认定处理办法（试行）》（苏建规字〔2014〕2号）第四条、第五条、第六条、第七条规定的串通投标、弄虚作假等行为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14.3.3不同投标人的投标文件、已标价的工程量清单经清标软件分析，出现了评标委员会认为不应当雷同的情况（相同错误）的，且被评委认定为串标的。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14.3.4投标人已签订《诚信承诺书》（详见招标文件标准格式）的，自投标之日起，中标公示结束之日止，经举报或区招标监管机构（评标委员会）复核，有悖于《诚信承诺书》相关承诺的，且查证属实的。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14.4中标通知书发出后，除不可抗力情况外，中标人出现下列情形之一的，招标人必须取消其中标资格，并不予退还其投标保证金：</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14.4.1放弃中标项目的；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14.4.2拒不按照招标文件的要求提交履约保证金的；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14.4.3除不可抗力情况外不执行本招标文件第一章第34条款、35条款的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14.4.4不与招标人签订合同的，或者在签订合同时向招标人提出附加条件或者更改合同实质性内容的。</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ascii="宋体" w:hAnsi="宋体"/>
          <w:b/>
          <w:color w:val="000000" w:themeColor="text1"/>
          <w:sz w:val="24"/>
          <w:szCs w:val="24"/>
          <w:highlight w:val="none"/>
          <w14:textFill>
            <w14:solidFill>
              <w14:schemeClr w14:val="tx1"/>
            </w14:solidFill>
          </w14:textFill>
        </w:rPr>
        <w:t>存在上述14.3--14.4行为的，招标人不退还投标保证金并上交国库，并自认定之日起一年内不得参与</w:t>
      </w:r>
      <w:r>
        <w:rPr>
          <w:rFonts w:hint="eastAsia" w:ascii="宋体" w:hAnsi="宋体"/>
          <w:b/>
          <w:color w:val="000000" w:themeColor="text1"/>
          <w:sz w:val="24"/>
          <w:szCs w:val="24"/>
          <w:highlight w:val="none"/>
          <w:lang w:val="en-US" w:eastAsia="zh-CN"/>
          <w14:textFill>
            <w14:solidFill>
              <w14:schemeClr w14:val="tx1"/>
            </w14:solidFill>
          </w14:textFill>
        </w:rPr>
        <w:t>招标人</w:t>
      </w:r>
      <w:r>
        <w:rPr>
          <w:rFonts w:ascii="宋体" w:hAnsi="宋体"/>
          <w:b/>
          <w:color w:val="000000" w:themeColor="text1"/>
          <w:sz w:val="24"/>
          <w:szCs w:val="24"/>
          <w:highlight w:val="none"/>
          <w14:textFill>
            <w14:solidFill>
              <w14:schemeClr w14:val="tx1"/>
            </w14:solidFill>
          </w14:textFill>
        </w:rPr>
        <w:t>任何招投标活动。参与投标的企业将视为遵守以上处理条款。</w:t>
      </w: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（四）招标控制价及投标报价</w:t>
      </w:r>
      <w:bookmarkEnd w:id="26"/>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15、</w:t>
      </w:r>
      <w:r>
        <w:rPr>
          <w:rFonts w:ascii="宋体" w:hAnsi="宋体"/>
          <w:color w:val="000000" w:themeColor="text1"/>
          <w:spacing w:val="-2"/>
          <w:sz w:val="24"/>
          <w:szCs w:val="24"/>
          <w:highlight w:val="none"/>
          <w14:textFill>
            <w14:solidFill>
              <w14:schemeClr w14:val="tx1"/>
            </w14:solidFill>
          </w14:textFill>
        </w:rPr>
        <w:t>投标报价应包括</w:t>
      </w:r>
      <w:r>
        <w:rPr>
          <w:rFonts w:hint="eastAsia" w:ascii="宋体" w:hAnsi="宋体"/>
          <w:color w:val="000000" w:themeColor="text1"/>
          <w:spacing w:val="-2"/>
          <w:sz w:val="24"/>
          <w:szCs w:val="24"/>
          <w:highlight w:val="none"/>
          <w14:textFill>
            <w14:solidFill>
              <w14:schemeClr w14:val="tx1"/>
            </w14:solidFill>
          </w14:textFill>
        </w:rPr>
        <w:t>招标文件所确定的招标范围内相应设计图纸及相关资料的全部内容</w:t>
      </w:r>
      <w:r>
        <w:rPr>
          <w:rFonts w:ascii="宋体" w:hAnsi="宋体"/>
          <w:color w:val="000000" w:themeColor="text1"/>
          <w:spacing w:val="-2"/>
          <w:sz w:val="24"/>
          <w:szCs w:val="24"/>
          <w:highlight w:val="none"/>
          <w14:textFill>
            <w14:solidFill>
              <w14:schemeClr w14:val="tx1"/>
            </w14:solidFill>
          </w14:textFill>
        </w:rPr>
        <w:t>，以及为完成上述内容所必须的附属工程、临时工程、材料、劳务、机械、</w:t>
      </w:r>
      <w:r>
        <w:rPr>
          <w:rFonts w:hint="eastAsia" w:ascii="宋体" w:hAnsi="宋体"/>
          <w:color w:val="000000" w:themeColor="text1"/>
          <w:spacing w:val="-2"/>
          <w:sz w:val="24"/>
          <w:szCs w:val="24"/>
          <w:highlight w:val="none"/>
          <w:lang w:val="en-US" w:eastAsia="zh-CN"/>
          <w14:textFill>
            <w14:solidFill>
              <w14:schemeClr w14:val="tx1"/>
            </w14:solidFill>
          </w14:textFill>
        </w:rPr>
        <w:t>材料、设备、存储、运输、</w:t>
      </w:r>
      <w:r>
        <w:rPr>
          <w:rFonts w:ascii="宋体" w:hAnsi="宋体"/>
          <w:color w:val="000000" w:themeColor="text1"/>
          <w:spacing w:val="-2"/>
          <w:sz w:val="24"/>
          <w:szCs w:val="24"/>
          <w:highlight w:val="none"/>
          <w14:textFill>
            <w14:solidFill>
              <w14:schemeClr w14:val="tx1"/>
            </w14:solidFill>
          </w14:textFill>
        </w:rPr>
        <w:t>成品保护、垂直运输、脚手架搭设使用、</w:t>
      </w:r>
      <w:r>
        <w:rPr>
          <w:rFonts w:hint="eastAsia" w:ascii="宋体" w:hAnsi="宋体"/>
          <w:color w:val="000000" w:themeColor="text1"/>
          <w:spacing w:val="-2"/>
          <w:sz w:val="24"/>
          <w:szCs w:val="24"/>
          <w:highlight w:val="none"/>
          <w:lang w:val="en-US" w:eastAsia="zh-CN"/>
          <w14:textFill>
            <w14:solidFill>
              <w14:schemeClr w14:val="tx1"/>
            </w14:solidFill>
          </w14:textFill>
        </w:rPr>
        <w:t>缺陷修补、</w:t>
      </w:r>
      <w:r>
        <w:rPr>
          <w:rFonts w:ascii="宋体" w:hAnsi="宋体"/>
          <w:color w:val="000000" w:themeColor="text1"/>
          <w:spacing w:val="-2"/>
          <w:sz w:val="24"/>
          <w:szCs w:val="24"/>
          <w:highlight w:val="none"/>
          <w14:textFill>
            <w14:solidFill>
              <w14:schemeClr w14:val="tx1"/>
            </w14:solidFill>
          </w14:textFill>
        </w:rPr>
        <w:t>与各工种间的协调配合工作、清洗、养护、验收、创优、安全措施、技术措施，</w:t>
      </w:r>
      <w:r>
        <w:rPr>
          <w:rFonts w:hint="eastAsia" w:ascii="宋体" w:hAnsi="宋体"/>
          <w:color w:val="000000" w:themeColor="text1"/>
          <w:spacing w:val="-2"/>
          <w:sz w:val="24"/>
          <w:szCs w:val="24"/>
          <w:highlight w:val="none"/>
          <w:lang w:val="en-US" w:eastAsia="zh-CN"/>
          <w14:textFill>
            <w14:solidFill>
              <w14:schemeClr w14:val="tx1"/>
            </w14:solidFill>
          </w14:textFill>
        </w:rPr>
        <w:t>及</w:t>
      </w:r>
      <w:r>
        <w:rPr>
          <w:rFonts w:hint="eastAsia" w:ascii="宋体" w:hAnsi="宋体"/>
          <w:color w:val="000000" w:themeColor="text1"/>
          <w:spacing w:val="-2"/>
          <w:sz w:val="24"/>
          <w:szCs w:val="24"/>
          <w:highlight w:val="none"/>
          <w14:textFill>
            <w14:solidFill>
              <w14:schemeClr w14:val="tx1"/>
            </w14:solidFill>
          </w14:textFill>
        </w:rPr>
        <w:t>因水闸引排水对施工进度影响，保证工期的赶工费</w:t>
      </w:r>
      <w:r>
        <w:rPr>
          <w:rFonts w:hint="eastAsia" w:ascii="宋体" w:hAnsi="宋体"/>
          <w:color w:val="000000" w:themeColor="text1"/>
          <w:spacing w:val="-2"/>
          <w:sz w:val="24"/>
          <w:szCs w:val="24"/>
          <w:highlight w:val="none"/>
          <w:lang w:eastAsia="zh-CN"/>
          <w14:textFill>
            <w14:solidFill>
              <w14:schemeClr w14:val="tx1"/>
            </w14:solidFill>
          </w14:textFill>
        </w:rPr>
        <w:t>、</w:t>
      </w:r>
      <w:r>
        <w:rPr>
          <w:rFonts w:hint="eastAsia" w:ascii="宋体" w:hAnsi="宋体"/>
          <w:color w:val="000000" w:themeColor="text1"/>
          <w:spacing w:val="-2"/>
          <w:sz w:val="24"/>
          <w:szCs w:val="24"/>
          <w:highlight w:val="none"/>
          <w14:textFill>
            <w14:solidFill>
              <w14:schemeClr w14:val="tx1"/>
            </w14:solidFill>
          </w14:textFill>
        </w:rPr>
        <w:t>水闸设施设备防护费用（包括公路桥、上下游便桥、闸门门顶等部位）</w:t>
      </w:r>
      <w:r>
        <w:rPr>
          <w:rFonts w:hint="eastAsia" w:ascii="宋体" w:hAnsi="宋体"/>
          <w:color w:val="000000" w:themeColor="text1"/>
          <w:spacing w:val="-2"/>
          <w:sz w:val="24"/>
          <w:szCs w:val="24"/>
          <w:highlight w:val="none"/>
          <w:lang w:eastAsia="zh-CN"/>
          <w14:textFill>
            <w14:solidFill>
              <w14:schemeClr w14:val="tx1"/>
            </w14:solidFill>
          </w14:textFill>
        </w:rPr>
        <w:t>、</w:t>
      </w:r>
      <w:r>
        <w:rPr>
          <w:rFonts w:hint="eastAsia" w:ascii="宋体" w:hAnsi="宋体"/>
          <w:color w:val="000000" w:themeColor="text1"/>
          <w:spacing w:val="-2"/>
          <w:sz w:val="24"/>
          <w:szCs w:val="24"/>
          <w:highlight w:val="none"/>
          <w14:textFill>
            <w14:solidFill>
              <w14:schemeClr w14:val="tx1"/>
            </w14:solidFill>
          </w14:textFill>
        </w:rPr>
        <w:t>施工安全措施费</w:t>
      </w:r>
      <w:r>
        <w:rPr>
          <w:rFonts w:hint="eastAsia" w:ascii="宋体" w:hAnsi="宋体"/>
          <w:color w:val="000000" w:themeColor="text1"/>
          <w:spacing w:val="-2"/>
          <w:sz w:val="24"/>
          <w:szCs w:val="24"/>
          <w:highlight w:val="none"/>
          <w:lang w:val="en-US" w:eastAsia="zh-CN"/>
          <w14:textFill>
            <w14:solidFill>
              <w14:schemeClr w14:val="tx1"/>
            </w14:solidFill>
          </w14:textFill>
        </w:rPr>
        <w:t>等，</w:t>
      </w:r>
      <w:r>
        <w:rPr>
          <w:rFonts w:ascii="宋体" w:hAnsi="宋体"/>
          <w:color w:val="000000" w:themeColor="text1"/>
          <w:spacing w:val="-2"/>
          <w:sz w:val="24"/>
          <w:szCs w:val="24"/>
          <w:highlight w:val="none"/>
          <w14:textFill>
            <w14:solidFill>
              <w14:schemeClr w14:val="tx1"/>
            </w14:solidFill>
          </w14:textFill>
        </w:rPr>
        <w:t>作为一名有经验的投标人所应考虑到的各种因素、风险及所需的全部费用</w:t>
      </w:r>
      <w:r>
        <w:rPr>
          <w:rFonts w:ascii="宋体" w:hAnsi="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招标文件后附的工程量清单标明的工程量清单表是投标人投标报价的共同基础。招标人提供的工程量清单，投标人应结合投标须知、投标须知前附表、合同条款、技术标准和要求与图纸一起阅读理解，除设计变更外，招标人在工程量清单中未列明或项目特征描述不全，但投标人为满足招标人和设计图纸的要求而必须完成的工作，投标人应计入工程量清单相应子目中，工程结算时招标人不为此类项目另外支付。</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kern w:val="0"/>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16、投标报价方式：</w:t>
      </w:r>
    </w:p>
    <w:p>
      <w:pPr>
        <w:keepNext w:val="0"/>
        <w:keepLines w:val="0"/>
        <w:pageBreakBefore w:val="0"/>
        <w:kinsoku/>
        <w:wordWrap/>
        <w:overflowPunct/>
        <w:topLinePunct w:val="0"/>
        <w:autoSpaceDE/>
        <w:autoSpaceDN/>
        <w:bidi w:val="0"/>
        <w:adjustRightInd/>
        <w:spacing w:line="420" w:lineRule="exact"/>
        <w:ind w:firstLine="480" w:firstLineChars="200"/>
        <w:textAlignment w:val="auto"/>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16.1本工程项目</w:t>
      </w:r>
      <w:r>
        <w:rPr>
          <w:rFonts w:hint="eastAsia" w:ascii="宋体" w:hAnsi="宋体" w:cs="宋体"/>
          <w:b/>
          <w:bCs/>
          <w:color w:val="000000" w:themeColor="text1"/>
          <w:sz w:val="24"/>
          <w:szCs w:val="24"/>
          <w:highlight w:val="none"/>
          <w:u w:val="single"/>
          <w14:textFill>
            <w14:solidFill>
              <w14:schemeClr w14:val="tx1"/>
            </w14:solidFill>
          </w14:textFill>
        </w:rPr>
        <w:t>采用固定单价报价</w:t>
      </w:r>
      <w:r>
        <w:rPr>
          <w:rFonts w:hint="eastAsia" w:ascii="宋体" w:hAnsi="宋体" w:cs="宋体"/>
          <w:color w:val="000000" w:themeColor="text1"/>
          <w:sz w:val="24"/>
          <w:szCs w:val="24"/>
          <w:highlight w:val="none"/>
          <w14:textFill>
            <w14:solidFill>
              <w14:schemeClr w14:val="tx1"/>
            </w14:solidFill>
          </w14:textFill>
        </w:rPr>
        <w:t>方式。</w:t>
      </w:r>
      <w:r>
        <w:rPr>
          <w:rFonts w:hint="eastAsia" w:ascii="宋体" w:hAnsi="宋体"/>
          <w:b/>
          <w:color w:val="000000" w:themeColor="text1"/>
          <w:sz w:val="24"/>
          <w:highlight w:val="none"/>
          <w14:textFill>
            <w14:solidFill>
              <w14:schemeClr w14:val="tx1"/>
            </w14:solidFill>
          </w14:textFill>
        </w:rPr>
        <w:t>投标人报价时应充分考虑施工期间的政策性调整及各类材料的市场风险</w:t>
      </w:r>
      <w:r>
        <w:rPr>
          <w:rFonts w:hint="eastAsia" w:ascii="宋体" w:hAnsi="宋体" w:cs="宋体"/>
          <w:color w:val="000000" w:themeColor="text1"/>
          <w:sz w:val="24"/>
          <w:highlight w:val="none"/>
          <w14:textFill>
            <w14:solidFill>
              <w14:schemeClr w14:val="tx1"/>
            </w14:solidFill>
          </w14:textFill>
        </w:rPr>
        <w:t>。竣工结算的工程量按发承包双方在合同中约定应予计量且实际完成的工程量确定，完成发包人要求的合同以外的零星工作或发生非承包人责任事件的工程量按现场签证确定。</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17、投标报价的计价方法</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按照国家统一的工程量清单计价规范，配套使用江苏省建筑与装饰、</w:t>
      </w:r>
      <w:r>
        <w:rPr>
          <w:rFonts w:hint="eastAsia" w:ascii="宋体" w:hAnsi="宋体" w:cs="宋体"/>
          <w:bCs/>
          <w:color w:val="000000" w:themeColor="text1"/>
          <w:sz w:val="24"/>
          <w:szCs w:val="24"/>
          <w:highlight w:val="none"/>
          <w14:textFill>
            <w14:solidFill>
              <w14:schemeClr w14:val="tx1"/>
            </w14:solidFill>
          </w14:textFill>
        </w:rPr>
        <w:t>房屋修缮工程计价表、</w:t>
      </w:r>
      <w:r>
        <w:rPr>
          <w:rFonts w:hint="eastAsia" w:ascii="宋体" w:hAnsi="宋体" w:cs="宋体"/>
          <w:color w:val="000000" w:themeColor="text1"/>
          <w:sz w:val="24"/>
          <w:szCs w:val="24"/>
          <w:highlight w:val="none"/>
          <w14:textFill>
            <w14:solidFill>
              <w14:schemeClr w14:val="tx1"/>
            </w14:solidFill>
          </w14:textFill>
        </w:rPr>
        <w:t>安装工程计价定额（以下简称江苏省计价定额）、费用计算规则和项目指引以及相应补充规定和现行省、市有关规定。由招标人(发包人)提供工程量数量，投标人(承包人)自主报价确定工程造价的计价方式。</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kern w:val="0"/>
          <w:sz w:val="24"/>
          <w:szCs w:val="24"/>
          <w:highlight w:val="none"/>
          <w14:textFill>
            <w14:solidFill>
              <w14:schemeClr w14:val="tx1"/>
            </w14:solidFill>
          </w14:textFill>
        </w:rPr>
      </w:pPr>
      <w:r>
        <w:rPr>
          <w:rFonts w:ascii="宋体" w:hAnsi="宋体"/>
          <w:b/>
          <w:color w:val="000000" w:themeColor="text1"/>
          <w:kern w:val="0"/>
          <w:sz w:val="24"/>
          <w:szCs w:val="24"/>
          <w:highlight w:val="none"/>
          <w14:textFill>
            <w14:solidFill>
              <w14:schemeClr w14:val="tx1"/>
            </w14:solidFill>
          </w14:textFill>
        </w:rPr>
        <w:t>1</w:t>
      </w:r>
      <w:r>
        <w:rPr>
          <w:rFonts w:hint="eastAsia" w:ascii="宋体" w:hAnsi="宋体"/>
          <w:b/>
          <w:color w:val="000000" w:themeColor="text1"/>
          <w:kern w:val="0"/>
          <w:sz w:val="24"/>
          <w:szCs w:val="24"/>
          <w:highlight w:val="none"/>
          <w14:textFill>
            <w14:solidFill>
              <w14:schemeClr w14:val="tx1"/>
            </w14:solidFill>
          </w14:textFill>
        </w:rPr>
        <w:t>8、招标控制价</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8</w:t>
      </w: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本工程使用2025 年省级财政资金、往年省级财政结余资金及管理所年度部门预算职能项目中支出，实行工程量清单招标，招标人委托编制招标控制价。投标人的投标报价高于招标控制价的，招标人将作废标处理。</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8</w:t>
      </w:r>
      <w:r>
        <w:rPr>
          <w:rFonts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招标控制价编制依据</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18.2.1</w:t>
      </w:r>
      <w:r>
        <w:rPr>
          <w:rFonts w:hint="eastAsia" w:ascii="宋体" w:hAnsi="宋体"/>
          <w:b/>
          <w:color w:val="000000" w:themeColor="text1"/>
          <w:sz w:val="24"/>
          <w:highlight w:val="none"/>
          <w14:textFill>
            <w14:solidFill>
              <w14:schemeClr w14:val="tx1"/>
            </w14:solidFill>
          </w14:textFill>
        </w:rPr>
        <w:t>由建设单位提供的设计图纸等。</w:t>
      </w:r>
    </w:p>
    <w:p>
      <w:pPr>
        <w:pageBreakBefore w:val="0"/>
        <w:kinsoku/>
        <w:overflowPunct/>
        <w:topLinePunct w:val="0"/>
        <w:bidi w:val="0"/>
        <w:spacing w:line="360" w:lineRule="auto"/>
        <w:ind w:left="0" w:leftChars="0" w:right="0" w:rightChars="0" w:firstLine="482" w:firstLineChars="200"/>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18.2.</w:t>
      </w:r>
      <w:r>
        <w:rPr>
          <w:rFonts w:hint="eastAsia" w:ascii="宋体" w:hAnsi="宋体"/>
          <w:b/>
          <w:color w:val="000000" w:themeColor="text1"/>
          <w:sz w:val="24"/>
          <w:highlight w:val="none"/>
          <w14:textFill>
            <w14:solidFill>
              <w14:schemeClr w14:val="tx1"/>
            </w14:solidFill>
          </w14:textFill>
        </w:rPr>
        <w:t>2《建设工程工程量清单计价规范》GB50500-2013、《水利工程工程量清单计价规范》（GB50501-2007）、《江苏省水利工程招标投标文件工程量清单格式》（苏水基[2011]21号、《江苏省水利预算定额》2010版。</w:t>
      </w:r>
    </w:p>
    <w:p>
      <w:pPr>
        <w:spacing w:line="420" w:lineRule="exact"/>
        <w:ind w:firstLine="482" w:firstLineChars="200"/>
        <w:rPr>
          <w:rFonts w:hint="eastAsia" w:ascii="宋体" w:hAnsi="宋体" w:cs="宋体"/>
          <w:b/>
          <w:color w:val="000000" w:themeColor="text1"/>
          <w:sz w:val="24"/>
          <w:highlight w:val="none"/>
          <w14:textFill>
            <w14:solidFill>
              <w14:schemeClr w14:val="tx1"/>
            </w14:solidFill>
          </w14:textFill>
        </w:rPr>
      </w:pPr>
      <w:bookmarkStart w:id="31" w:name="OLE_LINK6"/>
      <w:r>
        <w:rPr>
          <w:rFonts w:ascii="宋体" w:hAnsi="宋体"/>
          <w:b/>
          <w:color w:val="000000" w:themeColor="text1"/>
          <w:sz w:val="24"/>
          <w:highlight w:val="none"/>
          <w14:textFill>
            <w14:solidFill>
              <w14:schemeClr w14:val="tx1"/>
            </w14:solidFill>
          </w14:textFill>
        </w:rPr>
        <w:t>18.2.</w:t>
      </w:r>
      <w:r>
        <w:rPr>
          <w:rFonts w:hint="eastAsia" w:ascii="宋体" w:hAnsi="宋体"/>
          <w:b/>
          <w:color w:val="000000" w:themeColor="text1"/>
          <w:sz w:val="24"/>
          <w:highlight w:val="none"/>
          <w:lang w:val="en-US" w:eastAsia="zh-CN"/>
          <w14:textFill>
            <w14:solidFill>
              <w14:schemeClr w14:val="tx1"/>
            </w14:solidFill>
          </w14:textFill>
        </w:rPr>
        <w:t>3</w:t>
      </w:r>
      <w:r>
        <w:rPr>
          <w:rFonts w:hint="eastAsia" w:ascii="宋体" w:hAnsi="宋体" w:cs="宋体"/>
          <w:b/>
          <w:color w:val="000000" w:themeColor="text1"/>
          <w:sz w:val="24"/>
          <w:highlight w:val="none"/>
          <w14:textFill>
            <w14:solidFill>
              <w14:schemeClr w14:val="tx1"/>
            </w14:solidFill>
          </w14:textFill>
        </w:rPr>
        <w:t>本工程不可竞争费用</w:t>
      </w:r>
      <w:r>
        <w:rPr>
          <w:rFonts w:hint="eastAsia" w:ascii="宋体" w:hAnsi="宋体" w:cs="宋体"/>
          <w:b/>
          <w:color w:val="000000" w:themeColor="text1"/>
          <w:sz w:val="24"/>
          <w:highlight w:val="none"/>
          <w:lang w:val="en-US" w:eastAsia="zh-CN"/>
          <w14:textFill>
            <w14:solidFill>
              <w14:schemeClr w14:val="tx1"/>
            </w14:solidFill>
          </w14:textFill>
        </w:rPr>
        <w:t>类别</w:t>
      </w:r>
      <w:r>
        <w:rPr>
          <w:rFonts w:hint="eastAsia" w:ascii="宋体" w:hAnsi="宋体" w:cs="宋体"/>
          <w:b/>
          <w:color w:val="000000" w:themeColor="text1"/>
          <w:sz w:val="24"/>
          <w:highlight w:val="none"/>
          <w14:textFill>
            <w14:solidFill>
              <w14:schemeClr w14:val="tx1"/>
            </w14:solidFill>
          </w14:textFill>
        </w:rPr>
        <w:t>及其费率见下表(%)：</w:t>
      </w:r>
    </w:p>
    <w:tbl>
      <w:tblPr>
        <w:tblStyle w:val="51"/>
        <w:tblW w:w="8945"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640"/>
        <w:gridCol w:w="315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blHeader/>
        </w:trPr>
        <w:tc>
          <w:tcPr>
            <w:tcW w:w="725"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640"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费用类别</w:t>
            </w:r>
          </w:p>
        </w:tc>
        <w:tc>
          <w:tcPr>
            <w:tcW w:w="3150"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计费基数</w:t>
            </w:r>
          </w:p>
        </w:tc>
        <w:tc>
          <w:tcPr>
            <w:tcW w:w="2430" w:type="dxa"/>
            <w:noWrap w:val="0"/>
            <w:vAlign w:val="center"/>
          </w:tcPr>
          <w:p>
            <w:pPr>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水利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25" w:type="dxa"/>
            <w:noWrap w:val="0"/>
            <w:vAlign w:val="center"/>
          </w:tcPr>
          <w:p>
            <w:pPr>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w:t>
            </w:r>
          </w:p>
        </w:tc>
        <w:tc>
          <w:tcPr>
            <w:tcW w:w="2640"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安全文明措施费</w:t>
            </w:r>
          </w:p>
        </w:tc>
        <w:tc>
          <w:tcPr>
            <w:tcW w:w="3150"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分部分项工程费</w:t>
            </w:r>
          </w:p>
        </w:tc>
        <w:tc>
          <w:tcPr>
            <w:tcW w:w="2430" w:type="dxa"/>
            <w:noWrap w:val="0"/>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2.5</w:t>
            </w:r>
            <w:r>
              <w:rPr>
                <w:rFonts w:hint="eastAsia" w:ascii="宋体" w:hAnsi="宋体" w:eastAsia="宋体" w:cs="宋体"/>
                <w:color w:val="000000" w:themeColor="text1"/>
                <w:sz w:val="24"/>
                <w:szCs w:val="24"/>
                <w:highlight w:val="none"/>
                <w14:textFill>
                  <w14:solidFill>
                    <w14:schemeClr w14:val="tx1"/>
                  </w14:solidFill>
                </w14:textFill>
              </w:rPr>
              <w:t>%</w:t>
            </w:r>
          </w:p>
        </w:tc>
      </w:tr>
      <w:bookmarkEnd w:id="31"/>
    </w:tbl>
    <w:p>
      <w:pPr>
        <w:pageBreakBefore w:val="0"/>
        <w:widowControl/>
        <w:kinsoku/>
        <w:overflowPunct/>
        <w:topLinePunct w:val="0"/>
        <w:bidi w:val="0"/>
        <w:spacing w:line="360" w:lineRule="auto"/>
        <w:ind w:left="0" w:leftChars="0" w:right="0" w:rightChars="0" w:firstLine="470" w:firstLineChars="196"/>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8</w:t>
      </w:r>
      <w:r>
        <w:rPr>
          <w:rFonts w:ascii="宋体" w:hAnsi="宋体" w:cs="宋体"/>
          <w:color w:val="000000" w:themeColor="text1"/>
          <w:sz w:val="24"/>
          <w:szCs w:val="24"/>
          <w:highlight w:val="none"/>
          <w14:textFill>
            <w14:solidFill>
              <w14:schemeClr w14:val="tx1"/>
            </w14:solidFill>
          </w14:textFill>
        </w:rPr>
        <w:t xml:space="preserve">.3 </w:t>
      </w:r>
      <w:r>
        <w:rPr>
          <w:rFonts w:hint="eastAsia" w:ascii="宋体" w:hAnsi="宋体" w:cs="宋体"/>
          <w:color w:val="000000" w:themeColor="text1"/>
          <w:sz w:val="24"/>
          <w:szCs w:val="24"/>
          <w:highlight w:val="none"/>
          <w14:textFill>
            <w14:solidFill>
              <w14:schemeClr w14:val="tx1"/>
            </w14:solidFill>
          </w14:textFill>
        </w:rPr>
        <w:t>招标控制价文件组成。</w:t>
      </w:r>
    </w:p>
    <w:p>
      <w:pPr>
        <w:pageBreakBefore w:val="0"/>
        <w:kinsoku/>
        <w:overflowPunct/>
        <w:topLinePunct w:val="0"/>
        <w:bidi w:val="0"/>
        <w:adjustRightInd w:val="0"/>
        <w:snapToGrid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招标人公布的招标控制价应当包括建设项目招标控制价汇总表、分部分项工程和单价措施项目清单与计价表、材料价格表等。</w:t>
      </w:r>
    </w:p>
    <w:p>
      <w:pPr>
        <w:pageBreakBefore w:val="0"/>
        <w:kinsoku/>
        <w:overflowPunct/>
        <w:topLinePunct w:val="0"/>
        <w:bidi w:val="0"/>
        <w:adjustRightInd w:val="0"/>
        <w:snapToGrid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18</w:t>
      </w:r>
      <w:r>
        <w:rPr>
          <w:rFonts w:ascii="宋体" w:hAnsi="宋体" w:cs="宋体"/>
          <w:color w:val="000000" w:themeColor="text1"/>
          <w:sz w:val="24"/>
          <w:szCs w:val="24"/>
          <w:highlight w:val="none"/>
          <w14:textFill>
            <w14:solidFill>
              <w14:schemeClr w14:val="tx1"/>
            </w14:solidFill>
          </w14:textFill>
        </w:rPr>
        <w:t xml:space="preserve">.4 </w:t>
      </w:r>
      <w:r>
        <w:rPr>
          <w:rFonts w:hint="eastAsia" w:ascii="宋体" w:hAnsi="宋体" w:cs="宋体"/>
          <w:color w:val="000000" w:themeColor="text1"/>
          <w:sz w:val="24"/>
          <w:szCs w:val="24"/>
          <w:highlight w:val="none"/>
          <w14:textFill>
            <w14:solidFill>
              <w14:schemeClr w14:val="tx1"/>
            </w14:solidFill>
          </w14:textFill>
        </w:rPr>
        <w:t>公布招标控制价时间。</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招标控制价和招标文件同时在南通市水利局-公告公示栏</w:t>
      </w:r>
      <w:r>
        <w:rPr>
          <w:rFonts w:ascii="宋体" w:hAnsi="宋体"/>
          <w:color w:val="000000" w:themeColor="text1"/>
          <w:sz w:val="24"/>
          <w:szCs w:val="24"/>
          <w:highlight w:val="none"/>
          <w14:textFill>
            <w14:solidFill>
              <w14:schemeClr w14:val="tx1"/>
            </w14:solidFill>
          </w14:textFill>
        </w:rPr>
        <w:t>招标板块</w:t>
      </w:r>
      <w:r>
        <w:rPr>
          <w:rFonts w:hint="eastAsia" w:ascii="宋体" w:hAnsi="宋体"/>
          <w:color w:val="000000" w:themeColor="text1"/>
          <w:sz w:val="24"/>
          <w:szCs w:val="24"/>
          <w:highlight w:val="none"/>
          <w14:textFill>
            <w14:solidFill>
              <w14:schemeClr w14:val="tx1"/>
            </w14:solidFill>
          </w14:textFill>
        </w:rPr>
        <w:t>上发布。</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18</w:t>
      </w:r>
      <w:r>
        <w:rPr>
          <w:rFonts w:ascii="宋体" w:hAnsi="宋体" w:cs="宋体"/>
          <w:color w:val="000000" w:themeColor="text1"/>
          <w:sz w:val="24"/>
          <w:szCs w:val="24"/>
          <w:highlight w:val="none"/>
          <w14:textFill>
            <w14:solidFill>
              <w14:schemeClr w14:val="tx1"/>
            </w14:solidFill>
          </w14:textFill>
        </w:rPr>
        <w:t xml:space="preserve">.5 </w:t>
      </w:r>
      <w:r>
        <w:rPr>
          <w:rFonts w:hint="eastAsia" w:ascii="宋体" w:hAnsi="宋体" w:cs="宋体"/>
          <w:color w:val="000000" w:themeColor="text1"/>
          <w:sz w:val="24"/>
          <w:szCs w:val="24"/>
          <w:highlight w:val="none"/>
          <w14:textFill>
            <w14:solidFill>
              <w14:schemeClr w14:val="tx1"/>
            </w14:solidFill>
          </w14:textFill>
        </w:rPr>
        <w:t>招标控制价异议处理：</w:t>
      </w:r>
    </w:p>
    <w:p>
      <w:pPr>
        <w:pageBreakBefore w:val="0"/>
        <w:kinsoku/>
        <w:overflowPunct/>
        <w:topLinePunct w:val="0"/>
        <w:bidi w:val="0"/>
        <w:spacing w:line="360" w:lineRule="auto"/>
        <w:ind w:left="0" w:leftChars="0" w:right="0" w:rightChars="0" w:firstLine="480" w:firstLineChars="200"/>
        <w:rPr>
          <w:rFonts w:ascii="宋体" w:hAnsi="宋体"/>
          <w:b/>
          <w:color w:val="000000" w:themeColor="text1"/>
          <w:sz w:val="24"/>
          <w:szCs w:val="24"/>
          <w:highlight w:val="none"/>
          <w:u w:val="singl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投标人对招标控制价有异议的，应在控制价发布后2日内向招标人书面提出</w:t>
      </w:r>
      <w:r>
        <w:rPr>
          <w:rFonts w:ascii="宋体" w:hAnsi="宋体"/>
          <w:bCs/>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招标人根据招标控制价复查结论需要重新公布招标控制价的，其最终公布的时间至招标文件要求提交投标文件截止时间不足</w:t>
      </w:r>
      <w:r>
        <w:rPr>
          <w:rFonts w:hint="eastAsia" w:ascii="宋体" w:hAnsi="宋体"/>
          <w:color w:val="000000" w:themeColor="text1"/>
          <w:sz w:val="24"/>
          <w:szCs w:val="24"/>
          <w:highlight w:val="none"/>
          <w14:textFill>
            <w14:solidFill>
              <w14:schemeClr w14:val="tx1"/>
            </w14:solidFill>
          </w14:textFill>
        </w:rPr>
        <w:t>3</w:t>
      </w:r>
      <w:r>
        <w:rPr>
          <w:rFonts w:ascii="宋体" w:hAnsi="宋体"/>
          <w:color w:val="000000" w:themeColor="text1"/>
          <w:sz w:val="24"/>
          <w:szCs w:val="24"/>
          <w:highlight w:val="none"/>
          <w14:textFill>
            <w14:solidFill>
              <w14:schemeClr w14:val="tx1"/>
            </w14:solidFill>
          </w14:textFill>
        </w:rPr>
        <w:t>天的，将相应延长投标文件的截止时间。</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bookmarkStart w:id="32" w:name="_Toc289792062"/>
      <w:bookmarkStart w:id="33" w:name="_Toc288209247"/>
      <w:bookmarkStart w:id="34" w:name="_Toc268498924"/>
      <w:r>
        <w:rPr>
          <w:rFonts w:ascii="宋体" w:hAnsi="宋体"/>
          <w:b/>
          <w:color w:val="000000" w:themeColor="text1"/>
          <w:sz w:val="24"/>
          <w:szCs w:val="24"/>
          <w:highlight w:val="none"/>
          <w14:textFill>
            <w14:solidFill>
              <w14:schemeClr w14:val="tx1"/>
            </w14:solidFill>
          </w14:textFill>
        </w:rPr>
        <w:t>19</w:t>
      </w:r>
      <w:r>
        <w:rPr>
          <w:rFonts w:hint="eastAsia" w:ascii="宋体" w:hAnsi="宋体"/>
          <w:b/>
          <w:color w:val="000000" w:themeColor="text1"/>
          <w:sz w:val="24"/>
          <w:szCs w:val="24"/>
          <w:highlight w:val="none"/>
          <w14:textFill>
            <w14:solidFill>
              <w14:schemeClr w14:val="tx1"/>
            </w14:solidFill>
          </w14:textFill>
        </w:rPr>
        <w:t>、</w:t>
      </w:r>
      <w:r>
        <w:rPr>
          <w:rFonts w:ascii="宋体" w:hAnsi="宋体"/>
          <w:b/>
          <w:color w:val="000000" w:themeColor="text1"/>
          <w:sz w:val="24"/>
          <w:szCs w:val="24"/>
          <w:highlight w:val="none"/>
          <w14:textFill>
            <w14:solidFill>
              <w14:schemeClr w14:val="tx1"/>
            </w14:solidFill>
          </w14:textFill>
        </w:rPr>
        <w:t>投标报价编制要求</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14:textFill>
            <w14:solidFill>
              <w14:schemeClr w14:val="tx1"/>
            </w14:solidFill>
          </w14:textFill>
        </w:rPr>
        <w:t>采用工程量清单计价方式，投标人不得采用总价让利或以总价百分比让利等办法进行投标报价。</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14:textFill>
            <w14:solidFill>
              <w14:schemeClr w14:val="tx1"/>
            </w14:solidFill>
          </w14:textFill>
        </w:rPr>
        <w:t>除投标人自行补充的措施项目外，投标报价的项目编码、项目名称、计量单位、工程量必须与招标人提供的一致。</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19.3</w:t>
      </w:r>
      <w:r>
        <w:rPr>
          <w:rFonts w:hint="eastAsia" w:ascii="宋体" w:hAnsi="宋体" w:cs="宋体"/>
          <w:color w:val="000000" w:themeColor="text1"/>
          <w:sz w:val="24"/>
          <w:szCs w:val="24"/>
          <w:highlight w:val="none"/>
          <w14:textFill>
            <w14:solidFill>
              <w14:schemeClr w14:val="tx1"/>
            </w14:solidFill>
          </w14:textFill>
        </w:rPr>
        <w:t>工程量清单中投标人没有填入单价或价格的子目，其费用视为已分摊在工程量清单中其他子目的单价或价格之中。</w:t>
      </w:r>
    </w:p>
    <w:p>
      <w:pPr>
        <w:pageBreakBefore w:val="0"/>
        <w:kinsoku/>
        <w:overflowPunct/>
        <w:topLinePunct w:val="0"/>
        <w:bidi w:val="0"/>
        <w:spacing w:line="360" w:lineRule="auto"/>
        <w:ind w:left="0" w:leftChars="0" w:right="0" w:rightChars="0" w:firstLine="482"/>
        <w:rPr>
          <w:rFonts w:ascii="宋体" w:hAnsi="宋体"/>
          <w:color w:val="000000" w:themeColor="text1"/>
          <w:kern w:val="0"/>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19.4</w:t>
      </w:r>
      <w:r>
        <w:rPr>
          <w:rFonts w:hint="eastAsia" w:ascii="宋体" w:hAnsi="宋体" w:cs="宋体"/>
          <w:color w:val="000000" w:themeColor="text1"/>
          <w:kern w:val="0"/>
          <w:sz w:val="24"/>
          <w:szCs w:val="24"/>
          <w:highlight w:val="none"/>
          <w14:textFill>
            <w14:solidFill>
              <w14:schemeClr w14:val="tx1"/>
            </w14:solidFill>
          </w14:textFill>
        </w:rPr>
        <w:t>投标报价应根据招标文件中的工程量清单和有关要求、施工现场实际情况及拟定的施工方案或施工组织设计，依据企业定额和市场价格信息，实行自主报价（已列入不可竞争的项目除外）。投标人所报设备价、材料价如低于同期的省、市、县的造价信息或低于同期的市场价格信息，视为对招标人的优惠。投标人标函中所报设备、材料其规格、尺寸、等级不得低于清单的要求。中标人应根据清单确定的标准、等级、规格组织施工。</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19.5 </w:t>
      </w:r>
      <w:r>
        <w:rPr>
          <w:rFonts w:hint="eastAsia" w:ascii="宋体" w:hAnsi="宋体" w:cs="宋体"/>
          <w:color w:val="000000" w:themeColor="text1"/>
          <w:sz w:val="24"/>
          <w:szCs w:val="24"/>
          <w:highlight w:val="none"/>
          <w14:textFill>
            <w14:solidFill>
              <w14:schemeClr w14:val="tx1"/>
            </w14:solidFill>
          </w14:textFill>
        </w:rPr>
        <w:t>投标人不得擅自改动招标人提供的工程量清单上的内容。若对提供的工程量清单内容有疑义，请将书面疑问材料在规定的时间和方法向招标代理单位提出，其中清单内容的书面疑问材料经招标人组织核实确认后提供最终工程量清单，投标人在投标报价时，不得增减清单工程量。</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 xml:space="preserve">19.6 </w:t>
      </w:r>
      <w:r>
        <w:rPr>
          <w:rFonts w:hint="eastAsia" w:ascii="宋体" w:hAnsi="宋体" w:cs="宋体"/>
          <w:color w:val="000000" w:themeColor="text1"/>
          <w:sz w:val="24"/>
          <w:szCs w:val="24"/>
          <w:highlight w:val="none"/>
          <w14:textFill>
            <w14:solidFill>
              <w14:schemeClr w14:val="tx1"/>
            </w14:solidFill>
          </w14:textFill>
        </w:rPr>
        <w:t>本工程施工期间涉及环保、消防、城市卫生、市政、居委会、派出所等相关部门收取的费用，以及夜间文明施工、保护周边地下管线和架空线的安全的费用等，投标人均应综合考虑在投标报价中，竣工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cs="宋体"/>
          <w:color w:val="000000" w:themeColor="text1"/>
          <w:sz w:val="24"/>
          <w:szCs w:val="24"/>
          <w:highlight w:val="none"/>
          <w14:textFill>
            <w14:solidFill>
              <w14:schemeClr w14:val="tx1"/>
            </w14:solidFill>
          </w14:textFill>
        </w:rPr>
        <w:t>投标人应认真踏勘施工现场，考虑因各种困难因素所发生的一切费用由投标人自行考虑，并在投标报价中予以体现，以后不得以此为由提出额外增加费用的要求。水、电接驳，按发包人指定地点，定量表记、接至施工现场管线（电缆）由投标人自行考虑，费用包含在投标报价中。现场自来水及电源接入点现场具体位置由投标人现场踏勘。</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因施工场地狭小、周边老旧建筑保护等发生的一切费用由各投标人自行考虑，所有费用包含在投标报价中，竣工结算时一律不作调整。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w:t>
      </w:r>
      <w:r>
        <w:rPr>
          <w:rFonts w:hint="eastAsia" w:ascii="宋体" w:hAnsi="宋体" w:cs="宋体"/>
          <w:color w:val="000000" w:themeColor="text1"/>
          <w:sz w:val="24"/>
          <w:szCs w:val="24"/>
          <w:highlight w:val="none"/>
          <w:lang w:val="en-US" w:eastAsia="zh-CN"/>
          <w14:textFill>
            <w14:solidFill>
              <w14:schemeClr w14:val="tx1"/>
            </w14:solidFill>
          </w14:textFill>
        </w:rPr>
        <w:t>9</w:t>
      </w:r>
      <w:r>
        <w:rPr>
          <w:rFonts w:hint="eastAsia" w:ascii="宋体" w:hAnsi="宋体" w:cs="宋体"/>
          <w:color w:val="000000" w:themeColor="text1"/>
          <w:sz w:val="24"/>
          <w:szCs w:val="24"/>
          <w:highlight w:val="none"/>
          <w14:textFill>
            <w14:solidFill>
              <w14:schemeClr w14:val="tx1"/>
            </w14:solidFill>
          </w14:textFill>
        </w:rPr>
        <w:t>临时设施费、赶工措施费、夜间施工费、冬雨季施工费、已完工程及设备保护费由各投标人自行报价，该类措施项目费一次性包定，结算时一律不作调整。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cs="宋体"/>
          <w:color w:val="000000" w:themeColor="text1"/>
          <w:sz w:val="24"/>
          <w:szCs w:val="24"/>
          <w:highlight w:val="none"/>
          <w14:textFill>
            <w14:solidFill>
              <w14:schemeClr w14:val="tx1"/>
            </w14:solidFill>
          </w14:textFill>
        </w:rPr>
        <w:t>本工程垂直运输及安装脚手架由投标单位自行考虑，并计入报价，结算时一律不做调整。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与安全体验馆实施单位的协调、配合、通信关系，由中标人自行解决，确保各分项工程满足招标人、设计图纸、验收规范等要求，发生的费用由中标人自行承担，并相互做好成品保护工作，并无条件接受招标人的管理，中标人应确保各分项工程满足设计图纸、验收规范等要求，减少工序交叉施工的影响，并做好成品保护工作，招标人不再另行支付任何涉及工序交叉影响的费用。</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承包人应独立、有效地做好该工程周边的有关群众工作，并充分考虑工程实施范围内外的单位、个人和其他可能出现阻挠施工的情况，若发生的机械台班停置费、二次机械进退场费、人员窝工、处理周边群众纠纷等费用和损失，由投标人自行考虑，并列入投标报价，工程竣工结算时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投标人应自行踏勘施工现场，并在投标报价中综合考虑施工机械设备、材料进出场、二次搬运等涉及所有费用并计入报价，中标后不得以场地现状及条件为由提出额外要求和增加工程费用，招标人不再对此项费用另行签证。</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作为一个有经验的承包商，投标报价时应考虑施工过程中可能发生的各种风险因素，在整个工程施工过程中，若发生对周边相关构筑物、设施损坏的，承包人必须负责更换或修复，直至得到发包人的认可，期间涉及的所有费用由投标人承担，招标人不再另行支付该项费用，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在实际施工中，发包人可以无条件要求施工单位更换不符合要求的产品，购进的材料设备与提供的样品不一致时，由承包人无条件退货，如因使用不符合国家标准及各项指标的材料，由此引起的相关费用由承包人承担，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投标单位根据施工现场情况及现行规定，自行根据可行的施工方案对措施费自行增加清单进行报价，结算时，除工程变更引起施工方案改变外，承包人不得以招标工程措施项目缺项为由要求新增措施项目，结算时一律不作调整。</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cs="宋体"/>
          <w:color w:val="000000" w:themeColor="text1"/>
          <w:sz w:val="24"/>
          <w:szCs w:val="24"/>
          <w:highlight w:val="none"/>
          <w14:textFill>
            <w14:solidFill>
              <w14:schemeClr w14:val="tx1"/>
            </w14:solidFill>
          </w14:textFill>
        </w:rPr>
        <w:t>投标人确定投标报价，同时应考虑合同中包含的风险、责任等各项费用。</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19.1</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投标人工地踏勘应充分了解工地位置情况，道路、储存空间、装卸限制及任何其它足以影响报价的情况，任何忽视或误解工地情况而导致的索赔及工期延长申请将不被批准。在投标报价时充分</w:t>
      </w:r>
      <w:r>
        <w:rPr>
          <w:rFonts w:ascii="宋体" w:hAnsi="宋体"/>
          <w:color w:val="000000" w:themeColor="text1"/>
          <w:sz w:val="24"/>
          <w:szCs w:val="24"/>
          <w:highlight w:val="none"/>
          <w14:textFill>
            <w14:solidFill>
              <w14:schemeClr w14:val="tx1"/>
            </w14:solidFill>
          </w14:textFill>
        </w:rPr>
        <w:t>考虑场内运输等问题，结算时不做调整</w:t>
      </w:r>
      <w:r>
        <w:rPr>
          <w:rFonts w:hint="eastAsia" w:ascii="宋体" w:hAnsi="宋体" w:cs="宋体"/>
          <w:color w:val="000000" w:themeColor="text1"/>
          <w:sz w:val="24"/>
          <w:szCs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firstLineChars="200"/>
        <w:jc w:val="left"/>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w:t>
      </w:r>
      <w:r>
        <w:rPr>
          <w:rFonts w:hint="eastAsia" w:ascii="宋体" w:hAnsi="宋体" w:cs="宋体"/>
          <w:color w:val="000000" w:themeColor="text1"/>
          <w:sz w:val="24"/>
          <w:szCs w:val="24"/>
          <w:highlight w:val="none"/>
          <w:lang w:val="en-US" w:eastAsia="zh-CN"/>
          <w14:textFill>
            <w14:solidFill>
              <w14:schemeClr w14:val="tx1"/>
            </w14:solidFill>
          </w14:textFill>
        </w:rPr>
        <w:t>19</w:t>
      </w:r>
      <w:r>
        <w:rPr>
          <w:rFonts w:hint="eastAsia" w:ascii="宋体" w:hAnsi="宋体" w:cs="宋体"/>
          <w:color w:val="000000" w:themeColor="text1"/>
          <w:sz w:val="24"/>
          <w:szCs w:val="24"/>
          <w:highlight w:val="none"/>
          <w14:textFill>
            <w14:solidFill>
              <w14:schemeClr w14:val="tx1"/>
            </w14:solidFill>
          </w14:textFill>
        </w:rPr>
        <w:t>中标单位不得拒绝完成建设单位在施工地点范围内变更或要求增加和减少的工程内容。</w:t>
      </w:r>
    </w:p>
    <w:p>
      <w:pPr>
        <w:pageBreakBefore w:val="0"/>
        <w:kinsoku/>
        <w:overflowPunct/>
        <w:topLinePunct w:val="0"/>
        <w:bidi w:val="0"/>
        <w:spacing w:line="360" w:lineRule="auto"/>
        <w:ind w:left="0" w:leftChars="0" w:right="0" w:rightChars="0" w:firstLine="480" w:firstLineChars="200"/>
        <w:jc w:val="left"/>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cs="宋体"/>
          <w:color w:val="000000" w:themeColor="text1"/>
          <w:sz w:val="24"/>
          <w:szCs w:val="24"/>
          <w:highlight w:val="none"/>
          <w14:textFill>
            <w14:solidFill>
              <w14:schemeClr w14:val="tx1"/>
            </w14:solidFill>
          </w14:textFill>
        </w:rPr>
        <w:t>报价书中的工程数量乘以综合单价必须等于合价。</w:t>
      </w:r>
    </w:p>
    <w:p>
      <w:pPr>
        <w:pageBreakBefore w:val="0"/>
        <w:kinsoku/>
        <w:overflowPunct/>
        <w:topLinePunct w:val="0"/>
        <w:bidi w:val="0"/>
        <w:spacing w:line="360" w:lineRule="auto"/>
        <w:ind w:left="0" w:leftChars="0" w:right="0" w:rightChars="0" w:firstLine="480" w:firstLineChars="200"/>
        <w:jc w:val="left"/>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投标确定投标报价时应考虑施工过程中运出的建筑垃圾等必须运出施工现场范围以外，否则，除须接受相关部门的处罚外，发现一次发包人将视情节严重向承包人收取的履约保证金的10-20%，并有权要求其重新清运出。清运前承包人必须向发包人指明堆放地点(该地点必须符合建筑垃圾(渣土)管理中心要求)，建筑垃圾(渣土)管理中心收取的建筑垃圾处置费由投标人考虑在报价中。</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承包人须在工程竣工前拆除现场所有临时设施，包括所有的机械设备、硬化场地后的拆除以及完工后的塔吊基础拆除等建筑垃圾及剩余材料全部清运出场，相关费用由各投标人在报价时自行考虑到投标报价中，竣工结算时不作任何调整。清理标准应得到发包人的认可，否则，如发生相关费用则由发包人在工程结算价款中扣除。</w:t>
      </w:r>
    </w:p>
    <w:p>
      <w:pPr>
        <w:pageBreakBefore w:val="0"/>
        <w:kinsoku/>
        <w:overflowPunct/>
        <w:topLinePunct w:val="0"/>
        <w:bidi w:val="0"/>
        <w:spacing w:line="360" w:lineRule="auto"/>
        <w:ind w:left="0" w:leftChars="0" w:right="0" w:rightChars="0" w:firstLine="480" w:firstLineChars="200"/>
        <w:jc w:val="left"/>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本工程所有乙供材料均由承包人在确保质量的前提下自行采购，材料价格按照中档及以上的质量自行市场询价进入报价。发包人对材料的质量有认定权（如发包人对承包人采购的材料认定为，涉及到的价格不再调整。</w:t>
      </w:r>
    </w:p>
    <w:p>
      <w:pPr>
        <w:pageBreakBefore w:val="0"/>
        <w:kinsoku/>
        <w:overflowPunct/>
        <w:topLinePunct w:val="0"/>
        <w:bidi w:val="0"/>
        <w:spacing w:line="360" w:lineRule="auto"/>
        <w:ind w:left="0" w:leftChars="0" w:right="0" w:rightChars="0" w:firstLine="480" w:firstLineChars="200"/>
        <w:jc w:val="left"/>
        <w:rPr>
          <w:rFonts w:hint="eastAsia"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cs="宋体"/>
          <w:color w:val="000000" w:themeColor="text1"/>
          <w:sz w:val="24"/>
          <w:szCs w:val="24"/>
          <w:highlight w:val="none"/>
          <w14:textFill>
            <w14:solidFill>
              <w14:schemeClr w14:val="tx1"/>
            </w14:solidFill>
          </w14:textFill>
        </w:rPr>
        <w:t>承包人在施工过程中必须收集齐全所有隐蔽项目等施工全过程影像视频资料以供后期审计使用，在送审结算资料必须一并提交。所有签证资料必须附有详细影像彩色照片，所摄照片必须有可参照性。如影像资料未能反映签证、清单或招标文件列明的工作内容，则结算时该项内容不予认可。</w:t>
      </w:r>
    </w:p>
    <w:p>
      <w:pPr>
        <w:spacing w:line="420" w:lineRule="exact"/>
        <w:ind w:firstLine="480" w:firstLineChars="20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19.2</w:t>
      </w:r>
      <w:r>
        <w:rPr>
          <w:rFonts w:hint="eastAsia" w:ascii="宋体" w:hAnsi="宋体"/>
          <w:bCs/>
          <w:color w:val="000000" w:themeColor="text1"/>
          <w:sz w:val="24"/>
          <w:highlight w:val="none"/>
          <w:lang w:val="en-US" w:eastAsia="zh-CN"/>
          <w14:textFill>
            <w14:solidFill>
              <w14:schemeClr w14:val="tx1"/>
            </w14:solidFill>
          </w14:textFill>
        </w:rPr>
        <w:t>5</w:t>
      </w:r>
      <w:r>
        <w:rPr>
          <w:rFonts w:hint="eastAsia" w:ascii="宋体" w:hAnsi="宋体"/>
          <w:bCs/>
          <w:color w:val="000000" w:themeColor="text1"/>
          <w:sz w:val="24"/>
          <w:highlight w:val="none"/>
          <w14:textFill>
            <w14:solidFill>
              <w14:schemeClr w14:val="tx1"/>
            </w14:solidFill>
          </w14:textFill>
        </w:rPr>
        <w:t>投标单位必须保护现有房屋、道路、结构物等成品，如有损坏，应按照不低于原设计标准恢复，费用列入报价。</w:t>
      </w:r>
    </w:p>
    <w:p>
      <w:pPr>
        <w:pageBreakBefore w:val="0"/>
        <w:kinsoku/>
        <w:overflowPunct/>
        <w:topLinePunct w:val="0"/>
        <w:bidi w:val="0"/>
        <w:spacing w:line="360" w:lineRule="auto"/>
        <w:ind w:left="0" w:leftChars="0" w:right="0" w:rightChars="0" w:firstLine="480" w:firstLineChars="200"/>
        <w:jc w:val="left"/>
        <w:rPr>
          <w:rFonts w:ascii="宋体" w:hAnsi="宋体" w:cs="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19.2</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其他未尽事宜在书面答疑中明确及第三章合同条款中明确。</w:t>
      </w:r>
    </w:p>
    <w:bookmarkEnd w:id="32"/>
    <w:bookmarkEnd w:id="33"/>
    <w:bookmarkEnd w:id="34"/>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r>
        <w:rPr>
          <w:rFonts w:ascii="宋体" w:hAnsi="宋体" w:eastAsia="宋体" w:cs="宋体"/>
          <w:color w:val="000000" w:themeColor="text1"/>
          <w:sz w:val="30"/>
          <w:szCs w:val="30"/>
          <w:highlight w:val="none"/>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五</w:t>
      </w:r>
      <w:r>
        <w:rPr>
          <w:rFonts w:ascii="宋体" w:hAnsi="宋体" w:eastAsia="宋体" w:cs="宋体"/>
          <w:color w:val="000000" w:themeColor="text1"/>
          <w:sz w:val="30"/>
          <w:szCs w:val="30"/>
          <w:highlight w:val="none"/>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投标文件的密封和递交</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20</w:t>
      </w:r>
      <w:r>
        <w:rPr>
          <w:rFonts w:hint="eastAsia" w:ascii="宋体" w:hAnsi="宋体"/>
          <w:b/>
          <w:color w:val="000000" w:themeColor="text1"/>
          <w:sz w:val="24"/>
          <w:highlight w:val="none"/>
          <w14:textFill>
            <w14:solidFill>
              <w14:schemeClr w14:val="tx1"/>
            </w14:solidFill>
          </w14:textFill>
        </w:rPr>
        <w:t>、</w:t>
      </w:r>
      <w:r>
        <w:rPr>
          <w:rFonts w:ascii="宋体" w:hAnsi="宋体"/>
          <w:b/>
          <w:color w:val="000000" w:themeColor="text1"/>
          <w:sz w:val="24"/>
          <w:highlight w:val="none"/>
          <w14:textFill>
            <w14:solidFill>
              <w14:schemeClr w14:val="tx1"/>
            </w14:solidFill>
          </w14:textFill>
        </w:rPr>
        <w:t>投标文件的密封与标志</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20.1 本工程投标文件由</w:t>
      </w:r>
      <w:r>
        <w:rPr>
          <w:rFonts w:ascii="宋体" w:hAnsi="宋体"/>
          <w:b/>
          <w:color w:val="000000" w:themeColor="text1"/>
          <w:sz w:val="24"/>
          <w:highlight w:val="none"/>
          <w:u w:val="single"/>
          <w14:textFill>
            <w14:solidFill>
              <w14:schemeClr w14:val="tx1"/>
            </w14:solidFill>
          </w14:textFill>
        </w:rPr>
        <w:t>资格审查资料包、商务标</w:t>
      </w:r>
      <w:r>
        <w:rPr>
          <w:rFonts w:hint="eastAsia" w:ascii="宋体" w:hAnsi="宋体"/>
          <w:color w:val="000000" w:themeColor="text1"/>
          <w:sz w:val="24"/>
          <w:highlight w:val="none"/>
          <w14:textFill>
            <w14:solidFill>
              <w14:schemeClr w14:val="tx1"/>
            </w14:solidFill>
          </w14:textFill>
        </w:rPr>
        <w:t>两</w:t>
      </w:r>
      <w:r>
        <w:rPr>
          <w:rFonts w:ascii="宋体" w:hAnsi="宋体"/>
          <w:color w:val="000000" w:themeColor="text1"/>
          <w:sz w:val="24"/>
          <w:highlight w:val="none"/>
          <w14:textFill>
            <w14:solidFill>
              <w14:schemeClr w14:val="tx1"/>
            </w14:solidFill>
          </w14:textFill>
        </w:rPr>
        <w:t>部分组成。</w:t>
      </w:r>
    </w:p>
    <w:p>
      <w:pPr>
        <w:pageBreakBefore w:val="0"/>
        <w:kinsoku/>
        <w:overflowPunct/>
        <w:topLinePunct w:val="0"/>
        <w:bidi w:val="0"/>
        <w:spacing w:line="360" w:lineRule="auto"/>
        <w:ind w:left="0" w:leftChars="0" w:right="0" w:rightChars="0" w:firstLine="472" w:firstLineChars="196"/>
        <w:rPr>
          <w:rFonts w:ascii="宋体" w:hAnsi="宋体"/>
          <w:b/>
          <w:snapToGrid w:val="0"/>
          <w:color w:val="000000" w:themeColor="text1"/>
          <w:kern w:val="0"/>
          <w:sz w:val="24"/>
          <w:highlight w:val="none"/>
          <w14:textFill>
            <w14:solidFill>
              <w14:schemeClr w14:val="tx1"/>
            </w14:solidFill>
          </w14:textFill>
        </w:rPr>
      </w:pPr>
      <w:r>
        <w:rPr>
          <w:rFonts w:ascii="宋体" w:hAnsi="宋体"/>
          <w:b/>
          <w:snapToGrid w:val="0"/>
          <w:color w:val="000000" w:themeColor="text1"/>
          <w:kern w:val="0"/>
          <w:sz w:val="24"/>
          <w:highlight w:val="none"/>
          <w14:textFill>
            <w14:solidFill>
              <w14:schemeClr w14:val="tx1"/>
            </w14:solidFill>
          </w14:textFill>
        </w:rPr>
        <w:t>20.</w:t>
      </w:r>
      <w:r>
        <w:rPr>
          <w:rFonts w:hint="eastAsia" w:ascii="宋体" w:hAnsi="宋体"/>
          <w:b/>
          <w:snapToGrid w:val="0"/>
          <w:color w:val="000000" w:themeColor="text1"/>
          <w:kern w:val="0"/>
          <w:sz w:val="24"/>
          <w:highlight w:val="none"/>
          <w14:textFill>
            <w14:solidFill>
              <w14:schemeClr w14:val="tx1"/>
            </w14:solidFill>
          </w14:textFill>
        </w:rPr>
        <w:t>2</w:t>
      </w:r>
      <w:r>
        <w:rPr>
          <w:rFonts w:ascii="宋体" w:hAnsi="宋体"/>
          <w:b/>
          <w:snapToGrid w:val="0"/>
          <w:color w:val="000000" w:themeColor="text1"/>
          <w:kern w:val="0"/>
          <w:sz w:val="24"/>
          <w:highlight w:val="none"/>
          <w14:textFill>
            <w14:solidFill>
              <w14:schemeClr w14:val="tx1"/>
            </w14:solidFill>
          </w14:textFill>
        </w:rPr>
        <w:t xml:space="preserve"> </w:t>
      </w:r>
      <w:r>
        <w:rPr>
          <w:rFonts w:ascii="宋体" w:hAnsi="宋体"/>
          <w:b/>
          <w:bCs/>
          <w:color w:val="000000" w:themeColor="text1"/>
          <w:sz w:val="24"/>
          <w:highlight w:val="none"/>
          <w14:textFill>
            <w14:solidFill>
              <w14:schemeClr w14:val="tx1"/>
            </w14:solidFill>
          </w14:textFill>
        </w:rPr>
        <w:t>资格审查资料包</w:t>
      </w:r>
      <w:r>
        <w:rPr>
          <w:rFonts w:hint="eastAsia" w:ascii="宋体" w:hAnsi="宋体"/>
          <w:b/>
          <w:bCs/>
          <w:color w:val="000000" w:themeColor="text1"/>
          <w:sz w:val="24"/>
          <w:highlight w:val="none"/>
          <w14:textFill>
            <w14:solidFill>
              <w14:schemeClr w14:val="tx1"/>
            </w14:solidFill>
          </w14:textFill>
        </w:rPr>
        <w:t>正本</w:t>
      </w:r>
      <w:r>
        <w:rPr>
          <w:rFonts w:ascii="宋体" w:hAnsi="宋体"/>
          <w:b/>
          <w:bCs/>
          <w:color w:val="000000" w:themeColor="text1"/>
          <w:sz w:val="24"/>
          <w:highlight w:val="none"/>
          <w:u w:val="single"/>
          <w14:textFill>
            <w14:solidFill>
              <w14:schemeClr w14:val="tx1"/>
            </w14:solidFill>
          </w14:textFill>
        </w:rPr>
        <w:t>壹</w:t>
      </w:r>
      <w:r>
        <w:rPr>
          <w:rFonts w:ascii="宋体" w:hAnsi="宋体"/>
          <w:b/>
          <w:bCs/>
          <w:color w:val="000000" w:themeColor="text1"/>
          <w:sz w:val="24"/>
          <w:highlight w:val="none"/>
          <w14:textFill>
            <w14:solidFill>
              <w14:schemeClr w14:val="tx1"/>
            </w14:solidFill>
          </w14:textFill>
        </w:rPr>
        <w:t>份</w:t>
      </w:r>
      <w:r>
        <w:rPr>
          <w:rFonts w:hint="eastAsia" w:ascii="宋体" w:hAnsi="宋体"/>
          <w:b/>
          <w:bCs/>
          <w:color w:val="000000" w:themeColor="text1"/>
          <w:sz w:val="24"/>
          <w:highlight w:val="none"/>
          <w14:textFill>
            <w14:solidFill>
              <w14:schemeClr w14:val="tx1"/>
            </w14:solidFill>
          </w14:textFill>
        </w:rPr>
        <w:t>，副本</w:t>
      </w:r>
      <w:r>
        <w:rPr>
          <w:rFonts w:hint="eastAsia" w:ascii="宋体" w:hAnsi="宋体"/>
          <w:b/>
          <w:bCs/>
          <w:color w:val="000000" w:themeColor="text1"/>
          <w:sz w:val="24"/>
          <w:highlight w:val="none"/>
          <w:u w:val="single"/>
          <w14:textFill>
            <w14:solidFill>
              <w14:schemeClr w14:val="tx1"/>
            </w14:solidFill>
          </w14:textFill>
        </w:rPr>
        <w:t>贰</w:t>
      </w:r>
      <w:r>
        <w:rPr>
          <w:rFonts w:ascii="宋体" w:hAnsi="宋体"/>
          <w:b/>
          <w:bCs/>
          <w:color w:val="000000" w:themeColor="text1"/>
          <w:sz w:val="24"/>
          <w:highlight w:val="none"/>
          <w14:textFill>
            <w14:solidFill>
              <w14:schemeClr w14:val="tx1"/>
            </w14:solidFill>
          </w14:textFill>
        </w:rPr>
        <w:t>份；商务标包</w:t>
      </w:r>
      <w:r>
        <w:rPr>
          <w:rFonts w:hint="eastAsia" w:ascii="宋体" w:hAnsi="宋体"/>
          <w:b/>
          <w:bCs/>
          <w:color w:val="000000" w:themeColor="text1"/>
          <w:sz w:val="24"/>
          <w:highlight w:val="none"/>
          <w14:textFill>
            <w14:solidFill>
              <w14:schemeClr w14:val="tx1"/>
            </w14:solidFill>
          </w14:textFill>
        </w:rPr>
        <w:t>正本</w:t>
      </w:r>
      <w:r>
        <w:rPr>
          <w:rFonts w:ascii="宋体" w:hAnsi="宋体"/>
          <w:b/>
          <w:bCs/>
          <w:color w:val="000000" w:themeColor="text1"/>
          <w:sz w:val="24"/>
          <w:highlight w:val="none"/>
          <w:u w:val="single"/>
          <w14:textFill>
            <w14:solidFill>
              <w14:schemeClr w14:val="tx1"/>
            </w14:solidFill>
          </w14:textFill>
        </w:rPr>
        <w:t>壹</w:t>
      </w:r>
      <w:r>
        <w:rPr>
          <w:rFonts w:ascii="宋体" w:hAnsi="宋体"/>
          <w:b/>
          <w:bCs/>
          <w:color w:val="000000" w:themeColor="text1"/>
          <w:sz w:val="24"/>
          <w:highlight w:val="none"/>
          <w14:textFill>
            <w14:solidFill>
              <w14:schemeClr w14:val="tx1"/>
            </w14:solidFill>
          </w14:textFill>
        </w:rPr>
        <w:t>份</w:t>
      </w:r>
      <w:r>
        <w:rPr>
          <w:rFonts w:hint="eastAsia" w:ascii="宋体" w:hAnsi="宋体"/>
          <w:b/>
          <w:bCs/>
          <w:color w:val="000000" w:themeColor="text1"/>
          <w:sz w:val="24"/>
          <w:highlight w:val="none"/>
          <w14:textFill>
            <w14:solidFill>
              <w14:schemeClr w14:val="tx1"/>
            </w14:solidFill>
          </w14:textFill>
        </w:rPr>
        <w:t>，副本</w:t>
      </w:r>
      <w:r>
        <w:rPr>
          <w:rFonts w:hint="eastAsia" w:ascii="宋体" w:hAnsi="宋体"/>
          <w:b/>
          <w:bCs/>
          <w:color w:val="000000" w:themeColor="text1"/>
          <w:sz w:val="24"/>
          <w:highlight w:val="none"/>
          <w:u w:val="single"/>
          <w14:textFill>
            <w14:solidFill>
              <w14:schemeClr w14:val="tx1"/>
            </w14:solidFill>
          </w14:textFill>
        </w:rPr>
        <w:t>贰</w:t>
      </w:r>
      <w:r>
        <w:rPr>
          <w:rFonts w:ascii="宋体" w:hAnsi="宋体"/>
          <w:b/>
          <w:bCs/>
          <w:color w:val="000000" w:themeColor="text1"/>
          <w:sz w:val="24"/>
          <w:highlight w:val="none"/>
          <w14:textFill>
            <w14:solidFill>
              <w14:schemeClr w14:val="tx1"/>
            </w14:solidFill>
          </w14:textFill>
        </w:rPr>
        <w:t>份。资格审查资料包、商务标分别标明“正本”</w:t>
      </w:r>
      <w:r>
        <w:rPr>
          <w:rFonts w:hint="eastAsia" w:ascii="宋体" w:hAnsi="宋体"/>
          <w:b/>
          <w:bCs/>
          <w:color w:val="000000" w:themeColor="text1"/>
          <w:sz w:val="24"/>
          <w:highlight w:val="none"/>
          <w14:textFill>
            <w14:solidFill>
              <w14:schemeClr w14:val="tx1"/>
            </w14:solidFill>
          </w14:textFill>
        </w:rPr>
        <w:t>、“副本”</w:t>
      </w:r>
      <w:r>
        <w:rPr>
          <w:rFonts w:ascii="宋体" w:hAnsi="宋体"/>
          <w:b/>
          <w:bCs/>
          <w:color w:val="000000" w:themeColor="text1"/>
          <w:sz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72" w:firstLineChars="196"/>
        <w:rPr>
          <w:rFonts w:ascii="宋体" w:hAnsi="宋体"/>
          <w:b/>
          <w:snapToGrid w:val="0"/>
          <w:color w:val="000000" w:themeColor="text1"/>
          <w:kern w:val="0"/>
          <w:sz w:val="24"/>
          <w:highlight w:val="none"/>
          <w14:textFill>
            <w14:solidFill>
              <w14:schemeClr w14:val="tx1"/>
            </w14:solidFill>
          </w14:textFill>
        </w:rPr>
      </w:pPr>
      <w:r>
        <w:rPr>
          <w:rFonts w:ascii="宋体" w:hAnsi="宋体"/>
          <w:b/>
          <w:snapToGrid w:val="0"/>
          <w:color w:val="000000" w:themeColor="text1"/>
          <w:kern w:val="0"/>
          <w:sz w:val="24"/>
          <w:highlight w:val="none"/>
          <w14:textFill>
            <w14:solidFill>
              <w14:schemeClr w14:val="tx1"/>
            </w14:solidFill>
          </w14:textFill>
        </w:rPr>
        <w:t>资格审查资料包、商务标</w:t>
      </w:r>
      <w:r>
        <w:rPr>
          <w:rFonts w:hint="eastAsia" w:ascii="宋体" w:hAnsi="宋体"/>
          <w:b/>
          <w:snapToGrid w:val="0"/>
          <w:color w:val="000000" w:themeColor="text1"/>
          <w:kern w:val="0"/>
          <w:sz w:val="24"/>
          <w:highlight w:val="none"/>
          <w14:textFill>
            <w14:solidFill>
              <w14:schemeClr w14:val="tx1"/>
            </w14:solidFill>
          </w14:textFill>
        </w:rPr>
        <w:t>两</w:t>
      </w:r>
      <w:r>
        <w:rPr>
          <w:rFonts w:ascii="宋体" w:hAnsi="宋体"/>
          <w:b/>
          <w:snapToGrid w:val="0"/>
          <w:color w:val="000000" w:themeColor="text1"/>
          <w:kern w:val="0"/>
          <w:sz w:val="24"/>
          <w:highlight w:val="none"/>
          <w14:textFill>
            <w14:solidFill>
              <w14:schemeClr w14:val="tx1"/>
            </w14:solidFill>
          </w14:textFill>
        </w:rPr>
        <w:t>部分，必须分袋密封，并在封袋上加盖投标人单位公章和单位法定代表人章，另须在封袋上标明“资格审查资料包”或“商务标”，同时还要写明工程名称。</w:t>
      </w:r>
    </w:p>
    <w:p>
      <w:pPr>
        <w:pageBreakBefore w:val="0"/>
        <w:kinsoku/>
        <w:overflowPunct/>
        <w:topLinePunct w:val="0"/>
        <w:bidi w:val="0"/>
        <w:spacing w:line="360" w:lineRule="auto"/>
        <w:ind w:left="0" w:leftChars="0" w:right="0" w:rightChars="0" w:firstLine="480" w:firstLineChars="200"/>
        <w:rPr>
          <w:rFonts w:ascii="宋体" w:hAnsi="宋体"/>
          <w:snapToGrid w:val="0"/>
          <w:color w:val="000000" w:themeColor="text1"/>
          <w:kern w:val="0"/>
          <w:sz w:val="24"/>
          <w:highlight w:val="none"/>
          <w14:textFill>
            <w14:solidFill>
              <w14:schemeClr w14:val="tx1"/>
            </w14:solidFill>
          </w14:textFill>
        </w:rPr>
      </w:pPr>
      <w:r>
        <w:rPr>
          <w:rFonts w:ascii="宋体" w:hAnsi="宋体"/>
          <w:snapToGrid w:val="0"/>
          <w:color w:val="000000" w:themeColor="text1"/>
          <w:kern w:val="0"/>
          <w:sz w:val="24"/>
          <w:highlight w:val="none"/>
          <w14:textFill>
            <w14:solidFill>
              <w14:schemeClr w14:val="tx1"/>
            </w14:solidFill>
          </w14:textFill>
        </w:rPr>
        <w:t>20.</w:t>
      </w:r>
      <w:r>
        <w:rPr>
          <w:rFonts w:hint="eastAsia" w:ascii="宋体" w:hAnsi="宋体"/>
          <w:snapToGrid w:val="0"/>
          <w:color w:val="000000" w:themeColor="text1"/>
          <w:kern w:val="0"/>
          <w:sz w:val="24"/>
          <w:highlight w:val="none"/>
          <w14:textFill>
            <w14:solidFill>
              <w14:schemeClr w14:val="tx1"/>
            </w14:solidFill>
          </w14:textFill>
        </w:rPr>
        <w:t xml:space="preserve">4 </w:t>
      </w:r>
      <w:r>
        <w:rPr>
          <w:rFonts w:ascii="宋体" w:hAnsi="宋体"/>
          <w:snapToGrid w:val="0"/>
          <w:color w:val="000000" w:themeColor="text1"/>
          <w:kern w:val="0"/>
          <w:sz w:val="24"/>
          <w:highlight w:val="none"/>
          <w14:textFill>
            <w14:solidFill>
              <w14:schemeClr w14:val="tx1"/>
            </w14:solidFill>
          </w14:textFill>
        </w:rPr>
        <w:t>投标文件正、副本不一致时，以正本为准。</w:t>
      </w:r>
    </w:p>
    <w:p>
      <w:pPr>
        <w:pageBreakBefore w:val="0"/>
        <w:kinsoku/>
        <w:overflowPunct/>
        <w:topLinePunct w:val="0"/>
        <w:bidi w:val="0"/>
        <w:spacing w:line="360" w:lineRule="auto"/>
        <w:ind w:left="0" w:leftChars="0" w:right="0" w:rightChars="0" w:firstLine="480" w:firstLineChars="200"/>
        <w:rPr>
          <w:rFonts w:ascii="宋体" w:hAnsi="宋体"/>
          <w:snapToGrid w:val="0"/>
          <w:color w:val="000000" w:themeColor="text1"/>
          <w:kern w:val="0"/>
          <w:sz w:val="24"/>
          <w:highlight w:val="none"/>
          <w14:textFill>
            <w14:solidFill>
              <w14:schemeClr w14:val="tx1"/>
            </w14:solidFill>
          </w14:textFill>
        </w:rPr>
      </w:pPr>
      <w:r>
        <w:rPr>
          <w:rFonts w:ascii="宋体" w:hAnsi="宋体"/>
          <w:snapToGrid w:val="0"/>
          <w:color w:val="000000" w:themeColor="text1"/>
          <w:kern w:val="0"/>
          <w:sz w:val="24"/>
          <w:highlight w:val="none"/>
          <w14:textFill>
            <w14:solidFill>
              <w14:schemeClr w14:val="tx1"/>
            </w14:solidFill>
          </w14:textFill>
        </w:rPr>
        <w:t>20.</w:t>
      </w:r>
      <w:r>
        <w:rPr>
          <w:rFonts w:hint="eastAsia" w:ascii="宋体" w:hAnsi="宋体"/>
          <w:snapToGrid w:val="0"/>
          <w:color w:val="000000" w:themeColor="text1"/>
          <w:kern w:val="0"/>
          <w:sz w:val="24"/>
          <w:highlight w:val="none"/>
          <w14:textFill>
            <w14:solidFill>
              <w14:schemeClr w14:val="tx1"/>
            </w14:solidFill>
          </w14:textFill>
        </w:rPr>
        <w:t>5</w:t>
      </w:r>
      <w:r>
        <w:rPr>
          <w:rFonts w:ascii="宋体" w:hAnsi="宋体"/>
          <w:snapToGrid w:val="0"/>
          <w:color w:val="000000" w:themeColor="text1"/>
          <w:kern w:val="0"/>
          <w:sz w:val="24"/>
          <w:highlight w:val="none"/>
          <w14:textFill>
            <w14:solidFill>
              <w14:schemeClr w14:val="tx1"/>
            </w14:solidFill>
          </w14:textFill>
        </w:rPr>
        <w:t xml:space="preserve"> 投标人未按上述规定提交投标文件，其投标文件将被拒绝，并退还给投标人。</w:t>
      </w:r>
    </w:p>
    <w:p>
      <w:pPr>
        <w:pageBreakBefore w:val="0"/>
        <w:kinsoku/>
        <w:overflowPunct/>
        <w:topLinePunct w:val="0"/>
        <w:bidi w:val="0"/>
        <w:spacing w:line="360" w:lineRule="auto"/>
        <w:ind w:left="0" w:leftChars="0" w:right="0" w:rightChars="0" w:firstLine="482" w:firstLineChars="200"/>
        <w:rPr>
          <w:rFonts w:ascii="宋体" w:hAnsi="宋体"/>
          <w:b/>
          <w:snapToGrid w:val="0"/>
          <w:color w:val="000000" w:themeColor="text1"/>
          <w:kern w:val="0"/>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21</w:t>
      </w:r>
      <w:r>
        <w:rPr>
          <w:rFonts w:hint="eastAsia" w:ascii="宋体" w:hAnsi="宋体"/>
          <w:b/>
          <w:color w:val="000000" w:themeColor="text1"/>
          <w:sz w:val="24"/>
          <w:highlight w:val="none"/>
          <w14:textFill>
            <w14:solidFill>
              <w14:schemeClr w14:val="tx1"/>
            </w14:solidFill>
          </w14:textFill>
        </w:rPr>
        <w:t>、</w:t>
      </w:r>
      <w:r>
        <w:rPr>
          <w:rFonts w:ascii="宋体" w:hAnsi="宋体"/>
          <w:b/>
          <w:color w:val="000000" w:themeColor="text1"/>
          <w:sz w:val="24"/>
          <w:highlight w:val="none"/>
          <w14:textFill>
            <w14:solidFill>
              <w14:schemeClr w14:val="tx1"/>
            </w14:solidFill>
          </w14:textFill>
        </w:rPr>
        <w:t>投标文件的递交</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21.1投标人应在投标人须知前附表</w:t>
      </w:r>
      <w:r>
        <w:rPr>
          <w:rFonts w:ascii="宋体" w:hAnsi="宋体"/>
          <w:color w:val="000000" w:themeColor="text1"/>
          <w:sz w:val="24"/>
          <w:highlight w:val="none"/>
          <w:u w:val="single"/>
          <w14:textFill>
            <w14:solidFill>
              <w14:schemeClr w14:val="tx1"/>
            </w14:solidFill>
          </w14:textFill>
        </w:rPr>
        <w:t>第18条</w:t>
      </w:r>
      <w:r>
        <w:rPr>
          <w:rFonts w:ascii="宋体" w:hAnsi="宋体"/>
          <w:color w:val="000000" w:themeColor="text1"/>
          <w:sz w:val="24"/>
          <w:highlight w:val="none"/>
          <w14:textFill>
            <w14:solidFill>
              <w14:schemeClr w14:val="tx1"/>
            </w14:solidFill>
          </w14:textFill>
        </w:rPr>
        <w:t>规定的投标文件递交截止时间之前完成投标文件的递交。招标人延长递交投标文件截止时间的，招标人与投标人在原投标截止期的全部权利、义务、责任将适用于延长后新的投标截止期。</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21.2逾期送达的或者未送达指定地点的投标文件，招标人不予受理。</w:t>
      </w:r>
    </w:p>
    <w:p>
      <w:pPr>
        <w:pageBreakBefore w:val="0"/>
        <w:kinsoku/>
        <w:overflowPunct/>
        <w:topLinePunct w:val="0"/>
        <w:bidi w:val="0"/>
        <w:spacing w:line="360" w:lineRule="auto"/>
        <w:ind w:left="0" w:leftChars="0" w:right="0" w:rightChars="0" w:firstLine="48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22</w:t>
      </w:r>
      <w:r>
        <w:rPr>
          <w:rFonts w:hint="eastAsia" w:ascii="宋体" w:hAnsi="宋体"/>
          <w:b/>
          <w:color w:val="000000" w:themeColor="text1"/>
          <w:sz w:val="24"/>
          <w:highlight w:val="none"/>
          <w14:textFill>
            <w14:solidFill>
              <w14:schemeClr w14:val="tx1"/>
            </w14:solidFill>
          </w14:textFill>
        </w:rPr>
        <w:t>、</w:t>
      </w:r>
      <w:r>
        <w:rPr>
          <w:rFonts w:ascii="宋体" w:hAnsi="宋体"/>
          <w:b/>
          <w:color w:val="000000" w:themeColor="text1"/>
          <w:sz w:val="24"/>
          <w:highlight w:val="none"/>
          <w14:textFill>
            <w14:solidFill>
              <w14:schemeClr w14:val="tx1"/>
            </w14:solidFill>
          </w14:textFill>
        </w:rPr>
        <w:t>投标文件的修改与撤回</w:t>
      </w:r>
    </w:p>
    <w:p>
      <w:pPr>
        <w:pageBreakBefore w:val="0"/>
        <w:kinsoku/>
        <w:overflowPunct/>
        <w:topLinePunct w:val="0"/>
        <w:bidi w:val="0"/>
        <w:spacing w:line="360" w:lineRule="auto"/>
        <w:ind w:left="0" w:leftChars="0" w:right="0" w:rightChars="0" w:firstLine="480"/>
        <w:rPr>
          <w:rFonts w:ascii="宋体" w:hAnsi="宋体"/>
          <w:b/>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投标截止时间之前，投标人可对所递交的投标文件进行修改或撤回，但所递交的修改或撤回通知必须按招标文件的规定进行编制、密封、标志(在包封上标明“修改”或“撤回”字样，并注明修改或撤回的时间)和递交。投标截止时间之后，投标人不得修改或撤回投标文件。</w:t>
      </w: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0"/>
          <w:szCs w:val="30"/>
          <w:highlight w:val="none"/>
          <w14:textFill>
            <w14:solidFill>
              <w14:schemeClr w14:val="tx1"/>
            </w14:solidFill>
          </w14:textFill>
        </w:rPr>
      </w:pPr>
      <w:r>
        <w:rPr>
          <w:rFonts w:ascii="宋体" w:hAnsi="宋体" w:eastAsia="宋体" w:cs="宋体"/>
          <w:color w:val="000000" w:themeColor="text1"/>
          <w:sz w:val="30"/>
          <w:szCs w:val="30"/>
          <w:highlight w:val="none"/>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六</w:t>
      </w:r>
      <w:r>
        <w:rPr>
          <w:rFonts w:ascii="宋体" w:hAnsi="宋体" w:eastAsia="宋体" w:cs="宋体"/>
          <w:color w:val="000000" w:themeColor="text1"/>
          <w:sz w:val="30"/>
          <w:szCs w:val="30"/>
          <w:highlight w:val="none"/>
          <w14:textFill>
            <w14:solidFill>
              <w14:schemeClr w14:val="tx1"/>
            </w14:solidFill>
          </w14:textFill>
        </w:rPr>
        <w:t xml:space="preserve">) </w:t>
      </w:r>
      <w:r>
        <w:rPr>
          <w:rFonts w:hint="eastAsia" w:ascii="宋体" w:hAnsi="宋体" w:eastAsia="宋体" w:cs="宋体"/>
          <w:color w:val="000000" w:themeColor="text1"/>
          <w:sz w:val="30"/>
          <w:szCs w:val="30"/>
          <w:highlight w:val="none"/>
          <w14:textFill>
            <w14:solidFill>
              <w14:schemeClr w14:val="tx1"/>
            </w14:solidFill>
          </w14:textFill>
        </w:rPr>
        <w:t>开标、评标和定标</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23</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本工程评标、定标办法采用下列</w:t>
      </w:r>
      <w:r>
        <w:rPr>
          <w:rFonts w:ascii="宋体" w:hAnsi="宋体"/>
          <w:b/>
          <w:color w:val="000000" w:themeColor="text1"/>
          <w:sz w:val="24"/>
          <w:highlight w:val="none"/>
          <w:u w:val="single"/>
          <w14:textFill>
            <w14:solidFill>
              <w14:schemeClr w14:val="tx1"/>
            </w14:solidFill>
          </w14:textFill>
        </w:rPr>
        <w:t xml:space="preserve">  23.1 </w:t>
      </w:r>
      <w:r>
        <w:rPr>
          <w:rFonts w:ascii="宋体" w:hAnsi="宋体"/>
          <w:color w:val="000000" w:themeColor="text1"/>
          <w:sz w:val="24"/>
          <w:highlight w:val="none"/>
          <w14:textFill>
            <w14:solidFill>
              <w14:schemeClr w14:val="tx1"/>
            </w14:solidFill>
          </w14:textFill>
        </w:rPr>
        <w:t>种方式</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23.1价格单因素评标办法</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23.2含施工组织设计的价格单因素评标方法</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23.3综合评估法</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24</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招标人按本须知前附表</w:t>
      </w:r>
      <w:r>
        <w:rPr>
          <w:rFonts w:ascii="宋体" w:hAnsi="宋体"/>
          <w:color w:val="000000" w:themeColor="text1"/>
          <w:sz w:val="24"/>
          <w:highlight w:val="none"/>
          <w:u w:val="single"/>
          <w14:textFill>
            <w14:solidFill>
              <w14:schemeClr w14:val="tx1"/>
            </w14:solidFill>
          </w14:textFill>
        </w:rPr>
        <w:t>第19项</w:t>
      </w:r>
      <w:r>
        <w:rPr>
          <w:rFonts w:ascii="宋体" w:hAnsi="宋体"/>
          <w:color w:val="000000" w:themeColor="text1"/>
          <w:sz w:val="24"/>
          <w:highlight w:val="none"/>
          <w14:textFill>
            <w14:solidFill>
              <w14:schemeClr w14:val="tx1"/>
            </w14:solidFill>
          </w14:textFill>
        </w:rPr>
        <w:t>规定的时间、地点公开开标。开标会由招标代理机构主持，由招标人代表或代理机构检查投标文件的密封情况</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25</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评标委员会应当审查每一投标文件是否对招标文件提出的所有实质性要求和条件作出响应。</w:t>
      </w:r>
    </w:p>
    <w:p>
      <w:pPr>
        <w:pageBreakBefore w:val="0"/>
        <w:kinsoku/>
        <w:overflowPunct/>
        <w:topLinePunct w:val="0"/>
        <w:bidi w:val="0"/>
        <w:spacing w:line="360" w:lineRule="auto"/>
        <w:ind w:left="0" w:leftChars="0" w:right="0" w:rightChars="0" w:firstLine="482" w:firstLineChars="200"/>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26</w:t>
      </w:r>
      <w:r>
        <w:rPr>
          <w:rFonts w:hint="eastAsia" w:ascii="宋体" w:hAnsi="宋体"/>
          <w:b/>
          <w:color w:val="000000" w:themeColor="text1"/>
          <w:sz w:val="24"/>
          <w:highlight w:val="none"/>
          <w14:textFill>
            <w14:solidFill>
              <w14:schemeClr w14:val="tx1"/>
            </w14:solidFill>
          </w14:textFill>
        </w:rPr>
        <w:t>、</w:t>
      </w:r>
      <w:r>
        <w:rPr>
          <w:rFonts w:ascii="宋体" w:hAnsi="宋体"/>
          <w:b/>
          <w:color w:val="000000" w:themeColor="text1"/>
          <w:kern w:val="0"/>
          <w:sz w:val="24"/>
          <w:highlight w:val="none"/>
          <w14:textFill>
            <w14:solidFill>
              <w14:schemeClr w14:val="tx1"/>
            </w14:solidFill>
          </w14:textFill>
        </w:rPr>
        <w:t>凡</w:t>
      </w:r>
      <w:r>
        <w:rPr>
          <w:rFonts w:ascii="宋体" w:hAnsi="宋体"/>
          <w:b/>
          <w:color w:val="000000" w:themeColor="text1"/>
          <w:sz w:val="24"/>
          <w:highlight w:val="none"/>
          <w14:textFill>
            <w14:solidFill>
              <w14:schemeClr w14:val="tx1"/>
            </w14:solidFill>
          </w14:textFill>
        </w:rPr>
        <w:t>投标文件有下列情况之一的，属于重大偏差，视同未能对招标文件作出实质性响应，按废标处理。</w:t>
      </w:r>
    </w:p>
    <w:p>
      <w:pPr>
        <w:pageBreakBefore w:val="0"/>
        <w:kinsoku/>
        <w:overflowPunct/>
        <w:topLinePunct w:val="0"/>
        <w:bidi w:val="0"/>
        <w:spacing w:line="360" w:lineRule="auto"/>
        <w:ind w:left="0" w:leftChars="0" w:right="0" w:rightChars="0" w:firstLine="482" w:firstLineChars="20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cs="宋体"/>
          <w:b/>
          <w:bCs/>
          <w:color w:val="000000" w:themeColor="text1"/>
          <w:sz w:val="24"/>
          <w:highlight w:val="none"/>
          <w14:textFill>
            <w14:solidFill>
              <w14:schemeClr w14:val="tx1"/>
            </w14:solidFill>
          </w14:textFill>
        </w:rPr>
        <w:t>投标文件中的投标函未加盖投标人的公章；</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14:textFill>
            <w14:solidFill>
              <w14:schemeClr w14:val="tx1"/>
            </w14:solidFill>
          </w14:textFill>
        </w:rPr>
        <w:t>投标文件中的投标函未加盖企业法定代表人（或委托代理人）印章（或签字）的；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26.3</w:t>
      </w:r>
      <w:r>
        <w:rPr>
          <w:rFonts w:hint="eastAsia" w:ascii="宋体" w:hAnsi="宋体" w:cs="宋体"/>
          <w:b/>
          <w:bCs/>
          <w:color w:val="000000" w:themeColor="text1"/>
          <w:sz w:val="24"/>
          <w:highlight w:val="none"/>
          <w14:textFill>
            <w14:solidFill>
              <w14:schemeClr w14:val="tx1"/>
            </w14:solidFill>
          </w14:textFill>
        </w:rPr>
        <w:t>如投标函加盖企业委托代理人印章（或签字）的，委托代理人没有合法、有效的委托书（原件）的；</w:t>
      </w:r>
    </w:p>
    <w:p>
      <w:pPr>
        <w:pageBreakBefore w:val="0"/>
        <w:kinsoku/>
        <w:overflowPunct/>
        <w:topLinePunct w:val="0"/>
        <w:bidi w:val="0"/>
        <w:spacing w:line="360" w:lineRule="auto"/>
        <w:ind w:left="0" w:leftChars="0" w:right="0" w:rightChars="0" w:firstLine="480"/>
        <w:rPr>
          <w:rFonts w:hint="eastAsia"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26.4</w:t>
      </w:r>
      <w:r>
        <w:rPr>
          <w:rFonts w:hint="eastAsia" w:ascii="宋体" w:hAnsi="宋体" w:cs="宋体"/>
          <w:b/>
          <w:bCs/>
          <w:color w:val="000000" w:themeColor="text1"/>
          <w:sz w:val="24"/>
          <w:highlight w:val="none"/>
          <w14:textFill>
            <w14:solidFill>
              <w14:schemeClr w14:val="tx1"/>
            </w14:solidFill>
          </w14:textFill>
        </w:rPr>
        <w:t>投标人资格条件不符合国家有关规定或招标文件要求的；</w:t>
      </w:r>
    </w:p>
    <w:p>
      <w:pPr>
        <w:pageBreakBefore w:val="0"/>
        <w:kinsoku/>
        <w:overflowPunct/>
        <w:topLinePunct w:val="0"/>
        <w:bidi w:val="0"/>
        <w:spacing w:line="360" w:lineRule="auto"/>
        <w:ind w:left="0" w:leftChars="0" w:right="0" w:rightChars="0" w:firstLine="480"/>
        <w:rPr>
          <w:rFonts w:hint="eastAsia" w:ascii="宋体" w:hAnsi="宋体" w:cs="宋体"/>
          <w:b/>
          <w:bCs/>
          <w:color w:val="000000" w:themeColor="text1"/>
          <w:sz w:val="24"/>
          <w:highlight w:val="none"/>
          <w:lang w:eastAsia="zh-CN"/>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26.5</w:t>
      </w:r>
      <w:r>
        <w:rPr>
          <w:rFonts w:hint="eastAsia" w:ascii="宋体" w:hAnsi="宋体" w:cs="宋体"/>
          <w:b/>
          <w:bCs/>
          <w:color w:val="000000" w:themeColor="text1"/>
          <w:sz w:val="24"/>
          <w:highlight w:val="none"/>
          <w14:textFill>
            <w14:solidFill>
              <w14:schemeClr w14:val="tx1"/>
            </w14:solidFill>
          </w14:textFill>
        </w:rPr>
        <w:t>投标人在本招标项目投标文件递交截止时间当日，建筑业企业资质动态监管结果中本项目要求的资质处于不合格状态的</w:t>
      </w:r>
      <w:r>
        <w:rPr>
          <w:rFonts w:hint="eastAsia" w:ascii="宋体" w:hAnsi="宋体" w:cs="宋体"/>
          <w:b/>
          <w:bCs/>
          <w:color w:val="000000" w:themeColor="text1"/>
          <w:sz w:val="24"/>
          <w:highlight w:val="none"/>
          <w:lang w:eastAsia="zh-CN"/>
          <w14:textFill>
            <w14:solidFill>
              <w14:schemeClr w14:val="tx1"/>
            </w14:solidFill>
          </w14:textFill>
        </w:rPr>
        <w:t>；</w:t>
      </w:r>
    </w:p>
    <w:p>
      <w:pPr>
        <w:pageBreakBefore w:val="0"/>
        <w:kinsoku/>
        <w:overflowPunct/>
        <w:topLinePunct w:val="0"/>
        <w:bidi w:val="0"/>
        <w:spacing w:line="360" w:lineRule="auto"/>
        <w:ind w:left="0" w:leftChars="0" w:right="0" w:rightChars="0" w:firstLine="480"/>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cs="宋体"/>
          <w:b/>
          <w:bCs/>
          <w:color w:val="000000" w:themeColor="text1"/>
          <w:sz w:val="24"/>
          <w:highlight w:val="none"/>
          <w:lang w:val="en-US" w:eastAsia="zh-CN"/>
          <w14:textFill>
            <w14:solidFill>
              <w14:schemeClr w14:val="tx1"/>
            </w14:solidFill>
          </w14:textFill>
        </w:rPr>
        <w:t>26.6拟派</w:t>
      </w:r>
      <w:r>
        <w:rPr>
          <w:rFonts w:hint="eastAsia" w:ascii="宋体" w:hAnsi="宋体" w:cs="宋体"/>
          <w:b/>
          <w:bCs/>
          <w:color w:val="000000" w:themeColor="text1"/>
          <w:sz w:val="24"/>
          <w:highlight w:val="none"/>
          <w14:textFill>
            <w14:solidFill>
              <w14:schemeClr w14:val="tx1"/>
            </w14:solidFill>
          </w14:textFill>
        </w:rPr>
        <w:t>项目负责人为二级建造师的，不符合《省住房和城乡建设厅关于我省二级建造师、二级造价工程师、二级注册建筑师、二级注册结构工程师注册证书电子证照换发的公告》（〔2023〕第26号）文件要求规定的</w:t>
      </w:r>
      <w:r>
        <w:rPr>
          <w:rFonts w:hint="eastAsia" w:ascii="宋体" w:hAnsi="宋体" w:cs="宋体"/>
          <w:b/>
          <w:bCs/>
          <w:color w:val="000000" w:themeColor="text1"/>
          <w:sz w:val="24"/>
          <w:highlight w:val="none"/>
          <w:lang w:eastAsia="zh-CN"/>
          <w14:textFill>
            <w14:solidFill>
              <w14:schemeClr w14:val="tx1"/>
            </w14:solidFill>
          </w14:textFill>
        </w:rPr>
        <w:t>；</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7</w:t>
      </w:r>
      <w:r>
        <w:rPr>
          <w:rFonts w:hint="eastAsia" w:ascii="宋体" w:hAnsi="宋体" w:cs="宋体"/>
          <w:b/>
          <w:bCs/>
          <w:color w:val="000000" w:themeColor="text1"/>
          <w:sz w:val="24"/>
          <w:highlight w:val="none"/>
          <w14:textFill>
            <w14:solidFill>
              <w14:schemeClr w14:val="tx1"/>
            </w14:solidFill>
          </w14:textFill>
        </w:rPr>
        <w:t>投标人名称或组织结构与资格预审时不一致的；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8</w:t>
      </w:r>
      <w:r>
        <w:rPr>
          <w:rFonts w:hint="eastAsia" w:ascii="宋体" w:hAnsi="宋体" w:cs="宋体"/>
          <w:b/>
          <w:bCs/>
          <w:color w:val="000000" w:themeColor="text1"/>
          <w:sz w:val="24"/>
          <w:highlight w:val="none"/>
          <w14:textFill>
            <w14:solidFill>
              <w14:schemeClr w14:val="tx1"/>
            </w14:solidFill>
          </w14:textFill>
        </w:rPr>
        <w:t>除在投标截止时间前经招标人书面同意外，项目负责人与资格预审时不一致的；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9</w:t>
      </w:r>
      <w:r>
        <w:rPr>
          <w:rFonts w:hint="eastAsia" w:ascii="宋体" w:hAnsi="宋体" w:cs="宋体"/>
          <w:b/>
          <w:bCs/>
          <w:color w:val="000000" w:themeColor="text1"/>
          <w:sz w:val="24"/>
          <w:highlight w:val="none"/>
          <w14:textFill>
            <w14:solidFill>
              <w14:schemeClr w14:val="tx1"/>
            </w14:solidFill>
          </w14:textFill>
        </w:rPr>
        <w:t>组成联合体投标未提供联合体各方共同投标协议的（本工程不接受联合体）；</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10</w:t>
      </w:r>
      <w:r>
        <w:rPr>
          <w:rFonts w:hint="eastAsia" w:ascii="宋体" w:hAnsi="宋体" w:cs="宋体"/>
          <w:b/>
          <w:bCs/>
          <w:color w:val="000000" w:themeColor="text1"/>
          <w:sz w:val="24"/>
          <w:highlight w:val="none"/>
          <w14:textFill>
            <w14:solidFill>
              <w14:schemeClr w14:val="tx1"/>
            </w14:solidFill>
          </w14:textFill>
        </w:rPr>
        <w:t>在同一招标项目中，联合体成员以自己名义单独投标或者参加其他联合体投标的；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11</w:t>
      </w:r>
      <w:r>
        <w:rPr>
          <w:rFonts w:hint="eastAsia" w:ascii="宋体" w:hAnsi="宋体" w:cs="宋体"/>
          <w:b/>
          <w:bCs/>
          <w:color w:val="000000" w:themeColor="text1"/>
          <w:sz w:val="24"/>
          <w:highlight w:val="none"/>
          <w14:textFill>
            <w14:solidFill>
              <w14:schemeClr w14:val="tx1"/>
            </w14:solidFill>
          </w14:textFill>
        </w:rPr>
        <w:t>联合体成员与资格预审确定的结果不一致的；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2</w:t>
      </w:r>
      <w:r>
        <w:rPr>
          <w:rFonts w:hint="eastAsia" w:ascii="宋体" w:hAnsi="宋体" w:cs="宋体"/>
          <w:b/>
          <w:bCs/>
          <w:color w:val="000000" w:themeColor="text1"/>
          <w:sz w:val="24"/>
          <w:highlight w:val="none"/>
          <w14:textFill>
            <w14:solidFill>
              <w14:schemeClr w14:val="tx1"/>
            </w14:solidFill>
          </w14:textFill>
        </w:rPr>
        <w:t>投标报价低于成本或者高于等于招标文件设定的招标控制价的；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3</w:t>
      </w:r>
      <w:r>
        <w:rPr>
          <w:rFonts w:hint="eastAsia" w:ascii="宋体" w:hAnsi="宋体" w:cs="宋体"/>
          <w:b/>
          <w:bCs/>
          <w:color w:val="000000" w:themeColor="text1"/>
          <w:sz w:val="24"/>
          <w:highlight w:val="none"/>
          <w14:textFill>
            <w14:solidFill>
              <w14:schemeClr w14:val="tx1"/>
            </w14:solidFill>
          </w14:textFill>
        </w:rPr>
        <w:t>同一投标人提交两个及以上不同的投标文件或者投标报价，但招标文件要求提交备选投标的除外；</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4</w:t>
      </w:r>
      <w:r>
        <w:rPr>
          <w:rFonts w:hint="eastAsia" w:ascii="宋体" w:hAnsi="宋体" w:cs="宋体"/>
          <w:b/>
          <w:bCs/>
          <w:color w:val="000000" w:themeColor="text1"/>
          <w:sz w:val="24"/>
          <w:highlight w:val="none"/>
          <w14:textFill>
            <w14:solidFill>
              <w14:schemeClr w14:val="tx1"/>
            </w14:solidFill>
          </w14:textFill>
        </w:rPr>
        <w:t>与招标文件规定的暂估价、暂列金额及甲供材料价格不一致的；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5</w:t>
      </w:r>
      <w:r>
        <w:rPr>
          <w:rFonts w:hint="eastAsia" w:ascii="宋体" w:hAnsi="宋体" w:cs="宋体"/>
          <w:b/>
          <w:bCs/>
          <w:color w:val="000000" w:themeColor="text1"/>
          <w:sz w:val="24"/>
          <w:highlight w:val="none"/>
          <w14:textFill>
            <w14:solidFill>
              <w14:schemeClr w14:val="tx1"/>
            </w14:solidFill>
          </w14:textFill>
        </w:rPr>
        <w:t>与招标文件明确列出的不可竞争费用项目或费率或计算基础不一致的；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6</w:t>
      </w:r>
      <w:r>
        <w:rPr>
          <w:rFonts w:hint="eastAsia" w:ascii="宋体" w:hAnsi="宋体" w:cs="宋体"/>
          <w:b/>
          <w:bCs/>
          <w:color w:val="000000" w:themeColor="text1"/>
          <w:sz w:val="24"/>
          <w:highlight w:val="none"/>
          <w14:textFill>
            <w14:solidFill>
              <w14:schemeClr w14:val="tx1"/>
            </w14:solidFill>
          </w14:textFill>
        </w:rPr>
        <w:t>与招标文件提供的工程量清单中的项目编码、项目名称、项目特征、计量单位、工程量不一致的；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7</w:t>
      </w:r>
      <w:r>
        <w:rPr>
          <w:rFonts w:hint="eastAsia" w:ascii="宋体" w:hAnsi="宋体" w:cs="宋体"/>
          <w:b/>
          <w:bCs/>
          <w:color w:val="000000" w:themeColor="text1"/>
          <w:sz w:val="24"/>
          <w:highlight w:val="none"/>
          <w14:textFill>
            <w14:solidFill>
              <w14:schemeClr w14:val="tx1"/>
            </w14:solidFill>
          </w14:textFill>
        </w:rPr>
        <w:t>未按招标文件要求提供投标保证金的；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8</w:t>
      </w:r>
      <w:r>
        <w:rPr>
          <w:rFonts w:hint="eastAsia" w:ascii="宋体" w:hAnsi="宋体" w:cs="宋体"/>
          <w:b/>
          <w:bCs/>
          <w:color w:val="000000" w:themeColor="text1"/>
          <w:sz w:val="24"/>
          <w:highlight w:val="none"/>
          <w14:textFill>
            <w14:solidFill>
              <w14:schemeClr w14:val="tx1"/>
            </w14:solidFill>
          </w14:textFill>
        </w:rPr>
        <w:t>投标文件载明的招标项目完成期限超过招标文件规定的期限的；</w:t>
      </w:r>
    </w:p>
    <w:p>
      <w:pPr>
        <w:pageBreakBefore w:val="0"/>
        <w:kinsoku/>
        <w:overflowPunct/>
        <w:topLinePunct w:val="0"/>
        <w:bidi w:val="0"/>
        <w:spacing w:line="360" w:lineRule="auto"/>
        <w:ind w:left="0" w:leftChars="0" w:right="0" w:rightChars="0" w:firstLine="48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26.1</w:t>
      </w:r>
      <w:r>
        <w:rPr>
          <w:rFonts w:hint="eastAsia" w:ascii="宋体" w:hAnsi="宋体"/>
          <w:b/>
          <w:bCs/>
          <w:color w:val="000000" w:themeColor="text1"/>
          <w:sz w:val="24"/>
          <w:highlight w:val="none"/>
          <w:lang w:val="en-US" w:eastAsia="zh-CN"/>
          <w14:textFill>
            <w14:solidFill>
              <w14:schemeClr w14:val="tx1"/>
            </w14:solidFill>
          </w14:textFill>
        </w:rPr>
        <w:t>9</w:t>
      </w:r>
      <w:r>
        <w:rPr>
          <w:rFonts w:hint="eastAsia" w:ascii="宋体" w:hAnsi="宋体"/>
          <w:b/>
          <w:bCs/>
          <w:color w:val="000000" w:themeColor="text1"/>
          <w:sz w:val="24"/>
          <w:highlight w:val="none"/>
          <w14:textFill>
            <w14:solidFill>
              <w14:schemeClr w14:val="tx1"/>
            </w14:solidFill>
          </w14:textFill>
        </w:rPr>
        <w:t>明显不符合技术规范、技术标准的要求的；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20</w:t>
      </w:r>
      <w:r>
        <w:rPr>
          <w:rFonts w:hint="eastAsia" w:ascii="宋体" w:hAnsi="宋体" w:cs="宋体"/>
          <w:b/>
          <w:bCs/>
          <w:color w:val="000000" w:themeColor="text1"/>
          <w:sz w:val="24"/>
          <w:highlight w:val="none"/>
          <w14:textFill>
            <w14:solidFill>
              <w14:schemeClr w14:val="tx1"/>
            </w14:solidFill>
          </w14:textFill>
        </w:rPr>
        <w:t>投标文件载明的货物包装方式、检验标准和方法等不符合招标文件的要求的；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26.</w:t>
      </w:r>
      <w:r>
        <w:rPr>
          <w:rFonts w:hint="eastAsia" w:ascii="宋体" w:hAnsi="宋体"/>
          <w:b/>
          <w:bCs/>
          <w:color w:val="000000" w:themeColor="text1"/>
          <w:sz w:val="24"/>
          <w:highlight w:val="none"/>
          <w:lang w:val="en-US" w:eastAsia="zh-CN"/>
          <w14:textFill>
            <w14:solidFill>
              <w14:schemeClr w14:val="tx1"/>
            </w14:solidFill>
          </w14:textFill>
        </w:rPr>
        <w:t>21</w:t>
      </w:r>
      <w:r>
        <w:rPr>
          <w:rFonts w:hint="eastAsia" w:ascii="宋体" w:hAnsi="宋体" w:cs="宋体"/>
          <w:b/>
          <w:bCs/>
          <w:color w:val="000000" w:themeColor="text1"/>
          <w:sz w:val="24"/>
          <w:highlight w:val="none"/>
          <w14:textFill>
            <w14:solidFill>
              <w14:schemeClr w14:val="tx1"/>
            </w14:solidFill>
          </w14:textFill>
        </w:rPr>
        <w:t>投标文件提出了不能满足招标文件要求或招标人不能接受的工程验收、计量、价款结算和支付办法的；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2</w:t>
      </w:r>
      <w:r>
        <w:rPr>
          <w:rFonts w:hint="eastAsia" w:ascii="宋体" w:hAnsi="宋体" w:cs="宋体"/>
          <w:b/>
          <w:bCs/>
          <w:color w:val="000000" w:themeColor="text1"/>
          <w:sz w:val="24"/>
          <w:highlight w:val="none"/>
          <w14:textFill>
            <w14:solidFill>
              <w14:schemeClr w14:val="tx1"/>
            </w14:solidFill>
          </w14:textFill>
        </w:rPr>
        <w:t>未按招标文件要求提供电子投标文件，或者电子投标文件（已标价的工程量清单）保存格式不正确，致使软件无法读取的，且补救方案补救不成功的；（本工程不适用）</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3</w:t>
      </w:r>
      <w:r>
        <w:rPr>
          <w:rFonts w:hint="eastAsia" w:ascii="宋体" w:hAnsi="宋体" w:cs="宋体"/>
          <w:b/>
          <w:bCs/>
          <w:color w:val="000000" w:themeColor="text1"/>
          <w:sz w:val="24"/>
          <w:highlight w:val="none"/>
          <w14:textFill>
            <w14:solidFill>
              <w14:schemeClr w14:val="tx1"/>
            </w14:solidFill>
          </w14:textFill>
        </w:rPr>
        <w:t>不同投标人的投标文件以及投标文件制作过程出现了评标委员会认为不应当雷同的情况的；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4</w:t>
      </w:r>
      <w:r>
        <w:rPr>
          <w:rFonts w:hint="eastAsia" w:ascii="宋体" w:hAnsi="宋体" w:cs="宋体"/>
          <w:b/>
          <w:bCs/>
          <w:color w:val="000000" w:themeColor="text1"/>
          <w:sz w:val="24"/>
          <w:highlight w:val="none"/>
          <w14:textFill>
            <w14:solidFill>
              <w14:schemeClr w14:val="tx1"/>
            </w14:solidFill>
          </w14:textFill>
        </w:rPr>
        <w:t>以他人的名义投标、串通投标、以行贿手段谋取中标或者以其他弄虚作假方式投标的；</w:t>
      </w:r>
    </w:p>
    <w:p>
      <w:pPr>
        <w:pageBreakBefore w:val="0"/>
        <w:kinsoku/>
        <w:overflowPunct/>
        <w:topLinePunct w:val="0"/>
        <w:bidi w:val="0"/>
        <w:spacing w:line="360" w:lineRule="auto"/>
        <w:ind w:left="0" w:leftChars="0" w:right="0" w:rightChars="0" w:firstLine="480"/>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5</w:t>
      </w:r>
      <w:r>
        <w:rPr>
          <w:rFonts w:hint="eastAsia" w:ascii="宋体" w:hAnsi="宋体" w:cs="宋体"/>
          <w:b/>
          <w:bCs/>
          <w:color w:val="000000" w:themeColor="text1"/>
          <w:sz w:val="24"/>
          <w:highlight w:val="none"/>
          <w14:textFill>
            <w14:solidFill>
              <w14:schemeClr w14:val="tx1"/>
            </w14:solidFill>
          </w14:textFill>
        </w:rPr>
        <w:t>不符合招标文件有关暗标的要求。（本工程不适用）</w:t>
      </w:r>
    </w:p>
    <w:p>
      <w:pPr>
        <w:pageBreakBefore w:val="0"/>
        <w:kinsoku/>
        <w:overflowPunct/>
        <w:topLinePunct w:val="0"/>
        <w:bidi w:val="0"/>
        <w:spacing w:line="360" w:lineRule="auto"/>
        <w:ind w:left="0" w:leftChars="0" w:right="0" w:rightChars="0" w:firstLine="504" w:firstLineChars="209"/>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6</w:t>
      </w:r>
      <w:r>
        <w:rPr>
          <w:rFonts w:hint="eastAsia" w:ascii="宋体" w:hAnsi="宋体" w:cs="宋体"/>
          <w:b/>
          <w:bCs/>
          <w:color w:val="000000" w:themeColor="text1"/>
          <w:sz w:val="24"/>
          <w:highlight w:val="none"/>
          <w14:textFill>
            <w14:solidFill>
              <w14:schemeClr w14:val="tx1"/>
            </w14:solidFill>
          </w14:textFill>
        </w:rPr>
        <w:t>纸质商务标报价与电子商务标报价不一致的。（本工程不适用）</w:t>
      </w:r>
    </w:p>
    <w:p>
      <w:pPr>
        <w:pageBreakBefore w:val="0"/>
        <w:kinsoku/>
        <w:overflowPunct/>
        <w:topLinePunct w:val="0"/>
        <w:bidi w:val="0"/>
        <w:spacing w:line="360" w:lineRule="auto"/>
        <w:ind w:left="0" w:leftChars="0" w:right="0" w:rightChars="0" w:firstLine="504" w:firstLineChars="209"/>
        <w:rPr>
          <w:rFonts w:ascii="宋体" w:hAnsi="宋体" w:cs="宋体"/>
          <w:b/>
          <w:bCs/>
          <w:color w:val="000000" w:themeColor="text1"/>
          <w:sz w:val="24"/>
          <w:highlight w:val="none"/>
          <w14:textFill>
            <w14:solidFill>
              <w14:schemeClr w14:val="tx1"/>
            </w14:solidFill>
          </w14:textFill>
        </w:rPr>
      </w:pPr>
      <w:r>
        <w:rPr>
          <w:rFonts w:ascii="宋体" w:hAnsi="宋体" w:cs="宋体"/>
          <w:b/>
          <w:bCs/>
          <w:color w:val="000000" w:themeColor="text1"/>
          <w:sz w:val="24"/>
          <w:highlight w:val="none"/>
          <w14:textFill>
            <w14:solidFill>
              <w14:schemeClr w14:val="tx1"/>
            </w14:solidFill>
          </w14:textFill>
        </w:rPr>
        <w:t>26.2</w:t>
      </w:r>
      <w:r>
        <w:rPr>
          <w:rFonts w:hint="eastAsia" w:ascii="宋体" w:hAnsi="宋体" w:cs="宋体"/>
          <w:b/>
          <w:bCs/>
          <w:color w:val="000000" w:themeColor="text1"/>
          <w:sz w:val="24"/>
          <w:highlight w:val="none"/>
          <w:lang w:val="en-US" w:eastAsia="zh-CN"/>
          <w14:textFill>
            <w14:solidFill>
              <w14:schemeClr w14:val="tx1"/>
            </w14:solidFill>
          </w14:textFill>
        </w:rPr>
        <w:t>7</w:t>
      </w:r>
      <w:r>
        <w:rPr>
          <w:rFonts w:hint="eastAsia" w:ascii="宋体" w:hAnsi="宋体" w:cs="宋体"/>
          <w:b/>
          <w:bCs/>
          <w:color w:val="000000" w:themeColor="text1"/>
          <w:sz w:val="24"/>
          <w:highlight w:val="none"/>
          <w14:textFill>
            <w14:solidFill>
              <w14:schemeClr w14:val="tx1"/>
            </w14:solidFill>
          </w14:textFill>
        </w:rPr>
        <w:t>投标文件未按照招标文件规定密封、分装的。</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27</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评标、定标工作由招标人或代理机构组织进行。</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28</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投标文件的澄清</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在评标过程中，评标委员会认为需要，可以书面形式要求投标人对投标文件中的有关问题进行澄清或提供补充说明及有关资料，投标人应作出书面答复。书面答复中不得有变更价格、工期、自报质量等级等实质性内容。</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color w:val="000000" w:themeColor="text1"/>
          <w:spacing w:val="-2"/>
          <w:sz w:val="24"/>
          <w:highlight w:val="none"/>
          <w14:textFill>
            <w14:solidFill>
              <w14:schemeClr w14:val="tx1"/>
            </w14:solidFill>
          </w14:textFill>
        </w:rPr>
        <w:t>书面答复须经投标人法定代表人或经其授权的委托代理人的签字或加盖印鉴，签字或加盖印鉴的书面答复将被视为投标文件的组成部分。投标截止日后，投标人对投标报价或其他实质性内容修正的函件和增加的任何优惠条件，一律不得作为评标、定标的依据</w:t>
      </w:r>
      <w:r>
        <w:rPr>
          <w:rFonts w:ascii="宋体" w:hAnsi="宋体"/>
          <w:color w:val="000000" w:themeColor="text1"/>
          <w:sz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29</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评标委员会在对实质性响应招标文件要求的投标进行报价评估时，除招标文件另有约定外，应当按下列原则进行修正：(一)投标文件中的大写金额与小写金额不一致，以大写金额为准；(二)总价金额与单价不一致的，以单价金额为准，但单价金额小数点有明显错误的除外；(三)对不同文字文本投标文件的解释发生异议的，以中文文本为准。</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30</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投标报价可以四舍五入到“元”。</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31</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在投标文件的审查、澄清、评价和比较以及授予合同的过程中，投标人对招标人和评标组织成员施加影响的任何行为，都将导致取消其中标资格。</w:t>
      </w:r>
    </w:p>
    <w:p>
      <w:pPr>
        <w:pageBreakBefore w:val="0"/>
        <w:widowControl/>
        <w:kinsoku/>
        <w:overflowPunct/>
        <w:topLinePunct w:val="0"/>
        <w:bidi w:val="0"/>
        <w:spacing w:line="360" w:lineRule="auto"/>
        <w:ind w:left="0" w:leftChars="0" w:right="0" w:rightChars="0" w:firstLine="482" w:firstLineChars="200"/>
        <w:rPr>
          <w:rFonts w:ascii="宋体" w:hAnsi="宋体"/>
          <w:color w:val="000000" w:themeColor="text1"/>
          <w:spacing w:val="-2"/>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32</w:t>
      </w:r>
      <w:r>
        <w:rPr>
          <w:rFonts w:hint="eastAsia" w:ascii="宋体" w:hAnsi="宋体"/>
          <w:b/>
          <w:color w:val="000000" w:themeColor="text1"/>
          <w:sz w:val="24"/>
          <w:highlight w:val="none"/>
          <w14:textFill>
            <w14:solidFill>
              <w14:schemeClr w14:val="tx1"/>
            </w14:solidFill>
          </w14:textFill>
        </w:rPr>
        <w:t>、</w:t>
      </w:r>
      <w:r>
        <w:rPr>
          <w:rFonts w:hint="eastAsia" w:ascii="宋体" w:hAnsi="宋体"/>
          <w:color w:val="000000" w:themeColor="text1"/>
          <w:spacing w:val="-2"/>
          <w:sz w:val="24"/>
          <w:highlight w:val="none"/>
          <w14:textFill>
            <w14:solidFill>
              <w14:schemeClr w14:val="tx1"/>
            </w14:solidFill>
          </w14:textFill>
        </w:rPr>
        <w:t>评标委员会在评标工作完成后，将在评标报告之外按照统一格式公布评标结果公开的内容，在中标结果公示的同时一并在</w:t>
      </w:r>
      <w:r>
        <w:rPr>
          <w:rFonts w:hint="eastAsia" w:ascii="宋体" w:hAnsi="宋体"/>
          <w:color w:val="000000" w:themeColor="text1"/>
          <w:sz w:val="24"/>
          <w:highlight w:val="none"/>
          <w14:textFill>
            <w14:solidFill>
              <w14:schemeClr w14:val="tx1"/>
            </w14:solidFill>
          </w14:textFill>
        </w:rPr>
        <w:t>南通市水利局-公告公示栏</w:t>
      </w:r>
      <w:r>
        <w:rPr>
          <w:rFonts w:hint="eastAsia" w:ascii="宋体" w:hAnsi="宋体"/>
          <w:color w:val="000000" w:themeColor="text1"/>
          <w:spacing w:val="-2"/>
          <w:sz w:val="24"/>
          <w:highlight w:val="none"/>
          <w14:textFill>
            <w14:solidFill>
              <w14:schemeClr w14:val="tx1"/>
            </w14:solidFill>
          </w14:textFill>
        </w:rPr>
        <w:t>中标结果公告栏公示，公布的时间为三日。</w:t>
      </w: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b w:val="0"/>
          <w:bCs w:val="0"/>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t>（七）授予合同</w:t>
      </w:r>
    </w:p>
    <w:p>
      <w:pPr>
        <w:pageBreakBefore w:val="0"/>
        <w:kinsoku/>
        <w:overflowPunct/>
        <w:topLinePunct w:val="0"/>
        <w:bidi w:val="0"/>
        <w:spacing w:line="360" w:lineRule="auto"/>
        <w:ind w:left="0" w:leftChars="0" w:right="0" w:rightChars="0" w:firstLine="482" w:firstLineChars="20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w:t>
      </w:r>
      <w:r>
        <w:rPr>
          <w:rFonts w:hint="eastAsia" w:ascii="宋体" w:hAnsi="宋体"/>
          <w:b/>
          <w:color w:val="000000" w:themeColor="text1"/>
          <w:sz w:val="24"/>
          <w:highlight w:val="none"/>
          <w14:textFill>
            <w14:solidFill>
              <w14:schemeClr w14:val="tx1"/>
            </w14:solidFill>
          </w14:textFill>
        </w:rPr>
        <w:t>3、</w:t>
      </w:r>
      <w:r>
        <w:rPr>
          <w:rFonts w:ascii="宋体" w:hAnsi="宋体"/>
          <w:b/>
          <w:color w:val="000000" w:themeColor="text1"/>
          <w:spacing w:val="-2"/>
          <w:sz w:val="24"/>
          <w:highlight w:val="none"/>
          <w14:textFill>
            <w14:solidFill>
              <w14:schemeClr w14:val="tx1"/>
            </w14:solidFill>
          </w14:textFill>
        </w:rPr>
        <w:t>招</w:t>
      </w:r>
      <w:r>
        <w:rPr>
          <w:rFonts w:ascii="宋体" w:hAnsi="宋体"/>
          <w:b/>
          <w:color w:val="000000" w:themeColor="text1"/>
          <w:spacing w:val="-6"/>
          <w:sz w:val="24"/>
          <w:highlight w:val="none"/>
          <w14:textFill>
            <w14:solidFill>
              <w14:schemeClr w14:val="tx1"/>
            </w14:solidFill>
          </w14:textFill>
        </w:rPr>
        <w:t>标人和中标人应当自中标通知书发出之日起</w:t>
      </w:r>
      <w:r>
        <w:rPr>
          <w:rFonts w:hint="eastAsia" w:ascii="宋体" w:hAnsi="宋体"/>
          <w:b/>
          <w:color w:val="000000" w:themeColor="text1"/>
          <w:spacing w:val="-6"/>
          <w:sz w:val="24"/>
          <w:highlight w:val="none"/>
          <w14:textFill>
            <w14:solidFill>
              <w14:schemeClr w14:val="tx1"/>
            </w14:solidFill>
          </w14:textFill>
        </w:rPr>
        <w:t>30</w:t>
      </w:r>
      <w:r>
        <w:rPr>
          <w:rFonts w:ascii="宋体" w:hAnsi="宋体"/>
          <w:b/>
          <w:color w:val="000000" w:themeColor="text1"/>
          <w:spacing w:val="-6"/>
          <w:sz w:val="24"/>
          <w:highlight w:val="none"/>
          <w14:textFill>
            <w14:solidFill>
              <w14:schemeClr w14:val="tx1"/>
            </w14:solidFill>
          </w14:textFill>
        </w:rPr>
        <w:t>日内</w:t>
      </w:r>
      <w:r>
        <w:rPr>
          <w:rFonts w:ascii="宋体" w:hAnsi="宋体"/>
          <w:color w:val="000000" w:themeColor="text1"/>
          <w:spacing w:val="-6"/>
          <w:sz w:val="24"/>
          <w:highlight w:val="none"/>
          <w14:textFill>
            <w14:solidFill>
              <w14:schemeClr w14:val="tx1"/>
            </w14:solidFill>
          </w14:textFill>
        </w:rPr>
        <w:t>，按照本招标文件和中标人的投标文件订立书面合同。招标人和中标人不得再订立背离合同实质性内容的其他协议</w:t>
      </w:r>
      <w:r>
        <w:rPr>
          <w:rFonts w:ascii="宋体" w:hAnsi="宋体"/>
          <w:color w:val="000000" w:themeColor="text1"/>
          <w:sz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0"/>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w:t>
      </w:r>
      <w:r>
        <w:rPr>
          <w:rFonts w:hint="eastAsia" w:ascii="宋体" w:hAnsi="宋体"/>
          <w:b/>
          <w:color w:val="000000" w:themeColor="text1"/>
          <w:sz w:val="24"/>
          <w:highlight w:val="none"/>
          <w14:textFill>
            <w14:solidFill>
              <w14:schemeClr w14:val="tx1"/>
            </w14:solidFill>
          </w14:textFill>
        </w:rPr>
        <w:t>4、</w:t>
      </w:r>
      <w:r>
        <w:rPr>
          <w:rFonts w:ascii="宋体" w:hAnsi="宋体"/>
          <w:b/>
          <w:color w:val="000000" w:themeColor="text1"/>
          <w:sz w:val="24"/>
          <w:highlight w:val="none"/>
          <w14:textFill>
            <w14:solidFill>
              <w14:schemeClr w14:val="tx1"/>
            </w14:solidFill>
          </w14:textFill>
        </w:rPr>
        <w:t>中标通知书发出后</w:t>
      </w:r>
      <w:r>
        <w:rPr>
          <w:rFonts w:hint="eastAsia" w:ascii="宋体" w:hAnsi="宋体"/>
          <w:b/>
          <w:color w:val="000000" w:themeColor="text1"/>
          <w:sz w:val="24"/>
          <w:highlight w:val="none"/>
          <w14:textFill>
            <w14:solidFill>
              <w14:schemeClr w14:val="tx1"/>
            </w14:solidFill>
          </w14:textFill>
        </w:rPr>
        <w:t>3</w:t>
      </w:r>
      <w:r>
        <w:rPr>
          <w:rFonts w:ascii="宋体" w:hAnsi="宋体"/>
          <w:b/>
          <w:color w:val="000000" w:themeColor="text1"/>
          <w:sz w:val="24"/>
          <w:highlight w:val="none"/>
          <w14:textFill>
            <w14:solidFill>
              <w14:schemeClr w14:val="tx1"/>
            </w14:solidFill>
          </w14:textFill>
        </w:rPr>
        <w:t>日内</w:t>
      </w:r>
      <w:r>
        <w:rPr>
          <w:rFonts w:ascii="宋体" w:hAnsi="宋体"/>
          <w:color w:val="000000" w:themeColor="text1"/>
          <w:sz w:val="24"/>
          <w:highlight w:val="none"/>
          <w14:textFill>
            <w14:solidFill>
              <w14:schemeClr w14:val="tx1"/>
            </w14:solidFill>
          </w14:textFill>
        </w:rPr>
        <w:t>，合同签订前，中标人应按本须知前附表</w:t>
      </w:r>
      <w:r>
        <w:rPr>
          <w:rFonts w:ascii="宋体" w:hAnsi="宋体"/>
          <w:color w:val="000000" w:themeColor="text1"/>
          <w:sz w:val="24"/>
          <w:highlight w:val="none"/>
          <w:u w:val="single"/>
          <w14:textFill>
            <w14:solidFill>
              <w14:schemeClr w14:val="tx1"/>
            </w14:solidFill>
          </w14:textFill>
        </w:rPr>
        <w:t>第21项</w:t>
      </w:r>
      <w:r>
        <w:rPr>
          <w:rFonts w:ascii="宋体" w:hAnsi="宋体"/>
          <w:color w:val="000000" w:themeColor="text1"/>
          <w:sz w:val="24"/>
          <w:highlight w:val="none"/>
          <w14:textFill>
            <w14:solidFill>
              <w14:schemeClr w14:val="tx1"/>
            </w14:solidFill>
          </w14:textFill>
        </w:rPr>
        <w:t>规定的金额向招标人提交履约担保，担保的形式为</w:t>
      </w:r>
      <w:r>
        <w:rPr>
          <w:rFonts w:hint="eastAsia" w:ascii="宋体" w:hAnsi="宋体"/>
          <w:b/>
          <w:color w:val="000000" w:themeColor="text1"/>
          <w:sz w:val="24"/>
          <w:highlight w:val="none"/>
          <w14:textFill>
            <w14:solidFill>
              <w14:schemeClr w14:val="tx1"/>
            </w14:solidFill>
          </w14:textFill>
        </w:rPr>
        <w:t>转账</w:t>
      </w:r>
      <w:r>
        <w:rPr>
          <w:rFonts w:ascii="宋体" w:hAnsi="宋体"/>
          <w:color w:val="000000" w:themeColor="text1"/>
          <w:sz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firstLine="482"/>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w:t>
      </w:r>
      <w:r>
        <w:rPr>
          <w:rFonts w:hint="eastAsia" w:ascii="宋体" w:hAnsi="宋体"/>
          <w:b/>
          <w:color w:val="000000" w:themeColor="text1"/>
          <w:sz w:val="24"/>
          <w:highlight w:val="none"/>
          <w14:textFill>
            <w14:solidFill>
              <w14:schemeClr w14:val="tx1"/>
            </w14:solidFill>
          </w14:textFill>
        </w:rPr>
        <w:t>5、</w:t>
      </w:r>
      <w:r>
        <w:rPr>
          <w:rFonts w:ascii="宋体" w:hAnsi="宋体"/>
          <w:color w:val="000000" w:themeColor="text1"/>
          <w:sz w:val="24"/>
          <w:highlight w:val="none"/>
          <w14:textFill>
            <w14:solidFill>
              <w14:schemeClr w14:val="tx1"/>
            </w14:solidFill>
          </w14:textFill>
        </w:rPr>
        <w:t>若中标人不能按本须知第3</w:t>
      </w: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条、3</w:t>
      </w:r>
      <w:r>
        <w:rPr>
          <w:rFonts w:hint="eastAsia" w:ascii="宋体" w:hAnsi="宋体"/>
          <w:color w:val="000000" w:themeColor="text1"/>
          <w:sz w:val="24"/>
          <w:highlight w:val="none"/>
          <w14:textFill>
            <w14:solidFill>
              <w14:schemeClr w14:val="tx1"/>
            </w14:solidFill>
          </w14:textFill>
        </w:rPr>
        <w:t>4</w:t>
      </w:r>
      <w:r>
        <w:rPr>
          <w:rFonts w:ascii="宋体" w:hAnsi="宋体"/>
          <w:color w:val="000000" w:themeColor="text1"/>
          <w:sz w:val="24"/>
          <w:highlight w:val="none"/>
          <w14:textFill>
            <w14:solidFill>
              <w14:schemeClr w14:val="tx1"/>
            </w14:solidFill>
          </w14:textFill>
        </w:rPr>
        <w:t>条款的规定执行，</w:t>
      </w:r>
      <w:r>
        <w:rPr>
          <w:rFonts w:ascii="宋体" w:hAnsi="宋体"/>
          <w:b/>
          <w:color w:val="000000" w:themeColor="text1"/>
          <w:sz w:val="24"/>
          <w:highlight w:val="none"/>
          <w14:textFill>
            <w14:solidFill>
              <w14:schemeClr w14:val="tx1"/>
            </w14:solidFill>
          </w14:textFill>
        </w:rPr>
        <w:t>招标人将有充分的理由认为中标人放弃中标项目及签订合同的权利，</w:t>
      </w:r>
      <w:r>
        <w:rPr>
          <w:rFonts w:ascii="宋体" w:hAnsi="宋体"/>
          <w:color w:val="000000" w:themeColor="text1"/>
          <w:sz w:val="24"/>
          <w:highlight w:val="none"/>
          <w14:textFill>
            <w14:solidFill>
              <w14:schemeClr w14:val="tx1"/>
            </w14:solidFill>
          </w14:textFill>
        </w:rPr>
        <w:t>中标人的行为给招标人造成损失超过投标保证金数额的，还应当对超过部分予以赔偿。中标人由第二中标候选人替补，以此类推。</w:t>
      </w:r>
    </w:p>
    <w:p>
      <w:pPr>
        <w:pageBreakBefore w:val="0"/>
        <w:kinsoku/>
        <w:overflowPunct/>
        <w:topLinePunct w:val="0"/>
        <w:bidi w:val="0"/>
        <w:spacing w:line="360" w:lineRule="auto"/>
        <w:ind w:left="0" w:leftChars="0" w:right="0" w:rightChars="0" w:firstLine="482"/>
        <w:rPr>
          <w:rFonts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t>37</w:t>
      </w:r>
      <w:r>
        <w:rPr>
          <w:rFonts w:hint="eastAsia" w:ascii="宋体" w:hAnsi="宋体"/>
          <w:b/>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中标人在中标后或施工期间不得随意变更中标项目负责人。如果出现特殊情况，确需更换的，应当经招标人同意，并提供必要的证明文件报招标投标行政监督部门备案。</w:t>
      </w:r>
    </w:p>
    <w:p>
      <w:pPr>
        <w:pageBreakBefore w:val="0"/>
        <w:kinsoku/>
        <w:overflowPunct/>
        <w:topLinePunct w:val="0"/>
        <w:bidi w:val="0"/>
        <w:spacing w:line="360" w:lineRule="auto"/>
        <w:ind w:left="0" w:leftChars="0" w:right="0" w:rightChars="0" w:firstLine="482"/>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注：自备案之日起至原合同期满止，原中标项目负责人不得作为项目负责人承接其他工程，如备案之日至原合同工期期满之日不足六个月，则限制其承接工程的期限为六个月。</w:t>
      </w:r>
    </w:p>
    <w:p>
      <w:pPr>
        <w:pageBreakBefore w:val="0"/>
        <w:kinsoku/>
        <w:overflowPunct/>
        <w:topLinePunct w:val="0"/>
        <w:bidi w:val="0"/>
        <w:spacing w:line="360" w:lineRule="auto"/>
        <w:ind w:left="0" w:leftChars="0" w:right="0" w:rightChars="0" w:firstLine="420" w:firstLineChars="200"/>
        <w:jc w:val="center"/>
        <w:rPr>
          <w:rFonts w:ascii="宋体" w:hAnsi="宋体"/>
          <w:b/>
          <w:bCs/>
          <w:color w:val="000000" w:themeColor="text1"/>
          <w:sz w:val="36"/>
          <w:szCs w:val="36"/>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bookmarkStart w:id="35" w:name="_Toc427744854"/>
      <w:bookmarkStart w:id="36" w:name="_Toc404159959"/>
      <w:r>
        <w:rPr>
          <w:rFonts w:hint="eastAsia" w:ascii="宋体" w:hAnsi="宋体" w:cs="宋体"/>
          <w:b/>
          <w:bCs/>
          <w:color w:val="000000" w:themeColor="text1"/>
          <w:kern w:val="44"/>
          <w:sz w:val="36"/>
          <w:szCs w:val="36"/>
          <w:highlight w:val="none"/>
          <w14:textFill>
            <w14:solidFill>
              <w14:schemeClr w14:val="tx1"/>
            </w14:solidFill>
          </w14:textFill>
        </w:rPr>
        <w:t>第二章 评标办法</w:t>
      </w:r>
      <w:bookmarkEnd w:id="35"/>
      <w:bookmarkEnd w:id="36"/>
    </w:p>
    <w:p>
      <w:pPr>
        <w:pageBreakBefore w:val="0"/>
        <w:kinsoku/>
        <w:overflowPunct/>
        <w:topLinePunct w:val="0"/>
        <w:bidi w:val="0"/>
        <w:spacing w:line="360" w:lineRule="auto"/>
        <w:ind w:left="0" w:leftChars="0" w:right="0" w:rightChars="0" w:firstLine="482"/>
        <w:rPr>
          <w:rFonts w:ascii="宋体" w:hAnsi="宋体"/>
          <w:b/>
          <w:bCs/>
          <w:color w:val="000000" w:themeColor="text1"/>
          <w:kern w:val="0"/>
          <w:sz w:val="24"/>
          <w:highlight w:val="none"/>
          <w14:textFill>
            <w14:solidFill>
              <w14:schemeClr w14:val="tx1"/>
            </w14:solidFill>
          </w14:textFill>
        </w:rPr>
      </w:pPr>
      <w:bookmarkStart w:id="37" w:name="_Hlk39916471"/>
      <w:bookmarkStart w:id="38" w:name="_Hlk39051758"/>
      <w:bookmarkStart w:id="39" w:name="_Toc404159960"/>
      <w:r>
        <w:rPr>
          <w:rFonts w:hint="eastAsia" w:ascii="宋体" w:hAnsi="宋体" w:cs="仿宋_GB2312"/>
          <w:b/>
          <w:bCs/>
          <w:color w:val="000000" w:themeColor="text1"/>
          <w:kern w:val="0"/>
          <w:sz w:val="24"/>
          <w:highlight w:val="none"/>
          <w14:textFill>
            <w14:solidFill>
              <w14:schemeClr w14:val="tx1"/>
            </w14:solidFill>
          </w14:textFill>
        </w:rPr>
        <w:t>一、本工程采用价格单因素评标办法，且采用资格后审，具体资格审查及评标细则如下：</w:t>
      </w:r>
    </w:p>
    <w:p>
      <w:pPr>
        <w:pageBreakBefore w:val="0"/>
        <w:kinsoku/>
        <w:overflowPunct/>
        <w:topLinePunct w:val="0"/>
        <w:bidi w:val="0"/>
        <w:spacing w:line="360" w:lineRule="auto"/>
        <w:ind w:left="0" w:leftChars="0" w:right="0" w:rightChars="0" w:firstLine="482"/>
        <w:rPr>
          <w:rFonts w:ascii="宋体" w:hAnsi="宋体"/>
          <w:color w:val="000000" w:themeColor="text1"/>
          <w:highlight w:val="none"/>
          <w14:textFill>
            <w14:solidFill>
              <w14:schemeClr w14:val="tx1"/>
            </w14:solidFill>
          </w14:textFill>
        </w:rPr>
      </w:pPr>
      <w:r>
        <w:rPr>
          <w:rFonts w:hint="eastAsia" w:ascii="宋体" w:hAnsi="宋体" w:cs="仿宋_GB2312"/>
          <w:color w:val="000000" w:themeColor="text1"/>
          <w:kern w:val="0"/>
          <w:sz w:val="24"/>
          <w:highlight w:val="none"/>
          <w14:textFill>
            <w14:solidFill>
              <w14:schemeClr w14:val="tx1"/>
            </w14:solidFill>
          </w14:textFill>
        </w:rPr>
        <w:t>（一）评标程序</w:t>
      </w:r>
    </w:p>
    <w:p>
      <w:pPr>
        <w:pageBreakBefore w:val="0"/>
        <w:widowControl/>
        <w:kinsoku/>
        <w:overflowPunct/>
        <w:topLinePunct w:val="0"/>
        <w:bidi w:val="0"/>
        <w:adjustRightInd w:val="0"/>
        <w:snapToGrid w:val="0"/>
        <w:spacing w:line="360" w:lineRule="auto"/>
        <w:ind w:left="0" w:leftChars="0" w:right="0" w:rightChars="0" w:firstLine="480" w:firstLineChars="200"/>
        <w:jc w:val="left"/>
        <w:rPr>
          <w:rFonts w:ascii="宋体" w:hAnsi="宋体"/>
          <w:b/>
          <w:bCs/>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开标</w:t>
      </w:r>
      <w:r>
        <w:rPr>
          <w:rFonts w:ascii="宋体" w:hAnsi="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商务标相关系数抽取</w:t>
      </w:r>
      <w:r>
        <w:rPr>
          <w:rFonts w:ascii="宋体" w:hAnsi="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资格符合性评审</w:t>
      </w:r>
      <w:r>
        <w:rPr>
          <w:rFonts w:ascii="宋体" w:hAnsi="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商务标评委详细评审</w:t>
      </w:r>
      <w:r>
        <w:rPr>
          <w:rFonts w:ascii="宋体" w:hAnsi="宋体"/>
          <w:color w:val="000000" w:themeColor="text1"/>
          <w:kern w:val="0"/>
          <w:sz w:val="24"/>
          <w:highlight w:val="none"/>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确定中标候选人</w:t>
      </w:r>
    </w:p>
    <w:p>
      <w:pPr>
        <w:pageBreakBefore w:val="0"/>
        <w:kinsoku/>
        <w:overflowPunct/>
        <w:topLinePunct w:val="0"/>
        <w:bidi w:val="0"/>
        <w:adjustRightInd w:val="0"/>
        <w:snapToGrid w:val="0"/>
        <w:spacing w:line="360" w:lineRule="auto"/>
        <w:ind w:left="0" w:leftChars="0" w:right="0" w:rightChars="0" w:firstLine="482"/>
        <w:rPr>
          <w:rFonts w:ascii="宋体" w:hAnsi="宋体"/>
          <w:b/>
          <w:bCs/>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（二）评审标准</w:t>
      </w:r>
    </w:p>
    <w:p>
      <w:pPr>
        <w:pageBreakBefore w:val="0"/>
        <w:kinsoku/>
        <w:overflowPunct/>
        <w:topLinePunct w:val="0"/>
        <w:bidi w:val="0"/>
        <w:adjustRightInd w:val="0"/>
        <w:snapToGrid w:val="0"/>
        <w:spacing w:line="360" w:lineRule="auto"/>
        <w:ind w:left="0" w:leftChars="0" w:right="0" w:rightChars="0" w:firstLine="482"/>
        <w:rPr>
          <w:rFonts w:ascii="宋体" w:hAnsi="宋体"/>
          <w:b/>
          <w:bCs/>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评标委员会将按评审标准、资格评审标准的合格条件，对各投标人递交的资格审查书面资料进行评审，并公布资格审查合格者名单。</w:t>
      </w:r>
    </w:p>
    <w:p>
      <w:pPr>
        <w:pageBreakBefore w:val="0"/>
        <w:widowControl/>
        <w:kinsoku/>
        <w:overflowPunct/>
        <w:topLinePunct w:val="0"/>
        <w:bidi w:val="0"/>
        <w:spacing w:line="360" w:lineRule="auto"/>
        <w:ind w:left="0" w:leftChars="0" w:right="0" w:rightChars="0" w:firstLine="480" w:firstLineChars="200"/>
        <w:jc w:val="left"/>
        <w:rPr>
          <w:rFonts w:ascii="宋体" w:hAnsi="宋体"/>
          <w:color w:val="000000" w:themeColor="text1"/>
          <w:kern w:val="0"/>
          <w:sz w:val="24"/>
          <w:highlight w:val="none"/>
          <w14:textFill>
            <w14:solidFill>
              <w14:schemeClr w14:val="tx1"/>
            </w14:solidFill>
          </w14:textFill>
        </w:rPr>
      </w:pPr>
      <w:r>
        <w:rPr>
          <w:rFonts w:ascii="宋体" w:hAnsi="宋体"/>
          <w:color w:val="000000" w:themeColor="text1"/>
          <w:kern w:val="0"/>
          <w:sz w:val="24"/>
          <w:highlight w:val="none"/>
          <w14:textFill>
            <w14:solidFill>
              <w14:schemeClr w14:val="tx1"/>
            </w14:solidFill>
          </w14:textFill>
        </w:rPr>
        <w:t>1、资格符合性评审</w:t>
      </w:r>
    </w:p>
    <w:p>
      <w:pPr>
        <w:pageBreakBefore w:val="0"/>
        <w:widowControl/>
        <w:kinsoku/>
        <w:overflowPunct/>
        <w:topLinePunct w:val="0"/>
        <w:bidi w:val="0"/>
        <w:spacing w:line="360" w:lineRule="auto"/>
        <w:ind w:left="0" w:leftChars="0" w:right="0" w:rightChars="0" w:firstLine="482" w:firstLineChars="200"/>
        <w:jc w:val="center"/>
        <w:rPr>
          <w:rFonts w:ascii="宋体" w:hAnsi="宋体"/>
          <w:color w:val="000000" w:themeColor="text1"/>
          <w:kern w:val="0"/>
          <w:sz w:val="24"/>
          <w:highlight w:val="none"/>
          <w14:textFill>
            <w14:solidFill>
              <w14:schemeClr w14:val="tx1"/>
            </w14:solidFill>
          </w14:textFill>
        </w:rPr>
      </w:pPr>
      <w:r>
        <w:rPr>
          <w:rFonts w:ascii="宋体" w:hAnsi="宋体"/>
          <w:b/>
          <w:color w:val="000000" w:themeColor="text1"/>
          <w:sz w:val="24"/>
          <w:highlight w:val="none"/>
          <w:u w:val="single"/>
          <w14:textFill>
            <w14:solidFill>
              <w14:schemeClr w14:val="tx1"/>
            </w14:solidFill>
          </w14:textFill>
        </w:rPr>
        <w:t>资格审查标准汇总表</w:t>
      </w:r>
    </w:p>
    <w:tbl>
      <w:tblPr>
        <w:tblStyle w:val="51"/>
        <w:tblW w:w="9215" w:type="dxa"/>
        <w:tblInd w:w="2" w:type="dxa"/>
        <w:tblLayout w:type="fixed"/>
        <w:tblCellMar>
          <w:top w:w="0" w:type="dxa"/>
          <w:left w:w="10" w:type="dxa"/>
          <w:bottom w:w="0" w:type="dxa"/>
          <w:right w:w="10" w:type="dxa"/>
        </w:tblCellMar>
      </w:tblPr>
      <w:tblGrid>
        <w:gridCol w:w="710"/>
        <w:gridCol w:w="2268"/>
        <w:gridCol w:w="2984"/>
        <w:gridCol w:w="3253"/>
      </w:tblGrid>
      <w:tr>
        <w:tblPrEx>
          <w:tblCellMar>
            <w:top w:w="0" w:type="dxa"/>
            <w:left w:w="10" w:type="dxa"/>
            <w:bottom w:w="0" w:type="dxa"/>
            <w:right w:w="10" w:type="dxa"/>
          </w:tblCellMar>
        </w:tblPrEx>
        <w:trPr>
          <w:trHeight w:val="567" w:hRule="atLeast"/>
          <w:tblHeader/>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序号</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项目内容</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合格条件</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需提供的证明材料</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lang w:val="zh-CN"/>
                <w14:textFill>
                  <w14:solidFill>
                    <w14:schemeClr w14:val="tx1"/>
                  </w14:solidFill>
                </w14:textFill>
              </w:rPr>
            </w:pPr>
            <w:r>
              <w:rPr>
                <w:rFonts w:ascii="宋体" w:hAnsi="宋体" w:cs="宋体"/>
                <w:color w:val="000000" w:themeColor="text1"/>
                <w:sz w:val="24"/>
                <w:szCs w:val="24"/>
                <w:highlight w:val="none"/>
                <w:lang w:val="zh-CN"/>
                <w14:textFill>
                  <w14:solidFill>
                    <w14:schemeClr w14:val="tx1"/>
                  </w14:solidFill>
                </w14:textFill>
              </w:rPr>
              <w:t>1</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法定代表人身份证明</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有效的法定代表人身份证明书</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法定代表人身份证明书（格式见第六章）</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lang w:val="zh-CN"/>
                <w14:textFill>
                  <w14:solidFill>
                    <w14:schemeClr w14:val="tx1"/>
                  </w14:solidFill>
                </w14:textFill>
              </w:rPr>
            </w:pPr>
            <w:r>
              <w:rPr>
                <w:rFonts w:ascii="宋体" w:hAnsi="宋体" w:cs="宋体"/>
                <w:color w:val="000000" w:themeColor="text1"/>
                <w:sz w:val="24"/>
                <w:szCs w:val="24"/>
                <w:highlight w:val="none"/>
                <w:lang w:val="zh-CN"/>
                <w14:textFill>
                  <w14:solidFill>
                    <w14:schemeClr w14:val="tx1"/>
                  </w14:solidFill>
                </w14:textFill>
              </w:rPr>
              <w:t>2</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授权委托书（如有授权）</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有效的授权委托书</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授权委托书（格式见第六章）</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3</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企业法人营业执照</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工商行政管理部门颁发的法人营业执照</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有效的企业营业执照（副本）</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4</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企业资质证书</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防水防腐保温工程专业承包二级及以上资质</w:t>
            </w:r>
            <w:r>
              <w:rPr>
                <w:rFonts w:hint="eastAsia" w:ascii="宋体" w:hAnsi="宋体" w:cs="宋体"/>
                <w:color w:val="000000" w:themeColor="text1"/>
                <w:sz w:val="24"/>
                <w:szCs w:val="24"/>
                <w:highlight w:val="none"/>
                <w:lang w:eastAsia="zh-CN"/>
                <w14:textFill>
                  <w14:solidFill>
                    <w14:schemeClr w14:val="tx1"/>
                  </w14:solidFill>
                </w14:textFill>
              </w:rPr>
              <w:t>。</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有效的企业资质证书（副本）</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5</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企业安全生产许可证</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企业具备安全生产条件，并取得安全生产许可证</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有效的安全生产许可证（副本）</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6</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拟派项目负责人的建造师注册证书</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建筑工程专业或水利水电工程专业二级及以上注册建造师资格</w:t>
            </w:r>
          </w:p>
          <w:p>
            <w:pPr>
              <w:pageBreakBefore w:val="0"/>
              <w:kinsoku/>
              <w:overflowPunct/>
              <w:topLinePunct w:val="0"/>
              <w:bidi w:val="0"/>
              <w:spacing w:line="360" w:lineRule="auto"/>
              <w:ind w:left="0" w:leftChars="0" w:right="0" w:rightChars="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b/>
                <w:bCs/>
                <w:color w:val="000000" w:themeColor="text1"/>
                <w:sz w:val="24"/>
                <w:szCs w:val="24"/>
                <w:highlight w:val="none"/>
                <w:lang w:val="zh-CN"/>
                <w14:textFill>
                  <w14:solidFill>
                    <w14:schemeClr w14:val="tx1"/>
                  </w14:solidFill>
                </w14:textFill>
              </w:rPr>
              <w:t>特别提示：</w:t>
            </w:r>
            <w:r>
              <w:rPr>
                <w:rFonts w:hint="eastAsia" w:ascii="宋体" w:hAnsi="宋体" w:cs="宋体"/>
                <w:color w:val="000000" w:themeColor="text1"/>
                <w:sz w:val="24"/>
                <w:szCs w:val="24"/>
                <w:highlight w:val="none"/>
                <w:lang w:val="zh-CN"/>
                <w14:textFill>
                  <w14:solidFill>
                    <w14:schemeClr w14:val="tx1"/>
                  </w14:solidFill>
                </w14:textFill>
              </w:rPr>
              <w:t>如投标人拟派的项目负责人为</w:t>
            </w:r>
            <w:r>
              <w:rPr>
                <w:rFonts w:hint="eastAsia" w:ascii="宋体" w:hAnsi="宋体" w:cs="宋体"/>
                <w:color w:val="000000" w:themeColor="text1"/>
                <w:sz w:val="24"/>
                <w:szCs w:val="24"/>
                <w:highlight w:val="none"/>
                <w:lang w:val="en-US" w:eastAsia="zh-CN"/>
                <w14:textFill>
                  <w14:solidFill>
                    <w14:schemeClr w14:val="tx1"/>
                  </w14:solidFill>
                </w14:textFill>
              </w:rPr>
              <w:t>注册</w:t>
            </w:r>
            <w:r>
              <w:rPr>
                <w:rFonts w:hint="eastAsia" w:ascii="宋体" w:hAnsi="宋体" w:cs="宋体"/>
                <w:color w:val="000000" w:themeColor="text1"/>
                <w:sz w:val="24"/>
                <w:szCs w:val="24"/>
                <w:highlight w:val="none"/>
                <w:lang w:val="zh-CN"/>
                <w14:textFill>
                  <w14:solidFill>
                    <w14:schemeClr w14:val="tx1"/>
                  </w14:solidFill>
                </w14:textFill>
              </w:rPr>
              <w:t>壹级建造师，必须根据《办公厅关于全面实行一级建造师电子注册证书的通知》（建办市〔2021〕40号）文件要求使用电子注册证书，并应在个人签名处手写本人签名，未提供电子证书或未手写签名或签名图像笔迹不一致的，该电子证书无效，视为项目负责人的资格不符合要求。</w:t>
            </w:r>
          </w:p>
          <w:p>
            <w:pPr>
              <w:pageBreakBefore w:val="0"/>
              <w:kinsoku/>
              <w:overflowPunct/>
              <w:topLinePunct w:val="0"/>
              <w:bidi w:val="0"/>
              <w:spacing w:line="360" w:lineRule="auto"/>
              <w:ind w:left="0" w:leftChars="0" w:right="0" w:rightChars="0"/>
              <w:rPr>
                <w:color w:val="000000" w:themeColor="text1"/>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如投标人拟派的项目负责人为二级建造师的，必须按照《省住房和城乡建设厅关于我省二级建造师、二级造价工程师、二级注册建筑师、二级注册结构工程师注册证书电子证照换发的公告》(〔2023〕第26号)文件要求换发新的注册证书电子证照，并及时更新诚信库，否则不予认可。</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①建造师注册证书(注册在投标人单位)；</w:t>
            </w:r>
          </w:p>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②凡建造师注册证书未发放到位的，可由省辖市建设（建筑）行政主管部门出具注册建造师执业证明</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7</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拟派项目负责人的安全生产考核合格证（</w:t>
            </w:r>
            <w:r>
              <w:rPr>
                <w:rFonts w:ascii="宋体" w:hAnsi="宋体" w:cs="宋体"/>
                <w:color w:val="000000" w:themeColor="text1"/>
                <w:sz w:val="24"/>
                <w:szCs w:val="24"/>
                <w:highlight w:val="none"/>
                <w:lang w:val="zh-CN"/>
                <w14:textFill>
                  <w14:solidFill>
                    <w14:schemeClr w14:val="tx1"/>
                  </w14:solidFill>
                </w14:textFill>
              </w:rPr>
              <w:t>B</w:t>
            </w:r>
            <w:r>
              <w:rPr>
                <w:rFonts w:hint="eastAsia" w:ascii="宋体" w:hAnsi="宋体" w:cs="宋体"/>
                <w:color w:val="000000" w:themeColor="text1"/>
                <w:sz w:val="24"/>
                <w:szCs w:val="24"/>
                <w:highlight w:val="none"/>
                <w:lang w:val="zh-CN"/>
                <w14:textFill>
                  <w14:solidFill>
                    <w14:schemeClr w14:val="tx1"/>
                  </w14:solidFill>
                </w14:textFill>
              </w:rPr>
              <w:t>证）</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安全生产考核合格证书（</w:t>
            </w:r>
            <w:r>
              <w:rPr>
                <w:rFonts w:ascii="宋体" w:hAnsi="宋体" w:cs="宋体"/>
                <w:color w:val="000000" w:themeColor="text1"/>
                <w:sz w:val="24"/>
                <w:szCs w:val="24"/>
                <w:highlight w:val="none"/>
                <w14:textFill>
                  <w14:solidFill>
                    <w14:schemeClr w14:val="tx1"/>
                  </w14:solidFill>
                </w14:textFill>
              </w:rPr>
              <w:t>B</w:t>
            </w:r>
            <w:r>
              <w:rPr>
                <w:rFonts w:hint="eastAsia" w:ascii="宋体" w:hAnsi="宋体" w:cs="宋体"/>
                <w:color w:val="000000" w:themeColor="text1"/>
                <w:sz w:val="24"/>
                <w:szCs w:val="24"/>
                <w:highlight w:val="none"/>
                <w14:textFill>
                  <w14:solidFill>
                    <w14:schemeClr w14:val="tx1"/>
                  </w14:solidFill>
                </w14:textFill>
              </w:rPr>
              <w:t>证）</w:t>
            </w:r>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有效的安全生产考核合格证书（</w:t>
            </w:r>
            <w:r>
              <w:rPr>
                <w:rFonts w:ascii="宋体" w:hAnsi="宋体" w:cs="宋体"/>
                <w:color w:val="000000" w:themeColor="text1"/>
                <w:sz w:val="24"/>
                <w:szCs w:val="24"/>
                <w:highlight w:val="none"/>
                <w:lang w:val="zh-CN"/>
                <w14:textFill>
                  <w14:solidFill>
                    <w14:schemeClr w14:val="tx1"/>
                  </w14:solidFill>
                </w14:textFill>
              </w:rPr>
              <w:t>B</w:t>
            </w:r>
            <w:r>
              <w:rPr>
                <w:rFonts w:hint="eastAsia" w:ascii="宋体" w:hAnsi="宋体" w:cs="宋体"/>
                <w:color w:val="000000" w:themeColor="text1"/>
                <w:sz w:val="24"/>
                <w:szCs w:val="24"/>
                <w:highlight w:val="none"/>
                <w:lang w:val="zh-CN"/>
                <w14:textFill>
                  <w14:solidFill>
                    <w14:schemeClr w14:val="tx1"/>
                  </w14:solidFill>
                </w14:textFill>
              </w:rPr>
              <w:t>证）</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8</w:t>
            </w:r>
          </w:p>
        </w:tc>
        <w:tc>
          <w:tcPr>
            <w:tcW w:w="2268"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拟派项目负责人为投标企业正式人员</w:t>
            </w:r>
          </w:p>
        </w:tc>
        <w:tc>
          <w:tcPr>
            <w:tcW w:w="2984"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autoSpaceDE w:val="0"/>
              <w:autoSpaceDN w:val="0"/>
              <w:bidi w:val="0"/>
              <w:adjustRightInd w:val="0"/>
              <w:snapToGrid w:val="0"/>
              <w:spacing w:line="360" w:lineRule="auto"/>
              <w:ind w:left="0" w:leftChars="0" w:right="0" w:rightChars="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提供</w:t>
            </w:r>
            <w:r>
              <w:rPr>
                <w:rFonts w:hint="eastAsia" w:ascii="宋体" w:hAnsi="宋体" w:cs="宋体"/>
                <w:color w:val="000000" w:themeColor="text1"/>
                <w:sz w:val="24"/>
                <w:szCs w:val="24"/>
                <w:highlight w:val="none"/>
                <w14:textFill>
                  <w14:solidFill>
                    <w14:schemeClr w14:val="tx1"/>
                  </w14:solidFill>
                </w14:textFill>
              </w:rPr>
              <w:t>拟派项目负责人与投标企业签订的有效劳动合同书</w:t>
            </w:r>
            <w:bookmarkStart w:id="40" w:name="OLE_LINK2"/>
            <w:r>
              <w:rPr>
                <w:rFonts w:hint="eastAsia" w:ascii="宋体" w:hAnsi="宋体" w:cs="宋体"/>
                <w:color w:val="000000" w:themeColor="text1"/>
                <w:sz w:val="24"/>
                <w:szCs w:val="24"/>
                <w:highlight w:val="none"/>
                <w14:textFill>
                  <w14:solidFill>
                    <w14:schemeClr w14:val="tx1"/>
                  </w14:solidFill>
                </w14:textFill>
              </w:rPr>
              <w:t>、社保机构出具并盖章的投标企业为项目负责人缴纳的2025年</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月～2025年</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月任意一个月的社保</w:t>
            </w:r>
            <w:r>
              <w:rPr>
                <w:rFonts w:hint="eastAsia" w:ascii="宋体" w:hAnsi="宋体" w:cs="宋体"/>
                <w:color w:val="000000" w:themeColor="text1"/>
                <w:sz w:val="24"/>
                <w:szCs w:val="24"/>
                <w:highlight w:val="none"/>
                <w:lang w:eastAsia="zh-CN"/>
                <w14:textFill>
                  <w14:solidFill>
                    <w14:schemeClr w14:val="tx1"/>
                  </w14:solidFill>
                </w14:textFill>
              </w:rPr>
              <w:t>。</w:t>
            </w:r>
            <w:bookmarkEnd w:id="40"/>
          </w:p>
        </w:tc>
        <w:tc>
          <w:tcPr>
            <w:tcW w:w="3253" w:type="dxa"/>
            <w:tcBorders>
              <w:top w:val="single" w:color="auto" w:sz="6" w:space="0"/>
              <w:left w:val="single" w:color="auto" w:sz="6" w:space="0"/>
              <w:bottom w:val="single" w:color="auto" w:sz="6" w:space="0"/>
              <w:right w:val="single" w:color="auto" w:sz="6" w:space="0"/>
            </w:tcBorders>
            <w:vAlign w:val="center"/>
          </w:tcPr>
          <w:p>
            <w:pPr>
              <w:pageBreakBefore w:val="0"/>
              <w:widowControl/>
              <w:kinsoku/>
              <w:overflowPunct/>
              <w:topLinePunct w:val="0"/>
              <w:bidi w:val="0"/>
              <w:spacing w:line="360" w:lineRule="auto"/>
              <w:ind w:left="0" w:leftChars="0" w:right="0" w:rightChars="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拟派项目负责人与投标企业签订的有效劳动合同书、社保机构出具并盖章的投标企业为项目负责人缴纳的2025年</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14:textFill>
                  <w14:solidFill>
                    <w14:schemeClr w14:val="tx1"/>
                  </w14:solidFill>
                </w14:textFill>
              </w:rPr>
              <w:t>月～2025年</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cs="宋体"/>
                <w:color w:val="000000" w:themeColor="text1"/>
                <w:sz w:val="24"/>
                <w:szCs w:val="24"/>
                <w:highlight w:val="none"/>
                <w14:textFill>
                  <w14:solidFill>
                    <w14:schemeClr w14:val="tx1"/>
                  </w14:solidFill>
                </w14:textFill>
              </w:rPr>
              <w:t>月任意一个月的社保</w:t>
            </w:r>
            <w:r>
              <w:rPr>
                <w:rFonts w:hint="eastAsia" w:ascii="宋体" w:hAnsi="宋体" w:cs="宋体"/>
                <w:color w:val="000000" w:themeColor="text1"/>
                <w:sz w:val="24"/>
                <w:szCs w:val="24"/>
                <w:highlight w:val="none"/>
                <w:lang w:eastAsia="zh-CN"/>
                <w14:textFill>
                  <w14:solidFill>
                    <w14:schemeClr w14:val="tx1"/>
                  </w14:solidFill>
                </w14:textFill>
              </w:rPr>
              <w:t>。</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4"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9</w:t>
            </w:r>
          </w:p>
        </w:tc>
        <w:tc>
          <w:tcPr>
            <w:tcW w:w="2268" w:type="dxa"/>
            <w:tcBorders>
              <w:top w:val="single" w:color="auto" w:sz="6" w:space="0"/>
              <w:left w:val="single" w:color="auto" w:sz="6" w:space="0"/>
              <w:bottom w:val="single" w:color="auto" w:sz="4"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kern w:val="0"/>
                <w:sz w:val="24"/>
                <w:szCs w:val="24"/>
                <w:highlight w:val="none"/>
                <w14:textFill>
                  <w14:solidFill>
                    <w14:schemeClr w14:val="tx1"/>
                  </w14:solidFill>
                </w14:textFill>
              </w:rPr>
              <w:t>拟派项目负责人（项目经理）无在建工程</w:t>
            </w:r>
          </w:p>
        </w:tc>
        <w:tc>
          <w:tcPr>
            <w:tcW w:w="2984" w:type="dxa"/>
            <w:tcBorders>
              <w:top w:val="single" w:color="auto" w:sz="6" w:space="0"/>
              <w:left w:val="single" w:color="auto" w:sz="6" w:space="0"/>
              <w:bottom w:val="single" w:color="auto" w:sz="4" w:space="0"/>
              <w:right w:val="single" w:color="auto" w:sz="6" w:space="0"/>
            </w:tcBorders>
            <w:vAlign w:val="center"/>
          </w:tcPr>
          <w:p>
            <w:pPr>
              <w:pageBreakBefore w:val="0"/>
              <w:widowControl/>
              <w:kinsoku/>
              <w:overflowPunct/>
              <w:topLinePunct w:val="0"/>
              <w:bidi w:val="0"/>
              <w:spacing w:line="360" w:lineRule="auto"/>
              <w:ind w:left="0" w:leftChars="0" w:right="0" w:rightChars="0"/>
              <w:jc w:val="left"/>
              <w:rPr>
                <w:rFonts w:ascii="宋体" w:hAnsi="宋体"/>
                <w:color w:val="000000" w:themeColor="text1"/>
                <w:sz w:val="24"/>
                <w:szCs w:val="24"/>
                <w:highlight w:val="none"/>
                <w:lang w:val="zh-CN"/>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项目负责人是非变更后无在建工程，或项目负责人是变更后无在建工程（必须原合同工期已满且变更备案之日已满</w:t>
            </w:r>
            <w:r>
              <w:rPr>
                <w:rFonts w:ascii="宋体" w:hAnsi="宋体"/>
                <w:color w:val="000000" w:themeColor="text1"/>
                <w:kern w:val="0"/>
                <w:sz w:val="24"/>
                <w:szCs w:val="24"/>
                <w:highlight w:val="none"/>
                <w14:textFill>
                  <w14:solidFill>
                    <w14:schemeClr w14:val="tx1"/>
                  </w14:solidFill>
                </w14:textFill>
              </w:rPr>
              <w:t>6</w:t>
            </w:r>
            <w:r>
              <w:rPr>
                <w:rFonts w:hint="eastAsia" w:ascii="宋体" w:hAnsi="宋体"/>
                <w:color w:val="000000" w:themeColor="text1"/>
                <w:kern w:val="0"/>
                <w:sz w:val="24"/>
                <w:szCs w:val="24"/>
                <w:highlight w:val="none"/>
                <w14:textFill>
                  <w14:solidFill>
                    <w14:schemeClr w14:val="tx1"/>
                  </w14:solidFill>
                </w14:textFill>
              </w:rPr>
              <w:t>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tc>
        <w:tc>
          <w:tcPr>
            <w:tcW w:w="3253" w:type="dxa"/>
            <w:tcBorders>
              <w:top w:val="single" w:color="auto" w:sz="6" w:space="0"/>
              <w:left w:val="single" w:color="auto" w:sz="6" w:space="0"/>
              <w:bottom w:val="single" w:color="auto" w:sz="4"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①</w:t>
            </w:r>
            <w:r>
              <w:rPr>
                <w:rFonts w:hint="eastAsia" w:ascii="宋体" w:hAnsi="宋体"/>
                <w:color w:val="000000" w:themeColor="text1"/>
                <w:kern w:val="0"/>
                <w:sz w:val="24"/>
                <w:szCs w:val="24"/>
                <w:highlight w:val="none"/>
                <w14:textFill>
                  <w14:solidFill>
                    <w14:schemeClr w14:val="tx1"/>
                  </w14:solidFill>
                </w14:textFill>
              </w:rPr>
              <w:t>企业法定代表人签名（或盖章）并加盖单位公章的诚信承诺书（格式见第六章）</w:t>
            </w:r>
          </w:p>
          <w:p>
            <w:pPr>
              <w:pageBreakBefore w:val="0"/>
              <w:kinsoku/>
              <w:overflowPunct/>
              <w:topLinePunct w:val="0"/>
              <w:bidi w:val="0"/>
              <w:spacing w:line="360" w:lineRule="auto"/>
              <w:ind w:left="0" w:leftChars="0" w:right="0" w:rightChars="0"/>
              <w:rPr>
                <w:rFonts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②原合同工期已满且变更备案之日已满6个月的证明或建设单位同意并已办理项目负责人变更手续的证明。</w:t>
            </w:r>
          </w:p>
        </w:tc>
      </w:tr>
      <w:tr>
        <w:tblPrEx>
          <w:tblCellMar>
            <w:top w:w="0" w:type="dxa"/>
            <w:left w:w="10" w:type="dxa"/>
            <w:bottom w:w="0" w:type="dxa"/>
            <w:right w:w="10" w:type="dxa"/>
          </w:tblCellMar>
        </w:tblPrEx>
        <w:trPr>
          <w:trHeight w:val="567" w:hRule="atLeast"/>
        </w:trPr>
        <w:tc>
          <w:tcPr>
            <w:tcW w:w="710"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0</w:t>
            </w:r>
          </w:p>
        </w:tc>
        <w:tc>
          <w:tcPr>
            <w:tcW w:w="2268"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动态监管结果</w:t>
            </w:r>
          </w:p>
        </w:tc>
        <w:tc>
          <w:tcPr>
            <w:tcW w:w="2984"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left"/>
              <w:rPr>
                <w:rFonts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投标人在本招标项目投标文件递交截止时间当日，建筑业企业资质动态监管结果中本项目要求的资质不处于不合格状态。</w:t>
            </w:r>
          </w:p>
        </w:tc>
        <w:tc>
          <w:tcPr>
            <w:tcW w:w="3253" w:type="dxa"/>
            <w:tcBorders>
              <w:top w:val="single" w:color="auto" w:sz="4" w:space="0"/>
              <w:left w:val="single" w:color="auto" w:sz="6" w:space="0"/>
              <w:bottom w:val="single" w:color="auto" w:sz="6" w:space="0"/>
              <w:right w:val="single" w:color="auto" w:sz="6" w:space="0"/>
            </w:tcBorders>
          </w:tcPr>
          <w:p>
            <w:pPr>
              <w:pageBreakBefore w:val="0"/>
              <w:kinsoku/>
              <w:overflowPunct/>
              <w:topLinePunct w:val="0"/>
              <w:bidi w:val="0"/>
              <w:spacing w:line="360" w:lineRule="auto"/>
              <w:ind w:left="0" w:leftChars="0" w:right="0" w:rightChars="0"/>
              <w:rPr>
                <w:rFonts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招标人在本招标项目投标文件递交截止时间当日登录“江苏省建筑市场监管与诚信信息一体化平台”，检查投标人的建筑企业资质动态监管结果中本项目要求的资质，对动态监管处于不合格状态的投标人进行截图保存，提供给评标委员会。</w:t>
            </w:r>
          </w:p>
        </w:tc>
      </w:tr>
      <w:tr>
        <w:tblPrEx>
          <w:tblCellMar>
            <w:top w:w="0" w:type="dxa"/>
            <w:left w:w="10" w:type="dxa"/>
            <w:bottom w:w="0" w:type="dxa"/>
            <w:right w:w="10" w:type="dxa"/>
          </w:tblCellMar>
        </w:tblPrEx>
        <w:trPr>
          <w:trHeight w:val="567" w:hRule="atLeast"/>
        </w:trPr>
        <w:tc>
          <w:tcPr>
            <w:tcW w:w="710"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11</w:t>
            </w:r>
          </w:p>
        </w:tc>
        <w:tc>
          <w:tcPr>
            <w:tcW w:w="2268"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hint="default" w:ascii="宋体" w:hAnsi="宋体"/>
                <w:color w:val="000000" w:themeColor="text1"/>
                <w:kern w:val="0"/>
                <w:sz w:val="24"/>
                <w:szCs w:val="24"/>
                <w:highlight w:val="none"/>
                <w:lang w:val="en-US" w:bidi="zh-CN"/>
                <w14:textFill>
                  <w14:solidFill>
                    <w14:schemeClr w14:val="tx1"/>
                  </w14:solidFill>
                </w14:textFill>
              </w:rPr>
            </w:pPr>
            <w:r>
              <w:rPr>
                <w:rFonts w:hint="eastAsia" w:ascii="宋体" w:hAnsi="宋体"/>
                <w:color w:val="000000" w:themeColor="text1"/>
                <w:kern w:val="0"/>
                <w:sz w:val="24"/>
                <w:szCs w:val="24"/>
                <w:highlight w:val="none"/>
                <w:lang w:val="en-US" w:bidi="zh-CN"/>
                <w14:textFill>
                  <w14:solidFill>
                    <w14:schemeClr w14:val="tx1"/>
                  </w14:solidFill>
                </w14:textFill>
              </w:rPr>
              <w:t>企业业绩</w:t>
            </w:r>
          </w:p>
        </w:tc>
        <w:tc>
          <w:tcPr>
            <w:tcW w:w="2984"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left"/>
              <w:rPr>
                <w:rFonts w:hint="eastAsia"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投标企业202</w:t>
            </w:r>
            <w:r>
              <w:rPr>
                <w:rFonts w:hint="eastAsia" w:ascii="宋体" w:hAnsi="宋体"/>
                <w:color w:val="000000" w:themeColor="text1"/>
                <w:kern w:val="0"/>
                <w:sz w:val="24"/>
                <w:szCs w:val="24"/>
                <w:highlight w:val="none"/>
                <w:lang w:val="en-US" w:bidi="zh-CN"/>
                <w14:textFill>
                  <w14:solidFill>
                    <w14:schemeClr w14:val="tx1"/>
                  </w14:solidFill>
                </w14:textFill>
              </w:rPr>
              <w:t>0</w:t>
            </w:r>
            <w:r>
              <w:rPr>
                <w:rFonts w:hint="eastAsia" w:ascii="宋体" w:hAnsi="宋体"/>
                <w:color w:val="000000" w:themeColor="text1"/>
                <w:kern w:val="0"/>
                <w:sz w:val="24"/>
                <w:szCs w:val="24"/>
                <w:highlight w:val="none"/>
                <w:lang w:val="zh-CN" w:bidi="zh-CN"/>
                <w14:textFill>
                  <w14:solidFill>
                    <w14:schemeClr w14:val="tx1"/>
                  </w14:solidFill>
                </w14:textFill>
              </w:rPr>
              <w:t>年8月1日以来（以合同签订日期为准）承担过单项合同价在</w:t>
            </w:r>
            <w:r>
              <w:rPr>
                <w:rFonts w:hint="eastAsia" w:ascii="宋体" w:hAnsi="宋体"/>
                <w:color w:val="000000" w:themeColor="text1"/>
                <w:kern w:val="0"/>
                <w:sz w:val="24"/>
                <w:szCs w:val="24"/>
                <w:highlight w:val="none"/>
                <w:lang w:val="en-US" w:bidi="zh-CN"/>
                <w14:textFill>
                  <w14:solidFill>
                    <w14:schemeClr w14:val="tx1"/>
                  </w14:solidFill>
                </w14:textFill>
              </w:rPr>
              <w:t>25</w:t>
            </w:r>
            <w:r>
              <w:rPr>
                <w:rFonts w:hint="eastAsia" w:ascii="宋体" w:hAnsi="宋体"/>
                <w:color w:val="000000" w:themeColor="text1"/>
                <w:kern w:val="0"/>
                <w:sz w:val="24"/>
                <w:szCs w:val="24"/>
                <w:highlight w:val="none"/>
                <w:lang w:val="zh-CN" w:bidi="zh-CN"/>
                <w14:textFill>
                  <w14:solidFill>
                    <w14:schemeClr w14:val="tx1"/>
                  </w14:solidFill>
                </w14:textFill>
              </w:rPr>
              <w:t>万元及以上的水工建筑物防腐项目业绩。</w:t>
            </w:r>
          </w:p>
        </w:tc>
        <w:tc>
          <w:tcPr>
            <w:tcW w:w="3253" w:type="dxa"/>
            <w:tcBorders>
              <w:top w:val="single" w:color="auto" w:sz="4" w:space="0"/>
              <w:left w:val="single" w:color="auto" w:sz="6" w:space="0"/>
              <w:bottom w:val="single" w:color="auto" w:sz="6" w:space="0"/>
              <w:right w:val="single" w:color="auto" w:sz="6" w:space="0"/>
            </w:tcBorders>
          </w:tcPr>
          <w:p>
            <w:pPr>
              <w:pageBreakBefore w:val="0"/>
              <w:kinsoku/>
              <w:overflowPunct/>
              <w:topLinePunct w:val="0"/>
              <w:bidi w:val="0"/>
              <w:spacing w:line="360" w:lineRule="auto"/>
              <w:ind w:left="0" w:leftChars="0" w:right="0" w:rightChars="0"/>
              <w:rPr>
                <w:rFonts w:hint="eastAsia"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业绩证明材料须同时提供合同、完工验收证明复印件</w:t>
            </w:r>
            <w:r>
              <w:rPr>
                <w:rFonts w:hint="eastAsia" w:ascii="宋体" w:hAnsi="宋体"/>
                <w:color w:val="000000" w:themeColor="text1"/>
                <w:kern w:val="0"/>
                <w:sz w:val="24"/>
                <w:szCs w:val="24"/>
                <w:highlight w:val="none"/>
                <w:lang w:val="en-US" w:bidi="zh-CN"/>
                <w14:textFill>
                  <w14:solidFill>
                    <w14:schemeClr w14:val="tx1"/>
                  </w14:solidFill>
                </w14:textFill>
              </w:rPr>
              <w:t>并加盖公章</w:t>
            </w:r>
            <w:r>
              <w:rPr>
                <w:rFonts w:hint="eastAsia" w:ascii="宋体" w:hAnsi="宋体"/>
                <w:color w:val="000000" w:themeColor="text1"/>
                <w:kern w:val="0"/>
                <w:sz w:val="24"/>
                <w:szCs w:val="24"/>
                <w:highlight w:val="none"/>
                <w:lang w:val="zh-CN" w:bidi="zh-CN"/>
                <w14:textFill>
                  <w14:solidFill>
                    <w14:schemeClr w14:val="tx1"/>
                  </w14:solidFill>
                </w14:textFill>
              </w:rPr>
              <w:t>。</w:t>
            </w:r>
          </w:p>
        </w:tc>
      </w:tr>
      <w:tr>
        <w:tblPrEx>
          <w:tblCellMar>
            <w:top w:w="0" w:type="dxa"/>
            <w:left w:w="10" w:type="dxa"/>
            <w:bottom w:w="0" w:type="dxa"/>
            <w:right w:w="10" w:type="dxa"/>
          </w:tblCellMar>
        </w:tblPrEx>
        <w:trPr>
          <w:trHeight w:val="567" w:hRule="atLeast"/>
        </w:trPr>
        <w:tc>
          <w:tcPr>
            <w:tcW w:w="710"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12</w:t>
            </w:r>
          </w:p>
        </w:tc>
        <w:tc>
          <w:tcPr>
            <w:tcW w:w="2268"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hint="eastAsia"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诚信承诺书</w:t>
            </w:r>
          </w:p>
        </w:tc>
        <w:tc>
          <w:tcPr>
            <w:tcW w:w="2984" w:type="dxa"/>
            <w:tcBorders>
              <w:top w:val="single" w:color="auto" w:sz="4"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left"/>
              <w:rPr>
                <w:rFonts w:hint="eastAsia"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诚信承诺书</w:t>
            </w:r>
          </w:p>
        </w:tc>
        <w:tc>
          <w:tcPr>
            <w:tcW w:w="3253" w:type="dxa"/>
            <w:tcBorders>
              <w:top w:val="single" w:color="auto" w:sz="4" w:space="0"/>
              <w:left w:val="single" w:color="auto" w:sz="6" w:space="0"/>
              <w:bottom w:val="single" w:color="auto" w:sz="6" w:space="0"/>
              <w:right w:val="single" w:color="auto" w:sz="6" w:space="0"/>
            </w:tcBorders>
          </w:tcPr>
          <w:p>
            <w:pPr>
              <w:pageBreakBefore w:val="0"/>
              <w:kinsoku/>
              <w:overflowPunct/>
              <w:topLinePunct w:val="0"/>
              <w:bidi w:val="0"/>
              <w:spacing w:line="360" w:lineRule="auto"/>
              <w:ind w:left="0" w:leftChars="0" w:right="0" w:rightChars="0"/>
              <w:rPr>
                <w:rFonts w:hint="eastAsia" w:ascii="宋体" w:hAnsi="宋体"/>
                <w:color w:val="000000" w:themeColor="text1"/>
                <w:kern w:val="0"/>
                <w:sz w:val="24"/>
                <w:szCs w:val="24"/>
                <w:highlight w:val="none"/>
                <w:lang w:val="zh-CN" w:bidi="zh-CN"/>
                <w14:textFill>
                  <w14:solidFill>
                    <w14:schemeClr w14:val="tx1"/>
                  </w14:solidFill>
                </w14:textFill>
              </w:rPr>
            </w:pPr>
            <w:r>
              <w:rPr>
                <w:rFonts w:hint="eastAsia" w:ascii="宋体" w:hAnsi="宋体"/>
                <w:color w:val="000000" w:themeColor="text1"/>
                <w:kern w:val="0"/>
                <w:sz w:val="24"/>
                <w:szCs w:val="24"/>
                <w:highlight w:val="none"/>
                <w:lang w:val="zh-CN" w:bidi="zh-CN"/>
                <w14:textFill>
                  <w14:solidFill>
                    <w14:schemeClr w14:val="tx1"/>
                  </w14:solidFill>
                </w14:textFill>
              </w:rPr>
              <w:t>诚信承诺书原件（</w:t>
            </w:r>
            <w:r>
              <w:rPr>
                <w:rFonts w:hint="eastAsia" w:ascii="宋体" w:hAnsi="宋体"/>
                <w:color w:val="000000" w:themeColor="text1"/>
                <w:kern w:val="0"/>
                <w:sz w:val="24"/>
                <w:szCs w:val="24"/>
                <w:highlight w:val="none"/>
                <w:lang w:val="en-US" w:bidi="zh-CN"/>
                <w14:textFill>
                  <w14:solidFill>
                    <w14:schemeClr w14:val="tx1"/>
                  </w14:solidFill>
                </w14:textFill>
              </w:rPr>
              <w:t>格式见第六章</w:t>
            </w:r>
            <w:r>
              <w:rPr>
                <w:rFonts w:hint="eastAsia" w:ascii="宋体" w:hAnsi="宋体"/>
                <w:color w:val="000000" w:themeColor="text1"/>
                <w:kern w:val="0"/>
                <w:sz w:val="24"/>
                <w:szCs w:val="24"/>
                <w:highlight w:val="none"/>
                <w:lang w:val="zh-CN" w:bidi="zh-CN"/>
                <w14:textFill>
                  <w14:solidFill>
                    <w14:schemeClr w14:val="tx1"/>
                  </w14:solidFill>
                </w14:textFill>
              </w:rPr>
              <w:t>）</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jc w:val="center"/>
              <w:rPr>
                <w:rFonts w:hint="eastAsia" w:ascii="宋体" w:hAnsi="宋体" w:eastAsia="宋体"/>
                <w:color w:val="000000" w:themeColor="text1"/>
                <w:sz w:val="24"/>
                <w:szCs w:val="24"/>
                <w:highlight w:val="none"/>
                <w:lang w:val="en-US" w:eastAsia="zh-CN"/>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3</w:t>
            </w:r>
          </w:p>
        </w:tc>
        <w:tc>
          <w:tcPr>
            <w:tcW w:w="8505" w:type="dxa"/>
            <w:gridSpan w:val="3"/>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资格审查文件表格</w:t>
            </w:r>
            <w:r>
              <w:rPr>
                <w:rFonts w:hint="eastAsia" w:ascii="宋体" w:hAnsi="宋体" w:cs="宋体"/>
                <w:b/>
                <w:bCs/>
                <w:color w:val="000000" w:themeColor="text1"/>
                <w:sz w:val="24"/>
                <w:szCs w:val="24"/>
                <w:highlight w:val="none"/>
                <w14:textFill>
                  <w14:solidFill>
                    <w14:schemeClr w14:val="tx1"/>
                  </w14:solidFill>
                </w14:textFill>
              </w:rPr>
              <w:t>（格式见第六章）</w:t>
            </w:r>
          </w:p>
        </w:tc>
      </w:tr>
      <w:tr>
        <w:tblPrEx>
          <w:tblCellMar>
            <w:top w:w="0" w:type="dxa"/>
            <w:left w:w="10" w:type="dxa"/>
            <w:bottom w:w="0" w:type="dxa"/>
            <w:right w:w="10" w:type="dxa"/>
          </w:tblCellMar>
        </w:tblPrEx>
        <w:trPr>
          <w:trHeight w:val="567" w:hRule="atLeast"/>
        </w:trPr>
        <w:tc>
          <w:tcPr>
            <w:tcW w:w="710" w:type="dxa"/>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备注</w:t>
            </w:r>
          </w:p>
        </w:tc>
        <w:tc>
          <w:tcPr>
            <w:tcW w:w="8505" w:type="dxa"/>
            <w:gridSpan w:val="3"/>
            <w:tcBorders>
              <w:top w:val="single" w:color="auto" w:sz="6" w:space="0"/>
              <w:left w:val="single" w:color="auto" w:sz="6" w:space="0"/>
              <w:bottom w:val="single" w:color="auto" w:sz="6" w:space="0"/>
              <w:right w:val="single" w:color="auto" w:sz="6" w:space="0"/>
            </w:tcBorders>
            <w:vAlign w:val="center"/>
          </w:tcPr>
          <w:p>
            <w:pPr>
              <w:pageBreakBefore w:val="0"/>
              <w:kinsoku/>
              <w:overflowPunct/>
              <w:topLinePunct w:val="0"/>
              <w:bidi w:val="0"/>
              <w:spacing w:line="360" w:lineRule="auto"/>
              <w:ind w:left="0" w:leftChars="0" w:right="0" w:rightChars="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1、</w:t>
            </w:r>
            <w:r>
              <w:rPr>
                <w:rFonts w:ascii="宋体" w:hAnsi="宋体"/>
                <w:color w:val="000000" w:themeColor="text1"/>
                <w:kern w:val="0"/>
                <w:sz w:val="24"/>
                <w:szCs w:val="24"/>
                <w:highlight w:val="none"/>
                <w14:textFill>
                  <w14:solidFill>
                    <w14:schemeClr w14:val="tx1"/>
                  </w14:solidFill>
                </w14:textFill>
              </w:rPr>
              <w:t>资格审查阶段，评标委员会根据</w:t>
            </w:r>
            <w:r>
              <w:rPr>
                <w:rFonts w:ascii="宋体" w:hAnsi="宋体"/>
                <w:b/>
                <w:color w:val="000000" w:themeColor="text1"/>
                <w:kern w:val="0"/>
                <w:sz w:val="24"/>
                <w:szCs w:val="24"/>
                <w:highlight w:val="none"/>
                <w:u w:val="single"/>
                <w14:textFill>
                  <w14:solidFill>
                    <w14:schemeClr w14:val="tx1"/>
                  </w14:solidFill>
                </w14:textFill>
              </w:rPr>
              <w:t>资格审查标准、</w:t>
            </w:r>
            <w:r>
              <w:rPr>
                <w:rFonts w:ascii="宋体" w:hAnsi="宋体"/>
                <w:color w:val="000000" w:themeColor="text1"/>
                <w:kern w:val="0"/>
                <w:sz w:val="24"/>
                <w:szCs w:val="24"/>
                <w:highlight w:val="none"/>
                <w14:textFill>
                  <w14:solidFill>
                    <w14:schemeClr w14:val="tx1"/>
                  </w14:solidFill>
                </w14:textFill>
              </w:rPr>
              <w:t>资格审查条件、“资格审查资料包”、“资格审查资料原件包”中的资料进行资格评审，请投标人按照本招标文件要求准确提供全部资料，否则做废标处理。</w:t>
            </w:r>
            <w:r>
              <w:rPr>
                <w:rFonts w:hint="eastAsia" w:ascii="宋体" w:hAnsi="宋体" w:cs="宋体"/>
                <w:b/>
                <w:color w:val="000000" w:themeColor="text1"/>
                <w:sz w:val="24"/>
                <w:szCs w:val="24"/>
                <w:highlight w:val="none"/>
                <w14:textFill>
                  <w14:solidFill>
                    <w14:schemeClr w14:val="tx1"/>
                  </w14:solidFill>
                </w14:textFill>
              </w:rPr>
              <w:t>本项目资格审查以资格审查资料包的内容为准，招标文件中要求提交的资料请各投标人务必提供齐全，资格审查资料原件包仅做备查，仅在资料包内容存在字迹模糊、分辨不清等情形时予以查验。</w:t>
            </w:r>
          </w:p>
          <w:p>
            <w:pPr>
              <w:pageBreakBefore w:val="0"/>
              <w:kinsoku/>
              <w:overflowPunct/>
              <w:topLinePunct w:val="0"/>
              <w:bidi w:val="0"/>
              <w:spacing w:line="360" w:lineRule="auto"/>
              <w:ind w:left="0" w:leftChars="0" w:right="0" w:rightChars="0"/>
              <w:rPr>
                <w:rFonts w:ascii="宋体" w:hAnsi="宋体" w:cs="宋体"/>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2、以上</w:t>
            </w:r>
            <w:r>
              <w:rPr>
                <w:rFonts w:ascii="宋体" w:hAnsi="宋体" w:cs="宋体"/>
                <w:color w:val="000000" w:themeColor="text1"/>
                <w:sz w:val="24"/>
                <w:szCs w:val="24"/>
                <w:highlight w:val="none"/>
                <w:lang w:val="zh-CN"/>
                <w14:textFill>
                  <w14:solidFill>
                    <w14:schemeClr w14:val="tx1"/>
                  </w14:solidFill>
                </w14:textFill>
              </w:rPr>
              <w:t>1-1</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lang w:val="zh-CN"/>
                <w14:textFill>
                  <w14:solidFill>
                    <w14:schemeClr w14:val="tx1"/>
                  </w14:solidFill>
                </w14:textFill>
              </w:rPr>
              <w:t>中任何一条不符合要求的，则资格审查不通过。而且，上述序号</w:t>
            </w:r>
            <w:r>
              <w:rPr>
                <w:rFonts w:ascii="宋体" w:hAnsi="宋体" w:cs="宋体"/>
                <w:color w:val="000000" w:themeColor="text1"/>
                <w:sz w:val="24"/>
                <w:szCs w:val="24"/>
                <w:highlight w:val="none"/>
                <w:lang w:val="zh-CN"/>
                <w14:textFill>
                  <w14:solidFill>
                    <w14:schemeClr w14:val="tx1"/>
                  </w14:solidFill>
                </w14:textFill>
              </w:rPr>
              <w:t>3-</w:t>
            </w:r>
            <w:r>
              <w:rPr>
                <w:rFonts w:hint="eastAsia" w:ascii="宋体" w:hAnsi="宋体" w:cs="宋体"/>
                <w:color w:val="000000" w:themeColor="text1"/>
                <w:sz w:val="24"/>
                <w:szCs w:val="24"/>
                <w:highlight w:val="none"/>
                <w:lang w:val="en-US" w:eastAsia="zh-CN"/>
                <w14:textFill>
                  <w14:solidFill>
                    <w14:schemeClr w14:val="tx1"/>
                  </w14:solidFill>
                </w14:textFill>
              </w:rPr>
              <w:t>11</w:t>
            </w:r>
            <w:r>
              <w:rPr>
                <w:rFonts w:hint="eastAsia" w:ascii="宋体" w:hAnsi="宋体" w:cs="宋体"/>
                <w:color w:val="000000" w:themeColor="text1"/>
                <w:sz w:val="24"/>
                <w:szCs w:val="24"/>
                <w:highlight w:val="none"/>
                <w:lang w:val="zh-CN"/>
                <w14:textFill>
                  <w14:solidFill>
                    <w14:schemeClr w14:val="tx1"/>
                  </w14:solidFill>
                </w14:textFill>
              </w:rPr>
              <w:t>提供复印件并加盖单位公章，同时须提供原件备查，否则资格审查不通过；</w:t>
            </w:r>
          </w:p>
          <w:p>
            <w:pPr>
              <w:pageBreakBefore w:val="0"/>
              <w:kinsoku/>
              <w:overflowPunct/>
              <w:topLinePunct w:val="0"/>
              <w:bidi w:val="0"/>
              <w:spacing w:line="360" w:lineRule="auto"/>
              <w:ind w:left="0" w:leftChars="0" w:right="0" w:rightChars="0"/>
              <w:rPr>
                <w:rFonts w:ascii="宋体" w:hAnsi="宋体"/>
                <w:b/>
                <w:bCs/>
                <w:color w:val="000000" w:themeColor="text1"/>
                <w:sz w:val="24"/>
                <w:szCs w:val="24"/>
                <w:highlight w:val="none"/>
                <w:lang w:val="zh-CN"/>
                <w14:textFill>
                  <w14:solidFill>
                    <w14:schemeClr w14:val="tx1"/>
                  </w14:solidFill>
                </w14:textFill>
              </w:rPr>
            </w:pPr>
            <w:r>
              <w:rPr>
                <w:rFonts w:hint="eastAsia" w:ascii="宋体" w:hAnsi="宋体" w:cs="宋体"/>
                <w:color w:val="000000" w:themeColor="text1"/>
                <w:sz w:val="24"/>
                <w:szCs w:val="24"/>
                <w:highlight w:val="none"/>
                <w:lang w:val="zh-CN"/>
                <w14:textFill>
                  <w14:solidFill>
                    <w14:schemeClr w14:val="tx1"/>
                  </w14:solidFill>
                </w14:textFill>
              </w:rPr>
              <w:t>3、</w:t>
            </w:r>
            <w:r>
              <w:rPr>
                <w:rFonts w:hint="eastAsia" w:ascii="宋体" w:hAnsi="宋体" w:cs="宋体"/>
                <w:b/>
                <w:bCs/>
                <w:color w:val="000000" w:themeColor="text1"/>
                <w:kern w:val="0"/>
                <w:sz w:val="24"/>
                <w:szCs w:val="24"/>
                <w:highlight w:val="none"/>
                <w14:textFill>
                  <w14:solidFill>
                    <w14:schemeClr w14:val="tx1"/>
                  </w14:solidFill>
                </w14:textFill>
              </w:rPr>
              <w:t>如法人名称和法定代表人姓名发生变化，请提供相关证明。否则，资格审查不通过。</w:t>
            </w:r>
          </w:p>
        </w:tc>
      </w:tr>
      <w:bookmarkEnd w:id="37"/>
      <w:bookmarkEnd w:id="38"/>
    </w:tbl>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本次资格审查采用合格制，各投标人只有满足资格审查必要合格条件后，方可参与商务标的评审。</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、商务标评审</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ascii="宋体" w:hAnsi="宋体"/>
          <w:color w:val="000000" w:themeColor="text1"/>
          <w:sz w:val="24"/>
          <w:szCs w:val="24"/>
          <w:highlight w:val="none"/>
          <w14:textFill>
            <w14:solidFill>
              <w14:schemeClr w14:val="tx1"/>
            </w14:solidFill>
          </w14:textFill>
        </w:rPr>
      </w:pPr>
      <w:r>
        <w:rPr>
          <w:rFonts w:ascii="宋体" w:hAnsi="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只有通过资格审查的投标人，才能参加商务标的评标。</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r>
        <w:rPr>
          <w:rFonts w:hint="eastAsia" w:ascii="宋体" w:hAnsi="宋体" w:cs="宋体"/>
          <w:b/>
          <w:bCs/>
          <w:color w:val="000000" w:themeColor="text1"/>
          <w:kern w:val="0"/>
          <w:sz w:val="24"/>
          <w:highlight w:val="none"/>
          <w14:textFill>
            <w14:solidFill>
              <w14:schemeClr w14:val="tx1"/>
            </w14:solidFill>
          </w14:textFill>
        </w:rPr>
        <w:t>商务标评审共设两种方法，</w:t>
      </w:r>
      <w:r>
        <w:rPr>
          <w:rFonts w:hint="eastAsia" w:ascii="宋体" w:hAnsi="宋体" w:cs="宋体"/>
          <w:color w:val="000000" w:themeColor="text1"/>
          <w:kern w:val="0"/>
          <w:sz w:val="24"/>
          <w:highlight w:val="none"/>
          <w14:textFill>
            <w14:solidFill>
              <w14:schemeClr w14:val="tx1"/>
            </w14:solidFill>
          </w14:textFill>
        </w:rPr>
        <w:t>由</w:t>
      </w:r>
      <w:r>
        <w:rPr>
          <w:rFonts w:hint="eastAsia" w:ascii="宋体" w:hAnsi="宋体" w:cs="宋体"/>
          <w:b/>
          <w:bCs/>
          <w:color w:val="000000" w:themeColor="text1"/>
          <w:kern w:val="0"/>
          <w:sz w:val="24"/>
          <w:highlight w:val="none"/>
          <w14:textFill>
            <w14:solidFill>
              <w14:schemeClr w14:val="tx1"/>
            </w14:solidFill>
          </w14:textFill>
        </w:rPr>
        <w:t>招标人代表</w:t>
      </w:r>
      <w:r>
        <w:rPr>
          <w:rFonts w:hint="eastAsia" w:ascii="宋体" w:hAnsi="宋体" w:cs="宋体"/>
          <w:color w:val="000000" w:themeColor="text1"/>
          <w:kern w:val="0"/>
          <w:sz w:val="24"/>
          <w:highlight w:val="none"/>
          <w14:textFill>
            <w14:solidFill>
              <w14:schemeClr w14:val="tx1"/>
            </w14:solidFill>
          </w14:textFill>
        </w:rPr>
        <w:t>在开标时现场抽取确定，相关系数由</w:t>
      </w:r>
      <w:r>
        <w:rPr>
          <w:rFonts w:hint="eastAsia" w:ascii="宋体" w:hAnsi="宋体" w:cs="宋体"/>
          <w:b/>
          <w:bCs/>
          <w:color w:val="000000" w:themeColor="text1"/>
          <w:kern w:val="0"/>
          <w:sz w:val="24"/>
          <w:highlight w:val="none"/>
          <w14:textFill>
            <w14:solidFill>
              <w14:schemeClr w14:val="tx1"/>
            </w14:solidFill>
          </w14:textFill>
        </w:rPr>
        <w:t>投标人代表</w:t>
      </w:r>
      <w:r>
        <w:rPr>
          <w:rFonts w:hint="eastAsia" w:ascii="宋体" w:hAnsi="宋体" w:cs="宋体"/>
          <w:color w:val="000000" w:themeColor="text1"/>
          <w:kern w:val="0"/>
          <w:sz w:val="24"/>
          <w:highlight w:val="none"/>
          <w14:textFill>
            <w14:solidFill>
              <w14:schemeClr w14:val="tx1"/>
            </w14:solidFill>
          </w14:textFill>
        </w:rPr>
        <w:t>现场抽取</w:t>
      </w:r>
      <w:r>
        <w:rPr>
          <w:rFonts w:hint="eastAsia" w:ascii="宋体" w:hAnsi="宋体" w:cs="宋体"/>
          <w:color w:val="000000" w:themeColor="text1"/>
          <w:sz w:val="24"/>
          <w:szCs w:val="24"/>
          <w:highlight w:val="none"/>
          <w14:textFill>
            <w14:solidFill>
              <w14:schemeClr w14:val="tx1"/>
            </w14:solidFill>
          </w14:textFill>
        </w:rPr>
        <w:t>确定后进入评标程序。</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3)评分标准(满分100分)</w:t>
      </w:r>
    </w:p>
    <w:p>
      <w:pPr>
        <w:adjustRightInd w:val="0"/>
        <w:snapToGrid w:val="0"/>
        <w:spacing w:line="360" w:lineRule="auto"/>
        <w:ind w:firstLine="482" w:firstLineChars="200"/>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方法一：</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（1）确定有效报价</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有效报价是指投标人投标报价低于或等于招标人设定的招标控制价，投标报价高于招标控制价的为无效报价，作废标处理。</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无效报价、被宣布为废标的投标报价均不参与评标基准价的计算。</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（2）确定评标基准价</w:t>
      </w:r>
    </w:p>
    <w:p>
      <w:pPr>
        <w:adjustRightInd w:val="0"/>
        <w:snapToGrid w:val="0"/>
        <w:spacing w:line="360" w:lineRule="auto"/>
        <w:ind w:firstLine="482"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以有效投标文件的评标价算术平均值为 A</w:t>
      </w:r>
      <w:r>
        <w:rPr>
          <w:rFonts w:hint="eastAsia" w:ascii="宋体" w:hAnsi="宋体" w:cs="宋体"/>
          <w:color w:val="000000" w:themeColor="text1"/>
          <w:kern w:val="0"/>
          <w:sz w:val="24"/>
          <w:highlight w:val="none"/>
          <w14:textFill>
            <w14:solidFill>
              <w14:schemeClr w14:val="tx1"/>
            </w14:solidFill>
          </w14:textFill>
        </w:rPr>
        <w:t>（当有效投标文件≥7家时，去掉最高和最低的各20%（四舍五入取整，末位投标价相同的均保留）后进行平均；当有效投标文件4-6家时，剔除最高报价（最高报价相同的均剔除）后进行算术平均；当有效投标文件＜4家时，则次低报价作为投标平均价A）。</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评标基准价 =A×K，K 值在开标时由</w:t>
      </w:r>
      <w:r>
        <w:rPr>
          <w:rFonts w:hint="eastAsia" w:ascii="宋体" w:hAnsi="宋体" w:cs="宋体"/>
          <w:b/>
          <w:bCs/>
          <w:color w:val="000000" w:themeColor="text1"/>
          <w:kern w:val="0"/>
          <w:sz w:val="24"/>
          <w:highlight w:val="none"/>
          <w:u w:val="thick"/>
          <w14:textFill>
            <w14:solidFill>
              <w14:schemeClr w14:val="tx1"/>
            </w14:solidFill>
          </w14:textFill>
        </w:rPr>
        <w:t>投标人代表</w:t>
      </w:r>
      <w:r>
        <w:rPr>
          <w:rFonts w:hint="eastAsia" w:ascii="宋体" w:hAnsi="宋体" w:cs="宋体"/>
          <w:color w:val="000000" w:themeColor="text1"/>
          <w:kern w:val="0"/>
          <w:sz w:val="24"/>
          <w:highlight w:val="none"/>
          <w14:textFill>
            <w14:solidFill>
              <w14:schemeClr w14:val="tx1"/>
            </w14:solidFill>
          </w14:textFill>
        </w:rPr>
        <w:t>抽取确定，K 值的取值范围为95%、96%、97%、98%。投标人的投标报价与评标基准价相等的得100分，与评标基准价相比较，每上浮1%扣 0.9 分，每下浮1%扣 0.6 分。(不足1%的，采用插入法，得分保留两位小数，第三位四舍五入)</w:t>
      </w:r>
    </w:p>
    <w:p>
      <w:pPr>
        <w:adjustRightInd w:val="0"/>
        <w:snapToGrid w:val="0"/>
        <w:spacing w:line="360" w:lineRule="auto"/>
        <w:ind w:firstLine="482" w:firstLineChars="200"/>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方法二：</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（1）确定有效报价</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有效报价是指投标人投标报价低于或等于招标人设定的招标控制价，投标报价高于招标控制价的为无效报价，作废标处理。</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无效报价、被宣布为废标的投标报价均不参与评标基准价的计算。</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（2）确定评标基准价</w:t>
      </w:r>
    </w:p>
    <w:p>
      <w:pPr>
        <w:adjustRightInd w:val="0"/>
        <w:snapToGrid w:val="0"/>
        <w:spacing w:line="360" w:lineRule="auto"/>
        <w:ind w:firstLine="482"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以有效投标文件的评标价算术平均值为A</w:t>
      </w:r>
      <w:r>
        <w:rPr>
          <w:rFonts w:hint="eastAsia" w:ascii="宋体" w:hAnsi="宋体" w:cs="宋体"/>
          <w:color w:val="000000" w:themeColor="text1"/>
          <w:kern w:val="0"/>
          <w:sz w:val="24"/>
          <w:highlight w:val="none"/>
          <w14:textFill>
            <w14:solidFill>
              <w14:schemeClr w14:val="tx1"/>
            </w14:solidFill>
          </w14:textFill>
        </w:rPr>
        <w:t xml:space="preserve">（当有效投标文件≥7家时，去掉最高和最低的各20%（四舍五入取整，末位投标价相同的均保留）后进行平均；当有效投标文件4-6家时，剔除最高报价（最高报价相同的均剔除）后进行算术平均；当有效投标文件＜4家时，则次低报价作为投标平均价A），最高投标限价（招标控制价）为B，则: </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评标基准价 =A×K1×Q1+B×K2×Q2</w:t>
      </w:r>
    </w:p>
    <w:p>
      <w:pPr>
        <w:adjustRightInd w:val="0"/>
        <w:snapToGrid w:val="0"/>
        <w:spacing w:line="360" w:lineRule="auto"/>
        <w:ind w:firstLine="480" w:firstLineChars="200"/>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Q2=1-Q1, Q1的取值范围为65%、70%、75%、80%、85%；K1的取值范围为95%、96%、97%、98%；K2的取值为98%；Q1、K1 值在开标时由</w:t>
      </w:r>
      <w:r>
        <w:rPr>
          <w:rFonts w:hint="eastAsia" w:ascii="宋体" w:hAnsi="宋体" w:cs="宋体"/>
          <w:b/>
          <w:bCs/>
          <w:color w:val="000000" w:themeColor="text1"/>
          <w:kern w:val="0"/>
          <w:sz w:val="24"/>
          <w:highlight w:val="none"/>
          <w:u w:val="thick"/>
          <w14:textFill>
            <w14:solidFill>
              <w14:schemeClr w14:val="tx1"/>
            </w14:solidFill>
          </w14:textFill>
        </w:rPr>
        <w:t>投标人代表</w:t>
      </w:r>
      <w:r>
        <w:rPr>
          <w:rFonts w:hint="eastAsia" w:ascii="宋体" w:hAnsi="宋体" w:cs="宋体"/>
          <w:color w:val="000000" w:themeColor="text1"/>
          <w:kern w:val="0"/>
          <w:sz w:val="24"/>
          <w:highlight w:val="none"/>
          <w14:textFill>
            <w14:solidFill>
              <w14:schemeClr w14:val="tx1"/>
            </w14:solidFill>
          </w14:textFill>
        </w:rPr>
        <w:t>抽取确定。投标人的投标报价与评标基准价相等的得100分，与评标基准价相比较，每上浮1%扣 0.9分，每下浮1%扣0.6分。(不足1%的，采用插入法，得分保留两位小数，第三位四舍五入)。</w:t>
      </w:r>
    </w:p>
    <w:p>
      <w:pPr>
        <w:spacing w:line="360" w:lineRule="auto"/>
        <w:ind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注：评标委员会在评标报告签字后，评标基准价不因招投标当事人质疑、投诉、复议以及其他任何情形而改变，但评标过程中的计算错误可作调整。</w:t>
      </w:r>
    </w:p>
    <w:p>
      <w:pPr>
        <w:spacing w:line="360" w:lineRule="auto"/>
        <w:ind w:firstLine="472" w:firstLineChars="196"/>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根据苏财购〔2025〕62号关于推动解决政府采购异常低价问题相关工作的通知，评审过程中出现</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相关情况</w:t>
      </w:r>
      <w:r>
        <w:rPr>
          <w:rFonts w:hint="eastAsia" w:ascii="宋体" w:hAnsi="宋体" w:eastAsia="宋体" w:cs="宋体"/>
          <w:b/>
          <w:bCs/>
          <w:color w:val="000000" w:themeColor="text1"/>
          <w:sz w:val="24"/>
          <w:szCs w:val="24"/>
          <w:highlight w:val="none"/>
          <w14:textFill>
            <w14:solidFill>
              <w14:schemeClr w14:val="tx1"/>
            </w14:solidFill>
          </w14:textFill>
        </w:rPr>
        <w:t>的，评审委员会应当启动异常低价投标审查程序</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pPr>
        <w:spacing w:line="360" w:lineRule="auto"/>
        <w:ind w:firstLine="472" w:firstLineChars="196"/>
        <w:rPr>
          <w:rFonts w:ascii="宋体" w:hAnsi="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评标委员会按照各投标人的投标报价，按得分从高到低的顺序确定前三</w:t>
      </w:r>
      <w:r>
        <w:rPr>
          <w:rFonts w:hint="eastAsia" w:ascii="宋体" w:hAnsi="宋体" w:cs="宋体"/>
          <w:b/>
          <w:bCs/>
          <w:color w:val="000000" w:themeColor="text1"/>
          <w:sz w:val="24"/>
          <w:szCs w:val="24"/>
          <w:highlight w:val="none"/>
          <w14:textFill>
            <w14:solidFill>
              <w14:schemeClr w14:val="tx1"/>
            </w14:solidFill>
          </w14:textFill>
        </w:rPr>
        <w:t>名中标候选人，中标价为其投标报价。若投标报价得分相同，则投标报价低者优先；若投标报价仍相同，则采取现场随机抽签的方式确定最终的中标候选人。</w:t>
      </w:r>
    </w:p>
    <w:p>
      <w:pPr>
        <w:spacing w:line="360" w:lineRule="auto"/>
        <w:ind w:firstLine="482" w:firstLineChars="200"/>
        <w:rPr>
          <w:rFonts w:ascii="宋体" w:hAnsi="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本工程第一中标候选人原则上为中标人。当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当出现第一中标候选人被质疑、投诉，且被取消其第一中标候选人资格的情况，本项目重新招标。</w:t>
      </w:r>
    </w:p>
    <w:p>
      <w:pPr>
        <w:autoSpaceDE w:val="0"/>
        <w:autoSpaceDN w:val="0"/>
        <w:adjustRightInd w:val="0"/>
        <w:snapToGrid w:val="0"/>
        <w:spacing w:line="360" w:lineRule="auto"/>
        <w:ind w:firstLine="472" w:firstLineChars="196"/>
        <w:rPr>
          <w:rFonts w:ascii="宋体" w:hAnsi="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评标过程中出现本评标办法未尽事宜，由评标委员会根据有关法律、法规讨论决定。</w:t>
      </w:r>
    </w:p>
    <w:p>
      <w:pPr>
        <w:pageBreakBefore w:val="0"/>
        <w:kinsoku/>
        <w:overflowPunct/>
        <w:topLinePunct w:val="0"/>
        <w:bidi w:val="0"/>
        <w:spacing w:line="360" w:lineRule="auto"/>
        <w:ind w:left="0" w:leftChars="0" w:right="0" w:rightChars="0"/>
        <w:jc w:val="center"/>
        <w:rPr>
          <w:rFonts w:ascii="宋体" w:hAnsi="宋体" w:cs="Cambria Math"/>
          <w:b/>
          <w:bCs/>
          <w:color w:val="000000" w:themeColor="text1"/>
          <w:kern w:val="44"/>
          <w:sz w:val="24"/>
          <w:szCs w:val="2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Cambria Math"/>
          <w:b/>
          <w:bCs/>
          <w:color w:val="000000" w:themeColor="text1"/>
          <w:kern w:val="44"/>
          <w:sz w:val="24"/>
          <w:szCs w:val="2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Cambria Math"/>
          <w:b/>
          <w:bCs/>
          <w:color w:val="000000" w:themeColor="text1"/>
          <w:kern w:val="44"/>
          <w:sz w:val="24"/>
          <w:szCs w:val="24"/>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br w:type="page"/>
      </w:r>
    </w:p>
    <w:p>
      <w:pPr>
        <w:pageBreakBefore w:val="0"/>
        <w:kinsoku/>
        <w:overflowPunct/>
        <w:topLinePunct w:val="0"/>
        <w:bidi w:val="0"/>
        <w:spacing w:line="360" w:lineRule="auto"/>
        <w:ind w:left="0" w:leftChars="0" w:right="0" w:rightChars="0" w:firstLine="562" w:firstLineChars="200"/>
        <w:rPr>
          <w:rFonts w:ascii="宋体" w:hAnsi="宋体" w:cs="宋体"/>
          <w:b/>
          <w:bCs/>
          <w:color w:val="000000" w:themeColor="text1"/>
          <w:spacing w:val="20"/>
          <w:kern w:val="24"/>
          <w:sz w:val="24"/>
          <w:szCs w:val="18"/>
          <w:highlight w:val="none"/>
          <w14:textFill>
            <w14:solidFill>
              <w14:schemeClr w14:val="tx1"/>
            </w14:solidFill>
          </w14:textFill>
        </w:rPr>
      </w:pPr>
      <w:r>
        <w:rPr>
          <w:rFonts w:hint="eastAsia" w:ascii="宋体" w:hAnsi="宋体" w:cs="宋体"/>
          <w:b/>
          <w:bCs/>
          <w:color w:val="000000" w:themeColor="text1"/>
          <w:spacing w:val="20"/>
          <w:kern w:val="24"/>
          <w:sz w:val="24"/>
          <w:szCs w:val="18"/>
          <w:highlight w:val="none"/>
          <w14:textFill>
            <w14:solidFill>
              <w14:schemeClr w14:val="tx1"/>
            </w14:solidFill>
          </w14:textFill>
        </w:rPr>
        <w:t>附件A：《办公厅关于全面实行一级建造师电子注册证书的通知》（建办市〔2021〕40号）文件</w:t>
      </w:r>
    </w:p>
    <w:p>
      <w:pPr>
        <w:pageBreakBefore w:val="0"/>
        <w:kinsoku/>
        <w:overflowPunct/>
        <w:topLinePunct w:val="0"/>
        <w:bidi w:val="0"/>
        <w:spacing w:line="360" w:lineRule="auto"/>
        <w:ind w:left="0" w:leftChars="0" w:right="0" w:rightChars="0" w:firstLine="600" w:firstLineChars="200"/>
        <w:rPr>
          <w:rFonts w:ascii="宋体" w:hAnsi="宋体" w:cs="宋体"/>
          <w:color w:val="000000" w:themeColor="text1"/>
          <w:szCs w:val="22"/>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drawing>
          <wp:inline distT="0" distB="0" distL="114300" distR="114300">
            <wp:extent cx="5354320" cy="3673475"/>
            <wp:effectExtent l="0" t="0" r="508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354320" cy="3673475"/>
                    </a:xfrm>
                    <a:prstGeom prst="rect">
                      <a:avLst/>
                    </a:prstGeom>
                    <a:noFill/>
                    <a:ln>
                      <a:noFill/>
                    </a:ln>
                  </pic:spPr>
                </pic:pic>
              </a:graphicData>
            </a:graphic>
          </wp:inline>
        </w:drawing>
      </w:r>
    </w:p>
    <w:p>
      <w:pPr>
        <w:pageBreakBefore w:val="0"/>
        <w:kinsoku/>
        <w:overflowPunct/>
        <w:topLinePunct w:val="0"/>
        <w:bidi w:val="0"/>
        <w:spacing w:line="360" w:lineRule="auto"/>
        <w:ind w:left="0" w:leftChars="0" w:right="0" w:rightChars="0" w:firstLine="420" w:firstLineChars="200"/>
        <w:rPr>
          <w:rFonts w:ascii="宋体" w:hAnsi="宋体" w:cs="宋体"/>
          <w:color w:val="000000" w:themeColor="text1"/>
          <w:szCs w:val="22"/>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20" w:firstLineChars="200"/>
        <w:rPr>
          <w:rFonts w:ascii="宋体" w:hAnsi="宋体" w:cs="宋体"/>
          <w:color w:val="000000" w:themeColor="text1"/>
          <w:szCs w:val="22"/>
          <w:highlight w:val="none"/>
          <w14:textFill>
            <w14:solidFill>
              <w14:schemeClr w14:val="tx1"/>
            </w14:solidFill>
          </w14:textFill>
        </w:rPr>
      </w:pPr>
      <w:r>
        <w:rPr>
          <w:rFonts w:hint="eastAsia" w:ascii="宋体" w:hAnsi="宋体" w:cs="宋体"/>
          <w:color w:val="000000" w:themeColor="text1"/>
          <w:szCs w:val="22"/>
          <w:highlight w:val="none"/>
          <w14:textFill>
            <w14:solidFill>
              <w14:schemeClr w14:val="tx1"/>
            </w14:solidFill>
          </w14:textFill>
        </w:rPr>
        <w:t>网址：</w:t>
      </w:r>
    </w:p>
    <w:p>
      <w:pPr>
        <w:pageBreakBefore w:val="0"/>
        <w:kinsoku/>
        <w:overflowPunct/>
        <w:topLinePunct w:val="0"/>
        <w:bidi w:val="0"/>
        <w:spacing w:line="360" w:lineRule="auto"/>
        <w:ind w:left="0" w:leftChars="0" w:right="0" w:rightChars="0" w:firstLine="420" w:firstLineChars="200"/>
        <w:rPr>
          <w:rFonts w:ascii="宋体" w:hAnsi="宋体" w:cs="宋体"/>
          <w:color w:val="000000" w:themeColor="text1"/>
          <w:szCs w:val="22"/>
          <w:highlight w:val="none"/>
          <w14:textFill>
            <w14:solidFill>
              <w14:schemeClr w14:val="tx1"/>
            </w14:solidFill>
          </w14:textFill>
        </w:rPr>
      </w:pPr>
      <w:r>
        <w:rPr>
          <w:rFonts w:hint="eastAsia" w:ascii="宋体" w:hAnsi="宋体" w:cs="宋体"/>
          <w:color w:val="000000" w:themeColor="text1"/>
          <w:szCs w:val="22"/>
          <w:highlight w:val="none"/>
          <w14:textFill>
            <w14:solidFill>
              <w14:schemeClr w14:val="tx1"/>
            </w14:solidFill>
          </w14:textFill>
        </w:rPr>
        <w:t>https://www.mohurd.gov.cn/gongkai/fdzdgknr/zfhcxjsbwj/202109/20210926_762262.html</w:t>
      </w:r>
    </w:p>
    <w:p>
      <w:pPr>
        <w:pageBreakBefore w:val="0"/>
        <w:kinsoku/>
        <w:overflowPunct/>
        <w:topLinePunct w:val="0"/>
        <w:bidi w:val="0"/>
        <w:spacing w:line="360" w:lineRule="auto"/>
        <w:ind w:left="0" w:leftChars="0" w:right="0" w:rightChars="0" w:firstLine="600" w:firstLineChars="200"/>
        <w:rPr>
          <w:rFonts w:ascii="宋体" w:hAnsi="宋体" w:cs="宋体"/>
          <w:color w:val="000000" w:themeColor="text1"/>
          <w:sz w:val="30"/>
          <w:szCs w:val="30"/>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宋体"/>
          <w:b/>
          <w:color w:val="000000" w:themeColor="text1"/>
          <w:sz w:val="30"/>
          <w:szCs w:val="30"/>
          <w:highlight w:val="none"/>
          <w14:textFill>
            <w14:solidFill>
              <w14:schemeClr w14:val="tx1"/>
            </w14:solidFill>
          </w14:textFill>
        </w:rPr>
        <w:sectPr>
          <w:pgSz w:w="11906" w:h="16838"/>
          <w:pgMar w:top="1418" w:right="1416" w:bottom="1134" w:left="1531" w:header="720" w:footer="748" w:gutter="0"/>
          <w:cols w:space="720" w:num="1"/>
          <w:docGrid w:type="lines" w:linePitch="312" w:charSpace="0"/>
        </w:sectPr>
      </w:pPr>
    </w:p>
    <w:p>
      <w:pPr>
        <w:pageBreakBefore w:val="0"/>
        <w:kinsoku/>
        <w:overflowPunct/>
        <w:topLinePunct w:val="0"/>
        <w:bidi w:val="0"/>
        <w:spacing w:line="360" w:lineRule="auto"/>
        <w:ind w:left="0" w:leftChars="0" w:right="0" w:rightChars="0"/>
        <w:jc w:val="center"/>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住房和城乡建设部办公厅关于全面实行</w:t>
      </w:r>
    </w:p>
    <w:p>
      <w:pPr>
        <w:pageBreakBefore w:val="0"/>
        <w:kinsoku/>
        <w:overflowPunct/>
        <w:topLinePunct w:val="0"/>
        <w:bidi w:val="0"/>
        <w:spacing w:line="360" w:lineRule="auto"/>
        <w:ind w:left="0" w:leftChars="0" w:right="0" w:rightChars="0"/>
        <w:jc w:val="center"/>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一级建造师电子注册证书的通知</w:t>
      </w:r>
    </w:p>
    <w:p>
      <w:pPr>
        <w:pageBreakBefore w:val="0"/>
        <w:tabs>
          <w:tab w:val="left" w:pos="2410"/>
        </w:tabs>
        <w:kinsoku/>
        <w:overflowPunct/>
        <w:topLinePunct w:val="0"/>
        <w:bidi w:val="0"/>
        <w:spacing w:line="360" w:lineRule="auto"/>
        <w:ind w:left="0" w:leftChars="0" w:right="0" w:rightChars="0" w:firstLine="60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各省、自治区住房和城乡建设厅，直辖市住房和城乡建设（管）委，新疆生产建设兵团住房和城乡建设局，国务院有关部门建设司（局），中央军委后勤保障部军事设施建设局，有关中央企业：</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为扎实推进“我为群众办实事”实践活动，深化建筑业“放管服”改革，进一步提升政务服务规范化、便利化水平，我部决定在全国范围内实行一级建造师电子注册证书（以下简称电子证书），并开展延续注册工作。现将有关事项通知如下：</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一、工作内容</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（一）实行电子证书。</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1．自 2021年10月15日起，在全国范围内实行一级建造师电子证书（具体示例及说明见附件1），电子证书式样按照《全国一体化在线政务服务平台电子证照一级建造师注册证书》标准执行（具体式样见附件2）。自 2022年1月1日起，一级建造师统一使用电子证书，纸质注册证书作废。</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2．自 2021年10月15日起，全国范围内准予一级建造师初始注册、增项注册、重新注册、延续注册的，不再发放纸质注册证书或加贴防伪贴；聘用单位基本信息修改的，不再加贴防伪贴；因纸质注册证书遗失、污损或个人信息修改等需重新发放注册证书的，不再补发或更换纸质注册证书。</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3．电子证书与纸质注册证书并行使用期间，其注册编号同时有效。2022年1月1日起，一级建造师应重新刻制执业印章，并使用电子证书上的注册编号。</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4．各省（区、市）住房和城乡建设主管部门要会同有关行业主管部门创新监管模式，充分运用信息化手段，加快实现电子证书在招标投标、审批许可、项目管理、行业监管等环节的应用。</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（二）开展延续注册。</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一级建造师注册专业有效期已过期的，应于2021年12月15日前提出延续注册申请；注册专业仍在有效期内的，应在有效期届满30日前提出延续注册申请；注册专业有效期届满且未提出延续注册申请的，自2022年1月1日起注册专业失效。</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2．一级建造师申请延续注册的，应达到继续教育要求，并对本人完成继续教育情况作出承诺。</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3．准予延续注册的注册专业，其注册专业有效期从准予延续注册之日起计算。准予延续注册之日距65周岁不满3年的，有效期至 65 周岁当日。</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二、电子证书有关使用要求</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180天，但使用时限距注册专业有效期或建造师满65周岁不足180天的，使用时限截止日期以注册专业有效期截止日期或建造师满65周岁当日为准。超出使用时限的电子证书无效，需重新下载电子证书并再次确认使用时限。</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（二）一级建造师打印电子证书后，应在个人签名处手写本人签名，未手写签名或与签名图像笔迹不一致的，该电子证书无效。</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（三）一级建造师应妥善保管本人的国家政务服务平台账号，因本人保管不善造成账号信息泄露所产生的一切后果由本人承担。</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（四）有关单位和个人可通过“中国建造师网”微信公众号扫描电子证书上的二维码，查询一级建造师注册信息。</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五）电子证书与纸质注册证书的聘用单位信息、个人基本信息、注册专业有效期等不一致的，以电子证书信息为准。电子证书信息发生变更的，需登录国家政务服务平台或住房和城乡建设部政务服务门户重新下载。</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附件：1．一级建造师电子注册证书示例及说明</w:t>
      </w:r>
    </w:p>
    <w:p>
      <w:pPr>
        <w:pageBreakBefore w:val="0"/>
        <w:tabs>
          <w:tab w:val="left" w:pos="2410"/>
        </w:tabs>
        <w:kinsoku/>
        <w:overflowPunct/>
        <w:topLinePunct w:val="0"/>
        <w:bidi w:val="0"/>
        <w:spacing w:line="360" w:lineRule="auto"/>
        <w:ind w:left="0" w:leftChars="0" w:right="0" w:rightChars="0"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2．一级建造师电子注册证书式样</w:t>
      </w:r>
    </w:p>
    <w:p>
      <w:pPr>
        <w:pageBreakBefore w:val="0"/>
        <w:tabs>
          <w:tab w:val="left" w:pos="2410"/>
        </w:tabs>
        <w:kinsoku/>
        <w:overflowPunct/>
        <w:topLinePunct w:val="0"/>
        <w:bidi w:val="0"/>
        <w:spacing w:line="360" w:lineRule="auto"/>
        <w:ind w:left="0" w:leftChars="0" w:right="0" w:rightChars="0" w:firstLine="420" w:firstLineChars="200"/>
        <w:jc w:val="righ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住房和城乡建设部办公厅　　　　　　　　　　　　　　　　　　　　　　　　　　　　　　　　　2021年9月18日</w:t>
      </w:r>
    </w:p>
    <w:p>
      <w:pPr>
        <w:pageBreakBefore w:val="0"/>
        <w:kinsoku/>
        <w:overflowPunct/>
        <w:topLinePunct w:val="0"/>
        <w:bidi w:val="0"/>
        <w:spacing w:line="360" w:lineRule="auto"/>
        <w:ind w:left="0" w:leftChars="0" w:right="0" w:rightChars="0" w:firstLine="420" w:firstLineChars="200"/>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Cs w:val="22"/>
          <w:highlight w:val="none"/>
          <w14:textFill>
            <w14:solidFill>
              <w14:schemeClr w14:val="tx1"/>
            </w14:solidFill>
          </w14:textFill>
        </w:rPr>
        <w:drawing>
          <wp:inline distT="0" distB="0" distL="114300" distR="114300">
            <wp:extent cx="5486400" cy="731520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486400" cy="7315200"/>
                    </a:xfrm>
                    <a:prstGeom prst="rect">
                      <a:avLst/>
                    </a:prstGeom>
                    <a:noFill/>
                    <a:ln>
                      <a:noFill/>
                    </a:ln>
                  </pic:spPr>
                </pic:pic>
              </a:graphicData>
            </a:graphic>
          </wp:inline>
        </w:drawing>
      </w:r>
      <w:r>
        <w:rPr>
          <w:rFonts w:hint="eastAsia" w:ascii="宋体" w:hAnsi="宋体" w:cs="宋体"/>
          <w:color w:val="000000" w:themeColor="text1"/>
          <w:szCs w:val="22"/>
          <w:highlight w:val="none"/>
          <w14:textFill>
            <w14:solidFill>
              <w14:schemeClr w14:val="tx1"/>
            </w14:solidFill>
          </w14:textFill>
        </w:rPr>
        <w:drawing>
          <wp:inline distT="0" distB="0" distL="114300" distR="114300">
            <wp:extent cx="5486400" cy="7653655"/>
            <wp:effectExtent l="0" t="0" r="0"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486400" cy="7653655"/>
                    </a:xfrm>
                    <a:prstGeom prst="rect">
                      <a:avLst/>
                    </a:prstGeom>
                    <a:noFill/>
                    <a:ln>
                      <a:noFill/>
                    </a:ln>
                  </pic:spPr>
                </pic:pic>
              </a:graphicData>
            </a:graphic>
          </wp:inline>
        </w:drawing>
      </w:r>
    </w:p>
    <w:p>
      <w:pPr>
        <w:pageBreakBefore w:val="0"/>
        <w:tabs>
          <w:tab w:val="left" w:pos="0"/>
        </w:tabs>
        <w:kinsoku/>
        <w:overflowPunct/>
        <w:topLinePunct w:val="0"/>
        <w:bidi w:val="0"/>
        <w:spacing w:line="360" w:lineRule="auto"/>
        <w:ind w:left="0" w:leftChars="0" w:right="0" w:rightChars="0" w:firstLine="424" w:firstLineChars="202"/>
        <w:rPr>
          <w:rFonts w:ascii="宋体" w:hAnsi="宋体" w:cs="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宋体"/>
          <w:b/>
          <w:bCs/>
          <w:color w:val="000000" w:themeColor="text1"/>
          <w:spacing w:val="20"/>
          <w:kern w:val="24"/>
          <w:sz w:val="24"/>
          <w:szCs w:val="1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宋体"/>
          <w:b/>
          <w:bCs/>
          <w:color w:val="000000" w:themeColor="text1"/>
          <w:spacing w:val="20"/>
          <w:kern w:val="24"/>
          <w:sz w:val="24"/>
          <w:szCs w:val="1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宋体"/>
          <w:b/>
          <w:bCs/>
          <w:color w:val="000000" w:themeColor="text1"/>
          <w:spacing w:val="20"/>
          <w:kern w:val="24"/>
          <w:sz w:val="24"/>
          <w:szCs w:val="1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s="宋体"/>
          <w:color w:val="000000" w:themeColor="text1"/>
          <w:sz w:val="28"/>
          <w:szCs w:val="28"/>
          <w:highlight w:val="none"/>
          <w14:textFill>
            <w14:solidFill>
              <w14:schemeClr w14:val="tx1"/>
            </w14:solidFill>
          </w14:textFill>
        </w:rPr>
      </w:pPr>
      <w:r>
        <w:rPr>
          <w:rFonts w:hint="eastAsia" w:ascii="宋体" w:hAnsi="宋体" w:cs="宋体"/>
          <w:b/>
          <w:bCs/>
          <w:color w:val="000000" w:themeColor="text1"/>
          <w:spacing w:val="20"/>
          <w:kern w:val="24"/>
          <w:sz w:val="24"/>
          <w:szCs w:val="18"/>
          <w:highlight w:val="none"/>
          <w14:textFill>
            <w14:solidFill>
              <w14:schemeClr w14:val="tx1"/>
            </w14:solidFill>
          </w14:textFill>
        </w:rPr>
        <w:t>附件B   省住房和城乡建设厅关于我省二级建造师、二级造价工程师、二级注册建筑师、二级注册结构工程师注册证书电子证照换发的公告</w:t>
      </w:r>
    </w:p>
    <w:p>
      <w:pPr>
        <w:pageBreakBefore w:val="0"/>
        <w:kinsoku/>
        <w:overflowPunct/>
        <w:topLinePunct w:val="0"/>
        <w:bidi w:val="0"/>
        <w:spacing w:line="360" w:lineRule="auto"/>
        <w:ind w:left="0" w:leftChars="0" w:right="0" w:rightChars="0"/>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(2023)第26号</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国务院办公厅电子政务办公室、住房和城乡建设部发布的《全国一体化政务服务平台标准》要求，经研究决定，对我省核发的二级建造师、二级造价工程师、二级注册建筑师、二级注册结构工程师四类注册证书电子证照进行换发。现公告如下:</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一、换发时间</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自2023年12月10日起，核准新办业务申报的，将发放新版电子证照。旧版电子证照由厅综合服务平台自动逐步换发新版电子证照(样式详见附件)，换发时间截止2024年3月9日。换发期后，旧版电子证照停止使用。</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二、新版电子证照下载及核验方法</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证书持有者登录“江苏政务服务网一综合旗舰店一省住房和城乡建设厅旗舰店一证照查询一注册类人员证书”自行查询或下载。企业及各行政管理部门可通过上述方式，或扫描电子证照二维码进行核验。</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三、其他说明电子证书换发期内，为保障注册证书持有者相关权益，尚在有效期内的旧版电子证照与新版电子证照具有同等效力，证书查验方式不变(不支持二维码核验)。</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附件:二级建造师注册证书、二级造价工程师注册证书、二级注册建筑师注册证书、二级注册结构工程师注册证书电子证照样式. docx</w:t>
      </w:r>
    </w:p>
    <w:p>
      <w:pPr>
        <w:pageBreakBefore w:val="0"/>
        <w:kinsoku/>
        <w:overflowPunct/>
        <w:topLinePunct w:val="0"/>
        <w:bidi w:val="0"/>
        <w:spacing w:line="360" w:lineRule="auto"/>
        <w:ind w:left="0" w:leftChars="0" w:right="0" w:rightChars="0" w:firstLine="960" w:firstLineChars="400"/>
        <w:jc w:val="right"/>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960" w:firstLineChars="400"/>
        <w:jc w:val="right"/>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960" w:firstLineChars="400"/>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江苏省住房和城乡建设厅</w:t>
      </w:r>
    </w:p>
    <w:p>
      <w:pPr>
        <w:pageBreakBefore w:val="0"/>
        <w:kinsoku/>
        <w:overflowPunct/>
        <w:topLinePunct w:val="0"/>
        <w:bidi w:val="0"/>
        <w:spacing w:line="360" w:lineRule="auto"/>
        <w:ind w:left="0" w:leftChars="0" w:right="0" w:rightChars="0" w:firstLine="960" w:firstLineChars="400"/>
        <w:jc w:val="righ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2023年12月4日</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sz w:val="24"/>
          <w:highlight w:val="none"/>
          <w14:textFill>
            <w14:solidFill>
              <w14:schemeClr w14:val="tx1"/>
            </w14:solidFill>
          </w14:textFill>
        </w:rPr>
      </w:pPr>
    </w:p>
    <w:p>
      <w:pPr>
        <w:pageBreakBefore w:val="0"/>
        <w:kinsoku/>
        <w:wordWrap w:val="0"/>
        <w:overflowPunct/>
        <w:topLinePunct w:val="0"/>
        <w:bidi w:val="0"/>
        <w:spacing w:line="360" w:lineRule="auto"/>
        <w:ind w:left="0" w:leftChars="0" w:right="0" w:rightChars="0"/>
        <w:jc w:val="center"/>
        <w:rPr>
          <w:rFonts w:ascii="宋体" w:hAnsi="宋体" w:cs="宋体"/>
          <w:color w:val="000000" w:themeColor="text1"/>
          <w:sz w:val="32"/>
          <w:szCs w:val="32"/>
          <w:highlight w:val="none"/>
          <w14:textFill>
            <w14:solidFill>
              <w14:schemeClr w14:val="tx1"/>
            </w14:solidFill>
          </w14:textFill>
        </w:rPr>
      </w:pPr>
    </w:p>
    <w:p>
      <w:pPr>
        <w:pageBreakBefore w:val="0"/>
        <w:kinsoku/>
        <w:wordWrap w:val="0"/>
        <w:overflowPunct/>
        <w:topLinePunct w:val="0"/>
        <w:bidi w:val="0"/>
        <w:spacing w:line="360" w:lineRule="auto"/>
        <w:ind w:left="0" w:leftChars="0" w:right="0" w:rightChars="0"/>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二级建造师注册证书</w:t>
      </w:r>
    </w:p>
    <w:p>
      <w:pPr>
        <w:pageBreakBefore w:val="0"/>
        <w:kinsoku/>
        <w:overflowPunct/>
        <w:topLinePunct w:val="0"/>
        <w:bidi w:val="0"/>
        <w:spacing w:line="360" w:lineRule="auto"/>
        <w:ind w:left="0" w:leftChars="0" w:right="0" w:rightChars="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drawing>
          <wp:anchor distT="0" distB="0" distL="114300" distR="114300" simplePos="0" relativeHeight="251662336" behindDoc="0" locked="0" layoutInCell="1" allowOverlap="1">
            <wp:simplePos x="0" y="0"/>
            <wp:positionH relativeFrom="column">
              <wp:posOffset>301625</wp:posOffset>
            </wp:positionH>
            <wp:positionV relativeFrom="paragraph">
              <wp:posOffset>744220</wp:posOffset>
            </wp:positionV>
            <wp:extent cx="4699635" cy="6647180"/>
            <wp:effectExtent l="0" t="0" r="12065" b="762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4699635" cy="6647180"/>
                    </a:xfrm>
                    <a:prstGeom prst="rect">
                      <a:avLst/>
                    </a:prstGeom>
                    <a:noFill/>
                    <a:ln>
                      <a:noFill/>
                    </a:ln>
                  </pic:spPr>
                </pic:pic>
              </a:graphicData>
            </a:graphic>
          </wp:anchor>
        </w:drawing>
      </w:r>
      <w:r>
        <w:rPr>
          <w:rFonts w:hint="eastAsia" w:ascii="宋体" w:hAnsi="宋体" w:cs="宋体"/>
          <w:color w:val="000000" w:themeColor="text1"/>
          <w:sz w:val="32"/>
          <w:szCs w:val="32"/>
          <w:highlight w:val="none"/>
          <w14:textFill>
            <w14:solidFill>
              <w14:schemeClr w14:val="tx1"/>
            </w14:solidFill>
          </w14:textFill>
        </w:rPr>
        <w:t>（注册证书电子证照样式）</w:t>
      </w:r>
    </w:p>
    <w:p>
      <w:pPr>
        <w:pageBreakBefore w:val="0"/>
        <w:kinsoku/>
        <w:overflowPunct/>
        <w:topLinePunct w:val="0"/>
        <w:bidi w:val="0"/>
        <w:spacing w:line="360" w:lineRule="auto"/>
        <w:ind w:left="0" w:leftChars="0" w:right="0" w:rightChars="0"/>
        <w:jc w:val="center"/>
        <w:rPr>
          <w:rFonts w:ascii="宋体" w:hAnsi="宋体" w:cs="Cambria Math"/>
          <w:b/>
          <w:bCs/>
          <w:color w:val="000000" w:themeColor="text1"/>
          <w:kern w:val="44"/>
          <w:sz w:val="24"/>
          <w:szCs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pPr>
        <w:pageBreakBefore w:val="0"/>
        <w:kinsoku/>
        <w:overflowPunct/>
        <w:topLinePunct w:val="0"/>
        <w:bidi w:val="0"/>
        <w:spacing w:line="360" w:lineRule="auto"/>
        <w:ind w:left="0" w:leftChars="0" w:right="0" w:rightChars="0"/>
        <w:jc w:val="center"/>
        <w:rPr>
          <w:rFonts w:ascii="宋体" w:hAnsi="宋体" w:cs="Cambria Math"/>
          <w:b/>
          <w:bCs/>
          <w:color w:val="000000" w:themeColor="text1"/>
          <w:kern w:val="44"/>
          <w:sz w:val="24"/>
          <w:szCs w:val="2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eastAsia="楷体_GB2312"/>
          <w:b/>
          <w:color w:val="000000" w:themeColor="text1"/>
          <w:sz w:val="72"/>
          <w:szCs w:val="72"/>
          <w:highlight w:val="none"/>
          <w14:textFill>
            <w14:solidFill>
              <w14:schemeClr w14:val="tx1"/>
            </w14:solidFill>
          </w14:textFill>
        </w:rPr>
      </w:pPr>
      <w:r>
        <w:rPr>
          <w:rFonts w:hint="eastAsia" w:ascii="宋体" w:hAnsi="宋体" w:cs="宋体"/>
          <w:b/>
          <w:bCs/>
          <w:color w:val="000000" w:themeColor="text1"/>
          <w:kern w:val="44"/>
          <w:sz w:val="36"/>
          <w:szCs w:val="36"/>
          <w:highlight w:val="none"/>
          <w14:textFill>
            <w14:solidFill>
              <w14:schemeClr w14:val="tx1"/>
            </w14:solidFill>
          </w14:textFill>
        </w:rPr>
        <w:t>第三章 建设工程施工合同</w:t>
      </w:r>
      <w:bookmarkStart w:id="41" w:name="_Toc427744856"/>
    </w:p>
    <w:p>
      <w:pPr>
        <w:jc w:val="center"/>
        <w:rPr>
          <w:rFonts w:ascii="宋体" w:hAnsi="宋体" w:cs="宋体"/>
          <w:b/>
          <w:color w:val="000000" w:themeColor="text1"/>
          <w:sz w:val="72"/>
          <w:szCs w:val="72"/>
          <w:highlight w:val="none"/>
          <w14:textFill>
            <w14:solidFill>
              <w14:schemeClr w14:val="tx1"/>
            </w14:solidFill>
          </w14:textFill>
        </w:rPr>
      </w:pPr>
    </w:p>
    <w:p>
      <w:pPr>
        <w:jc w:val="center"/>
        <w:rPr>
          <w:rFonts w:ascii="宋体" w:hAnsi="宋体" w:cs="宋体"/>
          <w:b/>
          <w:color w:val="000000" w:themeColor="text1"/>
          <w:sz w:val="72"/>
          <w:szCs w:val="72"/>
          <w:highlight w:val="none"/>
          <w14:textFill>
            <w14:solidFill>
              <w14:schemeClr w14:val="tx1"/>
            </w14:solidFill>
          </w14:textFill>
        </w:rPr>
      </w:pPr>
    </w:p>
    <w:p>
      <w:pPr>
        <w:jc w:val="both"/>
        <w:rPr>
          <w:rFonts w:ascii="宋体" w:hAnsi="宋体" w:cs="宋体"/>
          <w:b/>
          <w:color w:val="000000" w:themeColor="text1"/>
          <w:sz w:val="72"/>
          <w:szCs w:val="72"/>
          <w:highlight w:val="none"/>
          <w14:textFill>
            <w14:solidFill>
              <w14:schemeClr w14:val="tx1"/>
            </w14:solidFill>
          </w14:textFill>
        </w:rPr>
      </w:pPr>
    </w:p>
    <w:p>
      <w:pPr>
        <w:jc w:val="center"/>
        <w:rPr>
          <w:rFonts w:eastAsia="楷体_GB2312"/>
          <w:b/>
          <w:color w:val="000000" w:themeColor="text1"/>
          <w:sz w:val="72"/>
          <w:szCs w:val="72"/>
          <w:highlight w:val="none"/>
          <w14:textFill>
            <w14:solidFill>
              <w14:schemeClr w14:val="tx1"/>
            </w14:solidFill>
          </w14:textFill>
        </w:rPr>
      </w:pPr>
      <w:r>
        <w:rPr>
          <w:rFonts w:hint="eastAsia" w:eastAsia="楷体_GB2312"/>
          <w:b/>
          <w:color w:val="000000" w:themeColor="text1"/>
          <w:sz w:val="72"/>
          <w:szCs w:val="72"/>
          <w:highlight w:val="none"/>
          <w14:textFill>
            <w14:solidFill>
              <w14:schemeClr w14:val="tx1"/>
            </w14:solidFill>
          </w14:textFill>
        </w:rPr>
        <w:t>合 同 书</w:t>
      </w:r>
    </w:p>
    <w:p>
      <w:pPr>
        <w:rPr>
          <w:rFonts w:ascii="宋体" w:hAnsi="宋体" w:cs="宋体"/>
          <w:color w:val="000000" w:themeColor="text1"/>
          <w:sz w:val="26"/>
          <w:szCs w:val="20"/>
          <w:highlight w:val="none"/>
          <w14:textFill>
            <w14:solidFill>
              <w14:schemeClr w14:val="tx1"/>
            </w14:solidFill>
          </w14:textFill>
        </w:rPr>
      </w:pPr>
    </w:p>
    <w:p>
      <w:pPr>
        <w:rPr>
          <w:rFonts w:ascii="宋体" w:hAnsi="宋体" w:cs="宋体"/>
          <w:color w:val="000000" w:themeColor="text1"/>
          <w:sz w:val="26"/>
          <w:szCs w:val="20"/>
          <w:highlight w:val="none"/>
          <w14:textFill>
            <w14:solidFill>
              <w14:schemeClr w14:val="tx1"/>
            </w14:solidFill>
          </w14:textFill>
        </w:rPr>
      </w:pPr>
    </w:p>
    <w:p>
      <w:pPr>
        <w:rPr>
          <w:rFonts w:ascii="宋体" w:hAnsi="宋体" w:cs="宋体"/>
          <w:color w:val="000000" w:themeColor="text1"/>
          <w:sz w:val="26"/>
          <w:szCs w:val="20"/>
          <w:highlight w:val="none"/>
          <w14:textFill>
            <w14:solidFill>
              <w14:schemeClr w14:val="tx1"/>
            </w14:solidFill>
          </w14:textFill>
        </w:rPr>
      </w:pPr>
    </w:p>
    <w:p>
      <w:pPr>
        <w:rPr>
          <w:rFonts w:ascii="宋体" w:hAnsi="宋体" w:cs="宋体"/>
          <w:color w:val="000000" w:themeColor="text1"/>
          <w:sz w:val="26"/>
          <w:szCs w:val="20"/>
          <w:highlight w:val="none"/>
          <w14:textFill>
            <w14:solidFill>
              <w14:schemeClr w14:val="tx1"/>
            </w14:solidFill>
          </w14:textFill>
        </w:rPr>
      </w:pPr>
    </w:p>
    <w:p>
      <w:pPr>
        <w:rPr>
          <w:rFonts w:ascii="宋体" w:hAnsi="宋体" w:cs="宋体"/>
          <w:color w:val="000000" w:themeColor="text1"/>
          <w:sz w:val="26"/>
          <w:szCs w:val="20"/>
          <w:highlight w:val="none"/>
          <w14:textFill>
            <w14:solidFill>
              <w14:schemeClr w14:val="tx1"/>
            </w14:solidFill>
          </w14:textFill>
        </w:rPr>
      </w:pPr>
    </w:p>
    <w:p>
      <w:pPr>
        <w:rPr>
          <w:rFonts w:ascii="宋体" w:hAnsi="宋体" w:cs="宋体"/>
          <w:color w:val="000000" w:themeColor="text1"/>
          <w:sz w:val="26"/>
          <w:szCs w:val="20"/>
          <w:highlight w:val="none"/>
          <w14:textFill>
            <w14:solidFill>
              <w14:schemeClr w14:val="tx1"/>
            </w14:solidFill>
          </w14:textFill>
        </w:rPr>
      </w:pPr>
    </w:p>
    <w:p>
      <w:pPr>
        <w:spacing w:before="360" w:line="400" w:lineRule="exact"/>
        <w:rPr>
          <w:rFonts w:ascii="宋体" w:hAnsi="宋体" w:cs="宋体"/>
          <w:color w:val="000000" w:themeColor="text1"/>
          <w:sz w:val="32"/>
          <w:szCs w:val="20"/>
          <w:highlight w:val="none"/>
          <w14:textFill>
            <w14:solidFill>
              <w14:schemeClr w14:val="tx1"/>
            </w14:solidFill>
          </w14:textFill>
        </w:rPr>
      </w:pPr>
    </w:p>
    <w:p>
      <w:pPr>
        <w:spacing w:before="360" w:line="400" w:lineRule="exact"/>
        <w:rPr>
          <w:rFonts w:ascii="宋体" w:hAnsi="宋体" w:cs="宋体"/>
          <w:color w:val="000000" w:themeColor="text1"/>
          <w:sz w:val="32"/>
          <w:szCs w:val="20"/>
          <w:highlight w:val="none"/>
          <w14:textFill>
            <w14:solidFill>
              <w14:schemeClr w14:val="tx1"/>
            </w14:solidFill>
          </w14:textFill>
        </w:rPr>
      </w:pPr>
    </w:p>
    <w:p>
      <w:pPr>
        <w:spacing w:before="360" w:line="400" w:lineRule="exact"/>
        <w:ind w:left="2878" w:leftChars="456" w:hanging="1920" w:hangingChars="600"/>
        <w:jc w:val="left"/>
        <w:rPr>
          <w:rFonts w:hint="eastAsia" w:ascii="方正楷体_GBK" w:hAnsi="宋体" w:eastAsia="方正楷体_GBK" w:cs="宋体"/>
          <w:color w:val="000000" w:themeColor="text1"/>
          <w:sz w:val="32"/>
          <w:szCs w:val="22"/>
          <w:highlight w:val="none"/>
          <w:u w:val="single"/>
          <w:lang w:eastAsia="zh-CN"/>
          <w14:textFill>
            <w14:solidFill>
              <w14:schemeClr w14:val="tx1"/>
            </w14:solidFill>
          </w14:textFill>
        </w:rPr>
      </w:pPr>
      <w:r>
        <w:rPr>
          <w:rFonts w:hint="eastAsia" w:ascii="方正楷体_GBK" w:hAnsi="宋体" w:eastAsia="方正楷体_GBK" w:cs="宋体"/>
          <w:color w:val="000000" w:themeColor="text1"/>
          <w:sz w:val="32"/>
          <w:szCs w:val="22"/>
          <w:highlight w:val="none"/>
          <w14:textFill>
            <w14:solidFill>
              <w14:schemeClr w14:val="tx1"/>
            </w14:solidFill>
          </w14:textFill>
        </w:rPr>
        <w:t>项目名称：</w:t>
      </w:r>
      <w:r>
        <w:rPr>
          <w:rFonts w:hint="eastAsia" w:ascii="方正楷体_GBK" w:hAnsi="宋体" w:eastAsia="方正楷体_GBK" w:cs="宋体"/>
          <w:color w:val="000000" w:themeColor="text1"/>
          <w:sz w:val="32"/>
          <w:szCs w:val="22"/>
          <w:highlight w:val="none"/>
          <w:u w:val="single"/>
          <w:lang w:eastAsia="zh-CN"/>
          <w14:textFill>
            <w14:solidFill>
              <w14:schemeClr w14:val="tx1"/>
            </w14:solidFill>
          </w14:textFill>
        </w:rPr>
        <w:t>2025年通吕闸排架、翼墙等部位防碳化处理</w:t>
      </w:r>
    </w:p>
    <w:p>
      <w:pPr>
        <w:spacing w:before="360" w:line="400" w:lineRule="exact"/>
        <w:ind w:left="2874" w:leftChars="1216" w:hanging="320" w:hangingChars="100"/>
        <w:jc w:val="left"/>
        <w:rPr>
          <w:rFonts w:hint="eastAsia" w:ascii="方正楷体_GBK" w:hAnsi="宋体" w:eastAsia="方正楷体_GBK" w:cs="宋体"/>
          <w:color w:val="000000" w:themeColor="text1"/>
          <w:sz w:val="32"/>
          <w:szCs w:val="22"/>
          <w:highlight w:val="none"/>
          <w:u w:val="single"/>
          <w14:textFill>
            <w14:solidFill>
              <w14:schemeClr w14:val="tx1"/>
            </w14:solidFill>
          </w14:textFill>
        </w:rPr>
      </w:pPr>
      <w:r>
        <w:rPr>
          <w:rFonts w:hint="eastAsia" w:ascii="方正楷体_GBK" w:hAnsi="宋体" w:eastAsia="方正楷体_GBK" w:cs="宋体"/>
          <w:color w:val="000000" w:themeColor="text1"/>
          <w:sz w:val="32"/>
          <w:szCs w:val="22"/>
          <w:highlight w:val="none"/>
          <w:u w:val="single"/>
          <w14:textFill>
            <w14:solidFill>
              <w14:schemeClr w14:val="tx1"/>
            </w14:solidFill>
          </w14:textFill>
        </w:rPr>
        <w:t>处理</w:t>
      </w:r>
    </w:p>
    <w:p>
      <w:pPr>
        <w:spacing w:before="360" w:line="400" w:lineRule="exact"/>
        <w:ind w:firstLine="960" w:firstLineChars="300"/>
        <w:rPr>
          <w:rFonts w:ascii="方正楷体_GBK" w:hAnsi="宋体" w:eastAsia="方正楷体_GBK" w:cs="宋体"/>
          <w:color w:val="000000" w:themeColor="text1"/>
          <w:sz w:val="32"/>
          <w:szCs w:val="22"/>
          <w:highlight w:val="none"/>
          <w14:textFill>
            <w14:solidFill>
              <w14:schemeClr w14:val="tx1"/>
            </w14:solidFill>
          </w14:textFill>
        </w:rPr>
      </w:pPr>
      <w:r>
        <w:rPr>
          <w:rFonts w:hint="eastAsia" w:ascii="方正楷体_GBK" w:hAnsi="宋体" w:eastAsia="方正楷体_GBK" w:cs="宋体"/>
          <w:color w:val="000000" w:themeColor="text1"/>
          <w:sz w:val="32"/>
          <w:szCs w:val="22"/>
          <w:highlight w:val="none"/>
          <w14:textFill>
            <w14:solidFill>
              <w14:schemeClr w14:val="tx1"/>
            </w14:solidFill>
          </w14:textFill>
        </w:rPr>
        <w:t>建设单位：</w:t>
      </w:r>
      <w:r>
        <w:rPr>
          <w:rFonts w:hint="eastAsia" w:ascii="方正楷体_GBK" w:hAnsi="宋体" w:eastAsia="方正楷体_GBK" w:cs="宋体"/>
          <w:color w:val="000000" w:themeColor="text1"/>
          <w:sz w:val="32"/>
          <w:szCs w:val="22"/>
          <w:highlight w:val="none"/>
          <w:u w:val="single"/>
          <w14:textFill>
            <w14:solidFill>
              <w14:schemeClr w14:val="tx1"/>
            </w14:solidFill>
          </w14:textFill>
        </w:rPr>
        <w:t xml:space="preserve"> 南通市通吕运河水利工程管理所 </w:t>
      </w:r>
    </w:p>
    <w:p>
      <w:pPr>
        <w:spacing w:before="360" w:line="400" w:lineRule="exact"/>
        <w:ind w:firstLine="960" w:firstLineChars="300"/>
        <w:rPr>
          <w:rFonts w:ascii="方正楷体_GBK" w:hAnsi="宋体" w:eastAsia="方正楷体_GBK" w:cs="宋体"/>
          <w:color w:val="000000" w:themeColor="text1"/>
          <w:sz w:val="32"/>
          <w:szCs w:val="22"/>
          <w:highlight w:val="none"/>
          <w14:textFill>
            <w14:solidFill>
              <w14:schemeClr w14:val="tx1"/>
            </w14:solidFill>
          </w14:textFill>
        </w:rPr>
      </w:pPr>
      <w:r>
        <w:rPr>
          <w:rFonts w:hint="eastAsia" w:ascii="方正楷体_GBK" w:hAnsi="宋体" w:eastAsia="方正楷体_GBK" w:cs="宋体"/>
          <w:color w:val="000000" w:themeColor="text1"/>
          <w:sz w:val="32"/>
          <w:szCs w:val="22"/>
          <w:highlight w:val="none"/>
          <w14:textFill>
            <w14:solidFill>
              <w14:schemeClr w14:val="tx1"/>
            </w14:solidFill>
          </w14:textFill>
        </w:rPr>
        <w:t>施工单位：</w:t>
      </w:r>
    </w:p>
    <w:p>
      <w:pPr>
        <w:spacing w:line="360" w:lineRule="auto"/>
        <w:rPr>
          <w:rFonts w:hint="eastAsia" w:ascii="宋体" w:hAnsi="宋体" w:cs="宋体"/>
          <w:b/>
          <w:bCs/>
          <w:color w:val="000000" w:themeColor="text1"/>
          <w:sz w:val="36"/>
          <w:szCs w:val="36"/>
          <w:highlight w:val="none"/>
          <w14:textFill>
            <w14:solidFill>
              <w14:schemeClr w14:val="tx1"/>
            </w14:solidFill>
          </w14:textFill>
        </w:rPr>
      </w:pPr>
    </w:p>
    <w:p>
      <w:pPr>
        <w:spacing w:line="360" w:lineRule="auto"/>
        <w:jc w:val="center"/>
        <w:rPr>
          <w:rFonts w:ascii="宋体" w:hAnsi="宋体" w:cs="宋体"/>
          <w:color w:val="000000" w:themeColor="text1"/>
          <w:sz w:val="36"/>
          <w:szCs w:val="36"/>
          <w:highlight w:val="none"/>
          <w14:textFill>
            <w14:solidFill>
              <w14:schemeClr w14:val="tx1"/>
            </w14:solidFill>
          </w14:textFill>
        </w:rPr>
      </w:pPr>
    </w:p>
    <w:p>
      <w:pPr>
        <w:pStyle w:val="50"/>
        <w:keepNext w:val="0"/>
        <w:keepLines w:val="0"/>
        <w:pageBreakBefore w:val="0"/>
        <w:kinsoku/>
        <w:wordWrap/>
        <w:overflowPunct/>
        <w:topLinePunct w:val="0"/>
        <w:autoSpaceDE/>
        <w:autoSpaceDN/>
        <w:bidi w:val="0"/>
        <w:snapToGrid/>
        <w:spacing w:after="0" w:line="360" w:lineRule="auto"/>
        <w:ind w:leftChars="0" w:right="0" w:rightChars="0" w:firstLine="480" w:firstLineChars="200"/>
        <w:rPr>
          <w:rFonts w:eastAsia="宋体"/>
          <w:color w:val="000000" w:themeColor="text1"/>
          <w:szCs w:val="28"/>
          <w:highlight w:val="none"/>
          <w:u w:val="singl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eastAsia="宋体"/>
          <w:color w:val="000000" w:themeColor="text1"/>
          <w:szCs w:val="28"/>
          <w:highlight w:val="none"/>
          <w14:textFill>
            <w14:solidFill>
              <w14:schemeClr w14:val="tx1"/>
            </w14:solidFill>
          </w14:textFill>
        </w:rPr>
        <w:t>发包人(全称)：</w:t>
      </w:r>
      <w:r>
        <w:rPr>
          <w:rFonts w:eastAsia="宋体"/>
          <w:color w:val="000000" w:themeColor="text1"/>
          <w:szCs w:val="28"/>
          <w:highlight w:val="none"/>
          <w:u w:val="single"/>
          <w14:textFill>
            <w14:solidFill>
              <w14:schemeClr w14:val="tx1"/>
            </w14:solidFill>
          </w14:textFill>
        </w:rPr>
        <w:t xml:space="preserve">  </w:t>
      </w:r>
      <w:r>
        <w:rPr>
          <w:rFonts w:hint="eastAsia" w:eastAsia="宋体"/>
          <w:color w:val="000000" w:themeColor="text1"/>
          <w:szCs w:val="28"/>
          <w:highlight w:val="none"/>
          <w:u w:val="single"/>
          <w14:textFill>
            <w14:solidFill>
              <w14:schemeClr w14:val="tx1"/>
            </w14:solidFill>
          </w14:textFill>
        </w:rPr>
        <w:t>南通市通吕运河水利工程管理所</w:t>
      </w:r>
      <w:r>
        <w:rPr>
          <w:rFonts w:eastAsia="宋体"/>
          <w:color w:val="000000" w:themeColor="text1"/>
          <w:szCs w:val="28"/>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u w:val="single"/>
          <w14:textFill>
            <w14:solidFill>
              <w14:schemeClr w14:val="tx1"/>
            </w14:solidFill>
          </w14:textFill>
        </w:rPr>
      </w:pPr>
      <w:r>
        <w:rPr>
          <w:color w:val="000000" w:themeColor="text1"/>
          <w:sz w:val="24"/>
          <w:szCs w:val="28"/>
          <w:highlight w:val="none"/>
          <w14:textFill>
            <w14:solidFill>
              <w14:schemeClr w14:val="tx1"/>
            </w14:solidFill>
          </w14:textFill>
        </w:rPr>
        <w:t>承包人(全称)：</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u w:val="single"/>
          <w:lang w:val="en-US" w:eastAsia="zh-CN"/>
          <w14:textFill>
            <w14:solidFill>
              <w14:schemeClr w14:val="tx1"/>
            </w14:solidFill>
          </w14:textFill>
        </w:rPr>
        <w:t xml:space="preserve">                      </w:t>
      </w:r>
      <w:r>
        <w:rPr>
          <w:rFonts w:hint="eastAsia"/>
          <w:color w:val="000000" w:themeColor="text1"/>
          <w:sz w:val="24"/>
          <w:szCs w:val="28"/>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依照《中华人民共和国民法典》及其他有关法律、行政法规，遵循平等、自愿、公平和诚实信用的原则，双方就本项目相关事项协商一致，订立本合同。</w:t>
      </w:r>
    </w:p>
    <w:p>
      <w:pPr>
        <w:keepNext w:val="0"/>
        <w:keepLines w:val="0"/>
        <w:pageBreakBefore w:val="0"/>
        <w:kinsoku/>
        <w:wordWrap/>
        <w:overflowPunct/>
        <w:topLinePunct w:val="0"/>
        <w:autoSpaceDE/>
        <w:autoSpaceDN/>
        <w:bidi w:val="0"/>
        <w:snapToGrid/>
        <w:spacing w:line="360" w:lineRule="auto"/>
        <w:ind w:leftChars="0" w:right="0" w:rightChars="0" w:firstLine="48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一、</w:t>
      </w:r>
      <w:r>
        <w:rPr>
          <w:b/>
          <w:bCs/>
          <w:color w:val="000000" w:themeColor="text1"/>
          <w:sz w:val="24"/>
          <w:szCs w:val="28"/>
          <w:highlight w:val="none"/>
          <w14:textFill>
            <w14:solidFill>
              <w14:schemeClr w14:val="tx1"/>
            </w14:solidFill>
          </w14:textFill>
        </w:rPr>
        <w:t>工程概况</w:t>
      </w:r>
    </w:p>
    <w:p>
      <w:pPr>
        <w:keepNext w:val="0"/>
        <w:keepLines w:val="0"/>
        <w:pageBreakBefore w:val="0"/>
        <w:widowControl/>
        <w:kinsoku/>
        <w:wordWrap/>
        <w:overflowPunct/>
        <w:topLinePunct w:val="0"/>
        <w:autoSpaceDE/>
        <w:autoSpaceDN/>
        <w:bidi w:val="0"/>
        <w:snapToGrid/>
        <w:spacing w:line="360" w:lineRule="auto"/>
        <w:ind w:leftChars="0" w:right="0" w:rightChars="0" w:firstLine="480"/>
        <w:jc w:val="left"/>
        <w:rPr>
          <w:rFonts w:hint="eastAsia" w:eastAsia="宋体"/>
          <w:color w:val="000000" w:themeColor="text1"/>
          <w:sz w:val="24"/>
          <w:szCs w:val="28"/>
          <w:highlight w:val="none"/>
          <w:lang w:eastAsia="zh-CN"/>
          <w14:textFill>
            <w14:solidFill>
              <w14:schemeClr w14:val="tx1"/>
            </w14:solidFill>
          </w14:textFill>
        </w:rPr>
      </w:pPr>
      <w:r>
        <w:rPr>
          <w:color w:val="000000" w:themeColor="text1"/>
          <w:sz w:val="24"/>
          <w:szCs w:val="28"/>
          <w:highlight w:val="none"/>
          <w14:textFill>
            <w14:solidFill>
              <w14:schemeClr w14:val="tx1"/>
            </w14:solidFill>
          </w14:textFill>
        </w:rPr>
        <w:t>工程名称：</w:t>
      </w:r>
      <w:r>
        <w:rPr>
          <w:rFonts w:hint="eastAsia"/>
          <w:color w:val="000000" w:themeColor="text1"/>
          <w:sz w:val="24"/>
          <w:szCs w:val="28"/>
          <w:highlight w:val="none"/>
          <w:u w:val="single"/>
          <w:lang w:eastAsia="zh-CN"/>
          <w14:textFill>
            <w14:solidFill>
              <w14:schemeClr w14:val="tx1"/>
            </w14:solidFill>
          </w14:textFill>
        </w:rPr>
        <w:t>2025年通吕闸排架、翼墙等部位防碳化处理</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u w:val="single"/>
          <w14:textFill>
            <w14:solidFill>
              <w14:schemeClr w14:val="tx1"/>
            </w14:solidFill>
          </w14:textFill>
        </w:rPr>
      </w:pPr>
      <w:r>
        <w:rPr>
          <w:color w:val="000000" w:themeColor="text1"/>
          <w:sz w:val="24"/>
          <w:szCs w:val="28"/>
          <w:highlight w:val="none"/>
          <w14:textFill>
            <w14:solidFill>
              <w14:schemeClr w14:val="tx1"/>
            </w14:solidFill>
          </w14:textFill>
        </w:rPr>
        <w:t>工程地点：</w:t>
      </w:r>
      <w:r>
        <w:rPr>
          <w:rFonts w:hint="eastAsia"/>
          <w:color w:val="000000" w:themeColor="text1"/>
          <w:sz w:val="24"/>
          <w:szCs w:val="28"/>
          <w:highlight w:val="none"/>
          <w:u w:val="single"/>
          <w14:textFill>
            <w14:solidFill>
              <w14:schemeClr w14:val="tx1"/>
            </w14:solidFill>
          </w14:textFill>
        </w:rPr>
        <w:t>南通市通吕运河水利工程管理所（外环西路397号）</w:t>
      </w:r>
      <w:r>
        <w:rPr>
          <w:color w:val="000000" w:themeColor="text1"/>
          <w:sz w:val="24"/>
          <w:szCs w:val="28"/>
          <w:highlight w:val="none"/>
          <w14:textFill>
            <w14:solidFill>
              <w14:schemeClr w14:val="tx1"/>
            </w14:solidFill>
          </w14:textFill>
        </w:rPr>
        <w:t xml:space="preserve"> </w:t>
      </w:r>
    </w:p>
    <w:p>
      <w:pPr>
        <w:keepNext w:val="0"/>
        <w:keepLines w:val="0"/>
        <w:pageBreakBefore w:val="0"/>
        <w:kinsoku/>
        <w:wordWrap/>
        <w:overflowPunct/>
        <w:topLinePunct w:val="0"/>
        <w:autoSpaceDE/>
        <w:autoSpaceDN/>
        <w:bidi w:val="0"/>
        <w:snapToGrid/>
        <w:spacing w:line="360" w:lineRule="auto"/>
        <w:ind w:leftChars="0" w:right="0" w:rightChars="0" w:firstLine="480"/>
        <w:rPr>
          <w:bCs/>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工程内容：</w:t>
      </w:r>
      <w:r>
        <w:rPr>
          <w:rFonts w:hint="eastAsia"/>
          <w:bCs/>
          <w:color w:val="000000" w:themeColor="text1"/>
          <w:sz w:val="24"/>
          <w:szCs w:val="28"/>
          <w:highlight w:val="none"/>
          <w:u w:val="single"/>
          <w14:textFill>
            <w14:solidFill>
              <w14:schemeClr w14:val="tx1"/>
            </w14:solidFill>
          </w14:textFill>
        </w:rPr>
        <w:t>具体详见</w:t>
      </w:r>
      <w:r>
        <w:rPr>
          <w:bCs/>
          <w:color w:val="000000" w:themeColor="text1"/>
          <w:sz w:val="24"/>
          <w:szCs w:val="28"/>
          <w:highlight w:val="none"/>
          <w:u w:val="single"/>
          <w14:textFill>
            <w14:solidFill>
              <w14:schemeClr w14:val="tx1"/>
            </w14:solidFill>
          </w14:textFill>
        </w:rPr>
        <w:t>施工图及工程量清单</w:t>
      </w:r>
      <w:r>
        <w:rPr>
          <w:rFonts w:hint="eastAsia"/>
          <w:bCs/>
          <w:color w:val="000000" w:themeColor="text1"/>
          <w:sz w:val="24"/>
          <w:szCs w:val="28"/>
          <w:highlight w:val="none"/>
          <w:u w:val="single"/>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u w:val="single"/>
          <w14:textFill>
            <w14:solidFill>
              <w14:schemeClr w14:val="tx1"/>
            </w14:solidFill>
          </w14:textFill>
        </w:rPr>
      </w:pPr>
      <w:r>
        <w:rPr>
          <w:color w:val="000000" w:themeColor="text1"/>
          <w:sz w:val="24"/>
          <w:szCs w:val="28"/>
          <w:highlight w:val="none"/>
          <w14:textFill>
            <w14:solidFill>
              <w14:schemeClr w14:val="tx1"/>
            </w14:solidFill>
          </w14:textFill>
        </w:rPr>
        <w:t>资金来源：</w:t>
      </w:r>
      <w:r>
        <w:rPr>
          <w:rFonts w:hint="eastAsia"/>
          <w:color w:val="000000" w:themeColor="text1"/>
          <w:sz w:val="24"/>
          <w:szCs w:val="28"/>
          <w:highlight w:val="none"/>
          <w:u w:val="single"/>
          <w14:textFill>
            <w14:solidFill>
              <w14:schemeClr w14:val="tx1"/>
            </w14:solidFill>
          </w14:textFill>
        </w:rPr>
        <w:t xml:space="preserve"> 2025 年省级财政资金、往年省级财政结余资金及管理所年度部门预算职能项目中支出</w:t>
      </w:r>
      <w:r>
        <w:rPr>
          <w:color w:val="000000" w:themeColor="text1"/>
          <w:sz w:val="24"/>
          <w:szCs w:val="28"/>
          <w:highlight w:val="none"/>
          <w:u w:val="single"/>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leftChars="0" w:right="0" w:rightChars="0" w:firstLine="48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二、</w:t>
      </w:r>
      <w:r>
        <w:rPr>
          <w:b/>
          <w:bCs/>
          <w:color w:val="000000" w:themeColor="text1"/>
          <w:sz w:val="24"/>
          <w:szCs w:val="28"/>
          <w:highlight w:val="none"/>
          <w14:textFill>
            <w14:solidFill>
              <w14:schemeClr w14:val="tx1"/>
            </w14:solidFill>
          </w14:textFill>
        </w:rPr>
        <w:t>工程承包范围</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u w:val="single"/>
          <w14:textFill>
            <w14:solidFill>
              <w14:schemeClr w14:val="tx1"/>
            </w14:solidFill>
          </w14:textFill>
        </w:rPr>
      </w:pPr>
      <w:r>
        <w:rPr>
          <w:color w:val="000000" w:themeColor="text1"/>
          <w:sz w:val="24"/>
          <w:szCs w:val="28"/>
          <w:highlight w:val="none"/>
          <w14:textFill>
            <w14:solidFill>
              <w14:schemeClr w14:val="tx1"/>
            </w14:solidFill>
          </w14:textFill>
        </w:rPr>
        <w:t>承包范围：招标文件、项目需求及项目清单范围内的服务等。</w:t>
      </w:r>
    </w:p>
    <w:p>
      <w:pPr>
        <w:keepNext w:val="0"/>
        <w:keepLines w:val="0"/>
        <w:pageBreakBefore w:val="0"/>
        <w:kinsoku/>
        <w:wordWrap/>
        <w:overflowPunct/>
        <w:topLinePunct w:val="0"/>
        <w:autoSpaceDE/>
        <w:autoSpaceDN/>
        <w:bidi w:val="0"/>
        <w:snapToGrid/>
        <w:spacing w:line="360" w:lineRule="auto"/>
        <w:ind w:leftChars="0" w:right="0" w:rightChars="0" w:firstLine="482" w:firstLineChars="20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三、</w:t>
      </w:r>
      <w:r>
        <w:rPr>
          <w:b/>
          <w:bCs/>
          <w:color w:val="000000" w:themeColor="text1"/>
          <w:sz w:val="24"/>
          <w:szCs w:val="28"/>
          <w:highlight w:val="none"/>
          <w14:textFill>
            <w14:solidFill>
              <w14:schemeClr w14:val="tx1"/>
            </w14:solidFill>
          </w14:textFill>
        </w:rPr>
        <w:t>合同工期：</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施工总工期</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u w:val="single"/>
          <w:lang w:val="en-US" w:eastAsia="zh-CN"/>
          <w14:textFill>
            <w14:solidFill>
              <w14:schemeClr w14:val="tx1"/>
            </w14:solidFill>
          </w14:textFill>
        </w:rPr>
        <w:t xml:space="preserve"> 60 </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14:textFill>
            <w14:solidFill>
              <w14:schemeClr w14:val="tx1"/>
            </w14:solidFill>
          </w14:textFill>
        </w:rPr>
        <w:t>日历天。</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计划开工时间： 202</w:t>
      </w:r>
      <w:r>
        <w:rPr>
          <w:rFonts w:hint="eastAsia"/>
          <w:color w:val="000000" w:themeColor="text1"/>
          <w:sz w:val="24"/>
          <w:szCs w:val="28"/>
          <w:highlight w:val="none"/>
          <w:lang w:val="en-US" w:eastAsia="zh-CN"/>
          <w14:textFill>
            <w14:solidFill>
              <w14:schemeClr w14:val="tx1"/>
            </w14:solidFill>
          </w14:textFill>
        </w:rPr>
        <w:t>5</w:t>
      </w:r>
      <w:r>
        <w:rPr>
          <w:rFonts w:hint="eastAsia"/>
          <w:color w:val="000000" w:themeColor="text1"/>
          <w:sz w:val="24"/>
          <w:szCs w:val="28"/>
          <w:highlight w:val="none"/>
          <w14:textFill>
            <w14:solidFill>
              <w14:schemeClr w14:val="tx1"/>
            </w14:solidFill>
          </w14:textFill>
        </w:rPr>
        <w:t>年</w:t>
      </w:r>
      <w:r>
        <w:rPr>
          <w:rFonts w:hint="eastAsia"/>
          <w:color w:val="000000" w:themeColor="text1"/>
          <w:sz w:val="24"/>
          <w:szCs w:val="28"/>
          <w:highlight w:val="none"/>
          <w:u w:val="single"/>
          <w:lang w:val="en-US" w:eastAsia="zh-CN"/>
          <w14:textFill>
            <w14:solidFill>
              <w14:schemeClr w14:val="tx1"/>
            </w14:solidFill>
          </w14:textFill>
        </w:rPr>
        <w:t xml:space="preserve">    </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14:textFill>
            <w14:solidFill>
              <w14:schemeClr w14:val="tx1"/>
            </w14:solidFill>
          </w14:textFill>
        </w:rPr>
        <w:t>月，</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14:textFill>
            <w14:solidFill>
              <w14:schemeClr w14:val="tx1"/>
            </w14:solidFill>
          </w14:textFill>
        </w:rPr>
      </w:pPr>
      <w:r>
        <w:rPr>
          <w:rFonts w:hint="eastAsia"/>
          <w:color w:val="000000" w:themeColor="text1"/>
          <w:sz w:val="24"/>
          <w:szCs w:val="28"/>
          <w:highlight w:val="none"/>
          <w14:textFill>
            <w14:solidFill>
              <w14:schemeClr w14:val="tx1"/>
            </w14:solidFill>
          </w14:textFill>
        </w:rPr>
        <w:t>计划竣工时间： 202</w:t>
      </w:r>
      <w:r>
        <w:rPr>
          <w:rFonts w:hint="eastAsia"/>
          <w:color w:val="000000" w:themeColor="text1"/>
          <w:sz w:val="24"/>
          <w:szCs w:val="28"/>
          <w:highlight w:val="none"/>
          <w:lang w:val="en-US" w:eastAsia="zh-CN"/>
          <w14:textFill>
            <w14:solidFill>
              <w14:schemeClr w14:val="tx1"/>
            </w14:solidFill>
          </w14:textFill>
        </w:rPr>
        <w:t>5</w:t>
      </w:r>
      <w:r>
        <w:rPr>
          <w:rFonts w:hint="eastAsia"/>
          <w:color w:val="000000" w:themeColor="text1"/>
          <w:sz w:val="24"/>
          <w:szCs w:val="28"/>
          <w:highlight w:val="none"/>
          <w14:textFill>
            <w14:solidFill>
              <w14:schemeClr w14:val="tx1"/>
            </w14:solidFill>
          </w14:textFill>
        </w:rPr>
        <w:t>年</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u w:val="single"/>
          <w:lang w:val="en-US" w:eastAsia="zh-CN"/>
          <w14:textFill>
            <w14:solidFill>
              <w14:schemeClr w14:val="tx1"/>
            </w14:solidFill>
          </w14:textFill>
        </w:rPr>
        <w:t xml:space="preserve">   </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14:textFill>
            <w14:solidFill>
              <w14:schemeClr w14:val="tx1"/>
            </w14:solidFill>
          </w14:textFill>
        </w:rPr>
        <w:t>月。</w:t>
      </w:r>
    </w:p>
    <w:p>
      <w:pPr>
        <w:keepNext w:val="0"/>
        <w:keepLines w:val="0"/>
        <w:pageBreakBefore w:val="0"/>
        <w:kinsoku/>
        <w:wordWrap/>
        <w:overflowPunct/>
        <w:topLinePunct w:val="0"/>
        <w:autoSpaceDE/>
        <w:autoSpaceDN/>
        <w:bidi w:val="0"/>
        <w:snapToGrid/>
        <w:spacing w:line="360" w:lineRule="auto"/>
        <w:ind w:leftChars="0" w:right="0" w:rightChars="0" w:firstLine="48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四、</w:t>
      </w:r>
      <w:r>
        <w:rPr>
          <w:b/>
          <w:bCs/>
          <w:color w:val="000000" w:themeColor="text1"/>
          <w:sz w:val="24"/>
          <w:szCs w:val="28"/>
          <w:highlight w:val="none"/>
          <w14:textFill>
            <w14:solidFill>
              <w14:schemeClr w14:val="tx1"/>
            </w14:solidFill>
          </w14:textFill>
        </w:rPr>
        <w:t>质量标准</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jc w:val="left"/>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工程质量标准：合格</w:t>
      </w:r>
      <w:r>
        <w:rPr>
          <w:rFonts w:hint="eastAsia"/>
          <w:color w:val="000000" w:themeColor="text1"/>
          <w:sz w:val="24"/>
          <w:szCs w:val="28"/>
          <w:highlight w:val="none"/>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leftChars="0" w:right="0" w:rightChars="0" w:firstLine="48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五、</w:t>
      </w:r>
      <w:r>
        <w:rPr>
          <w:b/>
          <w:bCs/>
          <w:color w:val="000000" w:themeColor="text1"/>
          <w:sz w:val="24"/>
          <w:szCs w:val="28"/>
          <w:highlight w:val="none"/>
          <w14:textFill>
            <w14:solidFill>
              <w14:schemeClr w14:val="tx1"/>
            </w14:solidFill>
          </w14:textFill>
        </w:rPr>
        <w:t>合同价款</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签约合同价：人民币</w:t>
      </w:r>
      <w:r>
        <w:rPr>
          <w:rFonts w:hint="eastAsia"/>
          <w:color w:val="000000" w:themeColor="text1"/>
          <w:sz w:val="24"/>
          <w:szCs w:val="28"/>
          <w:highlight w:val="none"/>
          <w:u w:val="single"/>
          <w14:textFill>
            <w14:solidFill>
              <w14:schemeClr w14:val="tx1"/>
            </w14:solidFill>
          </w14:textFill>
        </w:rPr>
        <w:t xml:space="preserve"> </w:t>
      </w:r>
      <w:r>
        <w:rPr>
          <w:rFonts w:hint="eastAsia"/>
          <w:color w:val="000000" w:themeColor="text1"/>
          <w:sz w:val="24"/>
          <w:szCs w:val="28"/>
          <w:highlight w:val="none"/>
          <w:u w:val="single"/>
          <w:lang w:val="en-US" w:eastAsia="zh-CN"/>
          <w14:textFill>
            <w14:solidFill>
              <w14:schemeClr w14:val="tx1"/>
            </w14:solidFill>
          </w14:textFill>
        </w:rPr>
        <w:t xml:space="preserve">    </w:t>
      </w:r>
      <w:r>
        <w:rPr>
          <w:color w:val="000000" w:themeColor="text1"/>
          <w:sz w:val="24"/>
          <w:szCs w:val="28"/>
          <w:highlight w:val="none"/>
          <w14:textFill>
            <w14:solidFill>
              <w14:schemeClr w14:val="tx1"/>
            </w14:solidFill>
          </w14:textFill>
        </w:rPr>
        <w:t>元</w:t>
      </w:r>
      <w:r>
        <w:rPr>
          <w:rFonts w:hint="eastAsia"/>
          <w:color w:val="000000" w:themeColor="text1"/>
          <w:sz w:val="24"/>
          <w:szCs w:val="28"/>
          <w:highlight w:val="none"/>
          <w14:textFill>
            <w14:solidFill>
              <w14:schemeClr w14:val="tx1"/>
            </w14:solidFill>
          </w14:textFill>
        </w:rPr>
        <w:t>（</w:t>
      </w:r>
      <w:r>
        <w:rPr>
          <w:color w:val="000000" w:themeColor="text1"/>
          <w:sz w:val="24"/>
          <w:szCs w:val="28"/>
          <w:highlight w:val="none"/>
          <w14:textFill>
            <w14:solidFill>
              <w14:schemeClr w14:val="tx1"/>
            </w14:solidFill>
          </w14:textFill>
        </w:rPr>
        <w:t>大写：</w:t>
      </w:r>
      <w:r>
        <w:rPr>
          <w:rFonts w:hint="eastAsia"/>
          <w:color w:val="000000" w:themeColor="text1"/>
          <w:sz w:val="24"/>
          <w:szCs w:val="28"/>
          <w:highlight w:val="none"/>
          <w:lang w:val="en-US" w:eastAsia="zh-CN"/>
          <w14:textFill>
            <w14:solidFill>
              <w14:schemeClr w14:val="tx1"/>
            </w14:solidFill>
          </w14:textFill>
        </w:rPr>
        <w:t xml:space="preserve">     </w:t>
      </w:r>
      <w:r>
        <w:rPr>
          <w:rFonts w:hint="eastAsia"/>
          <w:color w:val="000000" w:themeColor="text1"/>
          <w:sz w:val="24"/>
          <w:szCs w:val="28"/>
          <w:highlight w:val="none"/>
          <w14:textFill>
            <w14:solidFill>
              <w14:schemeClr w14:val="tx1"/>
            </w14:solidFill>
          </w14:textFill>
        </w:rPr>
        <w:t>）</w:t>
      </w:r>
      <w:r>
        <w:rPr>
          <w:color w:val="000000" w:themeColor="text1"/>
          <w:sz w:val="24"/>
          <w:szCs w:val="28"/>
          <w:highlight w:val="none"/>
          <w14:textFill>
            <w14:solidFill>
              <w14:schemeClr w14:val="tx1"/>
            </w14:solidFill>
          </w14:textFill>
        </w:rPr>
        <w:t>。</w:t>
      </w:r>
    </w:p>
    <w:p>
      <w:pPr>
        <w:keepNext w:val="0"/>
        <w:keepLines w:val="0"/>
        <w:pageBreakBefore w:val="0"/>
        <w:kinsoku/>
        <w:wordWrap/>
        <w:overflowPunct/>
        <w:topLinePunct w:val="0"/>
        <w:autoSpaceDE/>
        <w:autoSpaceDN/>
        <w:bidi w:val="0"/>
        <w:snapToGrid/>
        <w:spacing w:line="360" w:lineRule="auto"/>
        <w:ind w:leftChars="0" w:right="0" w:rightChars="0" w:firstLine="480"/>
        <w:rPr>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六、</w:t>
      </w:r>
      <w:r>
        <w:rPr>
          <w:b/>
          <w:bCs/>
          <w:color w:val="000000" w:themeColor="text1"/>
          <w:sz w:val="24"/>
          <w:szCs w:val="28"/>
          <w:highlight w:val="none"/>
          <w14:textFill>
            <w14:solidFill>
              <w14:schemeClr w14:val="tx1"/>
            </w14:solidFill>
          </w14:textFill>
        </w:rPr>
        <w:t>付款方式：</w:t>
      </w:r>
    </w:p>
    <w:p>
      <w:pPr>
        <w:keepNext w:val="0"/>
        <w:keepLines w:val="0"/>
        <w:pageBreakBefore w:val="0"/>
        <w:kinsoku/>
        <w:wordWrap/>
        <w:overflowPunct/>
        <w:topLinePunct w:val="0"/>
        <w:autoSpaceDE/>
        <w:autoSpaceDN/>
        <w:bidi w:val="0"/>
        <w:snapToGrid/>
        <w:spacing w:line="360" w:lineRule="auto"/>
        <w:ind w:leftChars="0" w:right="0" w:rightChars="0" w:firstLine="480"/>
        <w:rPr>
          <w:rFonts w:hint="eastAsia"/>
          <w:b/>
          <w:bCs/>
          <w:color w:val="000000" w:themeColor="text1"/>
          <w:sz w:val="24"/>
          <w:szCs w:val="28"/>
          <w:highlight w:val="none"/>
          <w14:textFill>
            <w14:solidFill>
              <w14:schemeClr w14:val="tx1"/>
            </w14:solidFill>
          </w14:textFill>
        </w:rPr>
      </w:pPr>
      <w:r>
        <w:rPr>
          <w:rFonts w:hint="eastAsia"/>
          <w:b/>
          <w:bCs/>
          <w:color w:val="000000" w:themeColor="text1"/>
          <w:sz w:val="24"/>
          <w:szCs w:val="28"/>
          <w:highlight w:val="none"/>
          <w14:textFill>
            <w14:solidFill>
              <w14:schemeClr w14:val="tx1"/>
            </w14:solidFill>
          </w14:textFill>
        </w:rPr>
        <w:t>关于付款周期的约定：合同签订进场施工后支付合同价的30%，工程完工验收合格付至合同价的</w:t>
      </w:r>
      <w:r>
        <w:rPr>
          <w:rFonts w:hint="eastAsia"/>
          <w:b/>
          <w:bCs/>
          <w:color w:val="000000" w:themeColor="text1"/>
          <w:sz w:val="24"/>
          <w:szCs w:val="28"/>
          <w:highlight w:val="none"/>
          <w:lang w:val="en-US" w:eastAsia="zh-CN"/>
          <w14:textFill>
            <w14:solidFill>
              <w14:schemeClr w14:val="tx1"/>
            </w14:solidFill>
          </w14:textFill>
        </w:rPr>
        <w:t>85</w:t>
      </w:r>
      <w:r>
        <w:rPr>
          <w:b/>
          <w:bCs/>
          <w:color w:val="000000" w:themeColor="text1"/>
          <w:sz w:val="24"/>
          <w:szCs w:val="28"/>
          <w:highlight w:val="none"/>
          <w14:textFill>
            <w14:solidFill>
              <w14:schemeClr w14:val="tx1"/>
            </w14:solidFill>
          </w14:textFill>
        </w:rPr>
        <w:t>%</w:t>
      </w:r>
      <w:r>
        <w:rPr>
          <w:rFonts w:hint="eastAsia"/>
          <w:b/>
          <w:bCs/>
          <w:color w:val="000000" w:themeColor="text1"/>
          <w:sz w:val="24"/>
          <w:szCs w:val="28"/>
          <w:highlight w:val="none"/>
          <w14:textFill>
            <w14:solidFill>
              <w14:schemeClr w14:val="tx1"/>
            </w14:solidFill>
          </w14:textFill>
        </w:rPr>
        <w:t>，竣工验收合格后按审定价一次性付清余款。</w:t>
      </w:r>
    </w:p>
    <w:p>
      <w:pPr>
        <w:pStyle w:val="40"/>
        <w:keepNext w:val="0"/>
        <w:keepLines w:val="0"/>
        <w:pageBreakBefore w:val="0"/>
        <w:numPr>
          <w:ilvl w:val="0"/>
          <w:numId w:val="2"/>
        </w:numPr>
        <w:kinsoku/>
        <w:wordWrap/>
        <w:overflowPunct/>
        <w:topLinePunct w:val="0"/>
        <w:autoSpaceDE/>
        <w:autoSpaceDN/>
        <w:bidi w:val="0"/>
        <w:snapToGrid/>
        <w:spacing w:line="360" w:lineRule="auto"/>
        <w:ind w:leftChars="0" w:right="0" w:rightChars="0" w:firstLine="482" w:firstLineChars="200"/>
        <w:rPr>
          <w:rFonts w:hint="eastAsia"/>
          <w:b/>
          <w:bCs/>
          <w:color w:val="000000" w:themeColor="text1"/>
          <w:sz w:val="24"/>
          <w:szCs w:val="28"/>
          <w:highlight w:val="none"/>
          <w:lang w:val="en-US" w:eastAsia="zh-CN"/>
          <w14:textFill>
            <w14:solidFill>
              <w14:schemeClr w14:val="tx1"/>
            </w14:solidFill>
          </w14:textFill>
        </w:rPr>
      </w:pPr>
      <w:r>
        <w:rPr>
          <w:rFonts w:hint="eastAsia"/>
          <w:b/>
          <w:bCs/>
          <w:color w:val="000000" w:themeColor="text1"/>
          <w:sz w:val="24"/>
          <w:szCs w:val="28"/>
          <w:highlight w:val="none"/>
          <w:lang w:val="en-US" w:eastAsia="zh-CN"/>
          <w14:textFill>
            <w14:solidFill>
              <w14:schemeClr w14:val="tx1"/>
            </w14:solidFill>
          </w14:textFill>
        </w:rPr>
        <w:t>发包人代表：</w:t>
      </w:r>
      <w:bookmarkStart w:id="42" w:name="OLE_LINK4"/>
      <w:r>
        <w:rPr>
          <w:rFonts w:hint="eastAsia"/>
          <w:b/>
          <w:bCs/>
          <w:color w:val="000000" w:themeColor="text1"/>
          <w:sz w:val="24"/>
          <w:szCs w:val="28"/>
          <w:highlight w:val="none"/>
          <w:u w:val="single"/>
          <w:lang w:val="en-US" w:eastAsia="zh-CN"/>
          <w14:textFill>
            <w14:solidFill>
              <w14:schemeClr w14:val="tx1"/>
            </w14:solidFill>
          </w14:textFill>
        </w:rPr>
        <w:t xml:space="preserve">           </w:t>
      </w:r>
      <w:bookmarkEnd w:id="42"/>
      <w:r>
        <w:rPr>
          <w:rFonts w:hint="eastAsia"/>
          <w:b/>
          <w:bCs/>
          <w:color w:val="000000" w:themeColor="text1"/>
          <w:sz w:val="24"/>
          <w:szCs w:val="28"/>
          <w:highlight w:val="none"/>
          <w:lang w:val="en-US" w:eastAsia="zh-CN"/>
          <w14:textFill>
            <w14:solidFill>
              <w14:schemeClr w14:val="tx1"/>
            </w14:solidFill>
          </w14:textFill>
        </w:rPr>
        <w:t xml:space="preserve"> 联系电话：</w:t>
      </w:r>
      <w:r>
        <w:rPr>
          <w:rFonts w:hint="eastAsia"/>
          <w:b/>
          <w:bCs/>
          <w:color w:val="000000" w:themeColor="text1"/>
          <w:sz w:val="24"/>
          <w:szCs w:val="28"/>
          <w:highlight w:val="none"/>
          <w:u w:val="single"/>
          <w:lang w:val="en-US" w:eastAsia="zh-CN"/>
          <w14:textFill>
            <w14:solidFill>
              <w14:schemeClr w14:val="tx1"/>
            </w14:solidFill>
          </w14:textFill>
        </w:rPr>
        <w:t xml:space="preserve">          </w:t>
      </w:r>
      <w:r>
        <w:rPr>
          <w:rFonts w:hint="eastAsia"/>
          <w:b/>
          <w:bCs/>
          <w:color w:val="000000" w:themeColor="text1"/>
          <w:sz w:val="24"/>
          <w:szCs w:val="28"/>
          <w:highlight w:val="none"/>
          <w:lang w:val="en-US" w:eastAsia="zh-CN"/>
          <w14:textFill>
            <w14:solidFill>
              <w14:schemeClr w14:val="tx1"/>
            </w14:solidFill>
          </w14:textFill>
        </w:rPr>
        <w:t xml:space="preserve"> </w:t>
      </w:r>
    </w:p>
    <w:p>
      <w:pPr>
        <w:pStyle w:val="2"/>
        <w:keepNext w:val="0"/>
        <w:keepLines w:val="0"/>
        <w:pageBreakBefore w:val="0"/>
        <w:numPr>
          <w:ilvl w:val="0"/>
          <w:numId w:val="0"/>
        </w:numPr>
        <w:kinsoku/>
        <w:wordWrap/>
        <w:overflowPunct/>
        <w:topLinePunct w:val="0"/>
        <w:autoSpaceDE/>
        <w:autoSpaceDN/>
        <w:bidi w:val="0"/>
        <w:snapToGrid/>
        <w:spacing w:line="360" w:lineRule="auto"/>
        <w:ind w:leftChars="0" w:right="0" w:rightChars="0" w:firstLine="964" w:firstLineChars="400"/>
        <w:rPr>
          <w:rFonts w:hint="default" w:ascii="Times New Roman" w:hAnsi="Times New Roman" w:eastAsia="宋体" w:cs="Times New Roman"/>
          <w:b/>
          <w:bCs/>
          <w:color w:val="000000" w:themeColor="text1"/>
          <w:kern w:val="0"/>
          <w:sz w:val="24"/>
          <w:szCs w:val="28"/>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8"/>
          <w:highlight w:val="none"/>
          <w:lang w:val="en-US" w:eastAsia="zh-CN" w:bidi="ar-SA"/>
          <w14:textFill>
            <w14:solidFill>
              <w14:schemeClr w14:val="tx1"/>
            </w14:solidFill>
          </w14:textFill>
        </w:rPr>
        <w:t>项目负责人：</w:t>
      </w:r>
      <w:r>
        <w:rPr>
          <w:rFonts w:hint="eastAsia"/>
          <w:b/>
          <w:bCs/>
          <w:color w:val="000000" w:themeColor="text1"/>
          <w:sz w:val="24"/>
          <w:szCs w:val="28"/>
          <w:highlight w:val="none"/>
          <w:u w:val="singl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8"/>
          <w:highlight w:val="none"/>
          <w:lang w:val="en-US" w:eastAsia="zh-CN" w:bidi="ar-SA"/>
          <w14:textFill>
            <w14:solidFill>
              <w14:schemeClr w14:val="tx1"/>
            </w14:solidFill>
          </w14:textFill>
        </w:rPr>
        <w:t xml:space="preserve"> 联系电话：            </w:t>
      </w:r>
    </w:p>
    <w:p>
      <w:pPr>
        <w:keepNext w:val="0"/>
        <w:keepLines w:val="0"/>
        <w:pageBreakBefore w:val="0"/>
        <w:kinsoku/>
        <w:wordWrap/>
        <w:overflowPunct/>
        <w:topLinePunct w:val="0"/>
        <w:autoSpaceDE/>
        <w:autoSpaceDN/>
        <w:bidi w:val="0"/>
        <w:snapToGrid/>
        <w:spacing w:line="360" w:lineRule="auto"/>
        <w:ind w:leftChars="0" w:right="0" w:rightChars="0" w:firstLine="482" w:firstLineChars="200"/>
        <w:rPr>
          <w:rFonts w:hint="default" w:eastAsia="宋体"/>
          <w:b/>
          <w:bCs/>
          <w:color w:val="000000" w:themeColor="text1"/>
          <w:sz w:val="24"/>
          <w:szCs w:val="28"/>
          <w:highlight w:val="none"/>
          <w:lang w:val="en-US" w:eastAsia="zh-CN"/>
          <w14:textFill>
            <w14:solidFill>
              <w14:schemeClr w14:val="tx1"/>
            </w14:solidFill>
          </w14:textFill>
        </w:rPr>
      </w:pPr>
      <w:r>
        <w:rPr>
          <w:rFonts w:hint="eastAsia"/>
          <w:b/>
          <w:bCs/>
          <w:color w:val="000000" w:themeColor="text1"/>
          <w:sz w:val="24"/>
          <w:szCs w:val="28"/>
          <w:highlight w:val="none"/>
          <w:lang w:val="en-US" w:eastAsia="zh-CN"/>
          <w14:textFill>
            <w14:solidFill>
              <w14:schemeClr w14:val="tx1"/>
            </w14:solidFill>
          </w14:textFill>
        </w:rPr>
        <w:t>八</w:t>
      </w:r>
      <w:r>
        <w:rPr>
          <w:rFonts w:hint="eastAsia"/>
          <w:b/>
          <w:bCs/>
          <w:color w:val="000000" w:themeColor="text1"/>
          <w:sz w:val="24"/>
          <w:szCs w:val="28"/>
          <w:highlight w:val="none"/>
          <w14:textFill>
            <w14:solidFill>
              <w14:schemeClr w14:val="tx1"/>
            </w14:solidFill>
          </w14:textFill>
        </w:rPr>
        <w:t>、</w:t>
      </w:r>
      <w:r>
        <w:rPr>
          <w:b/>
          <w:bCs/>
          <w:color w:val="000000" w:themeColor="text1"/>
          <w:sz w:val="24"/>
          <w:szCs w:val="28"/>
          <w:highlight w:val="none"/>
          <w14:textFill>
            <w14:solidFill>
              <w14:schemeClr w14:val="tx1"/>
            </w14:solidFill>
          </w14:textFill>
        </w:rPr>
        <w:t>组成合同的文件</w:t>
      </w:r>
      <w:r>
        <w:rPr>
          <w:rFonts w:hint="eastAsia"/>
          <w:b/>
          <w:bCs/>
          <w:color w:val="000000" w:themeColor="text1"/>
          <w:sz w:val="24"/>
          <w:szCs w:val="28"/>
          <w:highlight w:val="non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snapToGrid/>
        <w:spacing w:line="360" w:lineRule="auto"/>
        <w:ind w:leftChars="0" w:right="0" w:rightChars="0" w:firstLine="578" w:firstLineChars="241"/>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1</w:t>
      </w:r>
      <w:r>
        <w:rPr>
          <w:rFonts w:hint="eastAsia"/>
          <w:color w:val="000000" w:themeColor="text1"/>
          <w:sz w:val="24"/>
          <w:szCs w:val="28"/>
          <w:highlight w:val="none"/>
          <w14:textFill>
            <w14:solidFill>
              <w14:schemeClr w14:val="tx1"/>
            </w14:solidFill>
          </w14:textFill>
        </w:rPr>
        <w:t>、</w:t>
      </w:r>
      <w:r>
        <w:rPr>
          <w:color w:val="000000" w:themeColor="text1"/>
          <w:sz w:val="24"/>
          <w:szCs w:val="28"/>
          <w:highlight w:val="none"/>
          <w14:textFill>
            <w14:solidFill>
              <w14:schemeClr w14:val="tx1"/>
            </w14:solidFill>
          </w14:textFill>
        </w:rPr>
        <w:t>组成本合同的文件包括：</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（1）本合同协议书</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（2）中标通知书</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（3）招标文件及补充文件（如有）</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（4）投标书及其附件</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（5）标准、规范及有关技术文件</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（6）项目清单</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（7）项目报价单或预算书</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（8）其他合同文件</w:t>
      </w:r>
    </w:p>
    <w:p>
      <w:pPr>
        <w:keepNext w:val="0"/>
        <w:keepLines w:val="0"/>
        <w:pageBreakBefore w:val="0"/>
        <w:kinsoku/>
        <w:wordWrap/>
        <w:overflowPunct/>
        <w:topLinePunct w:val="0"/>
        <w:autoSpaceDE/>
        <w:autoSpaceDN/>
        <w:bidi w:val="0"/>
        <w:snapToGrid/>
        <w:spacing w:line="360" w:lineRule="auto"/>
        <w:ind w:leftChars="0" w:right="0" w:rightChars="0" w:firstLine="48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上述文件互相补充和解释，如有不明确或不一致之处，以合同约定次序在先者为准。</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szCs w:val="28"/>
          <w:highlight w:val="none"/>
          <w14:textFill>
            <w14:solidFill>
              <w14:schemeClr w14:val="tx1"/>
            </w14:solidFill>
          </w14:textFill>
        </w:rPr>
      </w:pPr>
      <w:r>
        <w:rPr>
          <w:color w:val="000000" w:themeColor="text1"/>
          <w:sz w:val="24"/>
          <w:szCs w:val="28"/>
          <w:highlight w:val="none"/>
          <w14:textFill>
            <w14:solidFill>
              <w14:schemeClr w14:val="tx1"/>
            </w14:solidFill>
          </w14:textFill>
        </w:rPr>
        <w:t>2</w:t>
      </w:r>
      <w:r>
        <w:rPr>
          <w:rFonts w:hint="eastAsia"/>
          <w:color w:val="000000" w:themeColor="text1"/>
          <w:sz w:val="24"/>
          <w:szCs w:val="28"/>
          <w:highlight w:val="none"/>
          <w14:textFill>
            <w14:solidFill>
              <w14:schemeClr w14:val="tx1"/>
            </w14:solidFill>
          </w14:textFill>
        </w:rPr>
        <w:t>、</w:t>
      </w:r>
      <w:r>
        <w:rPr>
          <w:color w:val="000000" w:themeColor="text1"/>
          <w:sz w:val="24"/>
          <w:szCs w:val="28"/>
          <w:highlight w:val="none"/>
          <w14:textFill>
            <w14:solidFill>
              <w14:schemeClr w14:val="tx1"/>
            </w14:solidFill>
          </w14:textFill>
        </w:rPr>
        <w:t>双方有关项目的洽商、变更等书面协议或文件视为本合同组成部分。</w:t>
      </w:r>
    </w:p>
    <w:p>
      <w:pPr>
        <w:keepNext w:val="0"/>
        <w:keepLines w:val="0"/>
        <w:pageBreakBefore w:val="0"/>
        <w:kinsoku/>
        <w:wordWrap/>
        <w:overflowPunct/>
        <w:topLinePunct w:val="0"/>
        <w:autoSpaceDE/>
        <w:autoSpaceDN/>
        <w:bidi w:val="0"/>
        <w:snapToGrid/>
        <w:spacing w:line="360" w:lineRule="auto"/>
        <w:ind w:leftChars="0" w:right="0" w:rightChars="0"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九</w:t>
      </w:r>
      <w:r>
        <w:rPr>
          <w:rFonts w:hint="eastAsia"/>
          <w:b/>
          <w:bCs/>
          <w:color w:val="000000" w:themeColor="text1"/>
          <w:sz w:val="24"/>
          <w:highlight w:val="none"/>
          <w14:textFill>
            <w14:solidFill>
              <w14:schemeClr w14:val="tx1"/>
            </w14:solidFill>
          </w14:textFill>
        </w:rPr>
        <w:t>、价款调整</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合同价格形式</w:t>
      </w:r>
      <w:r>
        <w:rPr>
          <w:rFonts w:hint="eastAsia"/>
          <w:color w:val="000000" w:themeColor="text1"/>
          <w:sz w:val="24"/>
          <w:highlight w:val="none"/>
          <w14:textFill>
            <w14:solidFill>
              <w14:schemeClr w14:val="tx1"/>
            </w14:solidFill>
          </w14:textFill>
        </w:rPr>
        <w:t>：清单</w:t>
      </w:r>
      <w:r>
        <w:rPr>
          <w:color w:val="000000" w:themeColor="text1"/>
          <w:sz w:val="24"/>
          <w:highlight w:val="none"/>
          <w14:textFill>
            <w14:solidFill>
              <w14:schemeClr w14:val="tx1"/>
            </w14:solidFill>
          </w14:textFill>
        </w:rPr>
        <w:t>计价</w:t>
      </w:r>
      <w:r>
        <w:rPr>
          <w:rFonts w:hint="eastAsia"/>
          <w:color w:val="000000" w:themeColor="text1"/>
          <w:sz w:val="24"/>
          <w:highlight w:val="none"/>
          <w14:textFill>
            <w14:solidFill>
              <w14:schemeClr w14:val="tx1"/>
            </w14:solidFill>
          </w14:textFill>
        </w:rPr>
        <w:t>合同</w:t>
      </w:r>
    </w:p>
    <w:p>
      <w:pPr>
        <w:keepNext w:val="0"/>
        <w:keepLines w:val="0"/>
        <w:pageBreakBefore w:val="0"/>
        <w:kinsoku/>
        <w:wordWrap/>
        <w:overflowPunct/>
        <w:topLinePunct w:val="0"/>
        <w:autoSpaceDE/>
        <w:autoSpaceDN/>
        <w:bidi w:val="0"/>
        <w:snapToGrid/>
        <w:spacing w:line="360" w:lineRule="auto"/>
        <w:ind w:leftChars="0" w:right="0" w:rightChars="0" w:firstLine="472" w:firstLineChars="200"/>
        <w:rPr>
          <w:color w:val="000000" w:themeColor="text1"/>
          <w:spacing w:val="-2"/>
          <w:sz w:val="24"/>
          <w:highlight w:val="none"/>
          <w14:textFill>
            <w14:solidFill>
              <w14:schemeClr w14:val="tx1"/>
            </w14:solidFill>
          </w14:textFill>
        </w:rPr>
      </w:pPr>
      <w:r>
        <w:rPr>
          <w:rFonts w:hint="eastAsia"/>
          <w:color w:val="000000" w:themeColor="text1"/>
          <w:spacing w:val="-2"/>
          <w:sz w:val="24"/>
          <w:highlight w:val="none"/>
          <w14:textFill>
            <w14:solidFill>
              <w14:schemeClr w14:val="tx1"/>
            </w14:solidFill>
          </w14:textFill>
        </w:rPr>
        <w:t>除下述风险范围内容可调整外，其余不可调整：</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（1）发包人要求的设计变更引起的工程量变化或直接造成的费用增加；</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（2）发包人要求的承包范围以外的附加工程量；</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（3）暂列金额及暂估价；</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（4）发包人确认的其它费用。</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报价如有遗漏、少算等，如：（1）投标单位对招标文件中所列的工程量清单项目未给出综合单价或没有计算工程造价的等种种情况，将视作投标人对招标人的优惠，并认为此项目的综合单价为零。（2）若图纸范围包含的内容在招标文件中所列的工程量清单未列，投标单位也没有自行增补，视为投标人对招标人的优惠。</w:t>
      </w:r>
    </w:p>
    <w:p>
      <w:pPr>
        <w:keepNext w:val="0"/>
        <w:keepLines w:val="0"/>
        <w:pageBreakBefore w:val="0"/>
        <w:kinsoku/>
        <w:wordWrap/>
        <w:overflowPunct/>
        <w:topLinePunct w:val="0"/>
        <w:autoSpaceDE/>
        <w:autoSpaceDN/>
        <w:bidi w:val="0"/>
        <w:snapToGrid/>
        <w:spacing w:line="360" w:lineRule="auto"/>
        <w:ind w:leftChars="0" w:right="0" w:rightChars="0"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风险范围以外合同价格的调整方法：</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（1）本工程以投标截止日前28天为基准，其后国家的法律、法规、规章和政策发生变化影响工程造价，按照省级或行业建设主管部门或其授权的工程造价管理机构发布的规定及合同的约定调整合同价格。</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2）工程量计量时，若发现工程量清单中出现的漏项或缺项部分按实结算，竣工结算的工程量按发承包双方在合同中约定应予计量且实际完成并验收合格的工程量和项目确定，完成发包人要求的合同以外的零星工作或发生非承包人责任事件的工程量按现场签证确定。</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（3）当招标工程量清单出现错误或者工程变更等发包人原因导致工程量清单偏差需要对综合单价应进行调整的，按照以下的计价办法结算：</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A、当工程因变更（包含增加项目或减少项目）、签证或清单工程量错误等原因导致实际工程量变化时，该项目的单价应按下列方式调整：</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①当Q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＞1.15Q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时：  S＝1.15Q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－1.15Q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②当Q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＜0.85Q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时：  S＝Q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 xml:space="preserve">式中：S－调整后的某一分部分项工程费结算价；  </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 xml:space="preserve">－最终完成的工程量 ；   </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Q</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 xml:space="preserve">－招标工程量清单中列出的工程量；  </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－按照最终完成工程量重新调整后的综合单价；</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－承包人在工程量清单中填报的综合单价。</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P1的确定方法如下：</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当P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&lt;P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×（1-L）×（1-15%）时，P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×（1-L）×（1-15%）</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当P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&gt;P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×（1+15%）时，P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1</w:t>
      </w: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×（1+15%）</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当P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&gt;P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×（1-L）×（1-15%）且P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&lt;P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×（1+15%）时，可不调整</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式中：P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0</w:t>
      </w:r>
      <w:r>
        <w:rPr>
          <w:rFonts w:hint="eastAsia" w:ascii="宋体" w:hAnsi="宋体" w:eastAsia="宋体" w:cs="宋体"/>
          <w:b/>
          <w:bCs/>
          <w:color w:val="000000" w:themeColor="text1"/>
          <w:sz w:val="24"/>
          <w:szCs w:val="24"/>
          <w:highlight w:val="none"/>
          <w:u w:val="single"/>
          <w14:textFill>
            <w14:solidFill>
              <w14:schemeClr w14:val="tx1"/>
            </w14:solidFill>
          </w14:textFill>
        </w:rPr>
        <w:t>－承包人在工程量清单中填报的综合单价；</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P</w:t>
      </w:r>
      <w:r>
        <w:rPr>
          <w:rFonts w:hint="eastAsia" w:ascii="宋体" w:hAnsi="宋体" w:eastAsia="宋体" w:cs="宋体"/>
          <w:b/>
          <w:bCs/>
          <w:color w:val="000000" w:themeColor="text1"/>
          <w:sz w:val="24"/>
          <w:szCs w:val="24"/>
          <w:highlight w:val="none"/>
          <w:u w:val="single"/>
          <w:vertAlign w:val="subscript"/>
          <w14:textFill>
            <w14:solidFill>
              <w14:schemeClr w14:val="tx1"/>
            </w14:solidFill>
          </w14:textFill>
        </w:rPr>
        <w:t>2</w:t>
      </w:r>
      <w:r>
        <w:rPr>
          <w:rFonts w:hint="eastAsia" w:ascii="宋体" w:hAnsi="宋体" w:eastAsia="宋体" w:cs="宋体"/>
          <w:b/>
          <w:bCs/>
          <w:color w:val="000000" w:themeColor="text1"/>
          <w:sz w:val="24"/>
          <w:szCs w:val="24"/>
          <w:highlight w:val="none"/>
          <w:u w:val="single"/>
          <w14:textFill>
            <w14:solidFill>
              <w14:schemeClr w14:val="tx1"/>
            </w14:solidFill>
          </w14:textFill>
        </w:rPr>
        <w:t>－发包人招标控制价相应项目的综合单价；</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bCs/>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L-承包人报价浮动率[报价浮动率L＝（1－中标价/招标控制价）×100%，中标价、招标控制价须扣除暂估价、暂列金额及相应的规费税金]。</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u w:val="single"/>
          <w14:textFill>
            <w14:solidFill>
              <w14:schemeClr w14:val="tx1"/>
            </w14:solidFill>
          </w14:textFill>
        </w:rPr>
        <w:t>B、已标价工程量清单中有适用于变更工程项目的，应采用该项目的单</w:t>
      </w:r>
      <w:r>
        <w:rPr>
          <w:rFonts w:hint="eastAsia" w:ascii="宋体" w:hAnsi="宋体" w:eastAsia="宋体" w:cs="宋体"/>
          <w:b/>
          <w:color w:val="000000" w:themeColor="text1"/>
          <w:sz w:val="24"/>
          <w:szCs w:val="24"/>
          <w:highlight w:val="none"/>
          <w:u w:val="single"/>
          <w14:textFill>
            <w14:solidFill>
              <w14:schemeClr w14:val="tx1"/>
            </w14:solidFill>
          </w14:textFill>
        </w:rPr>
        <w:t>价；已标价工程量清单中没有适用但有类似于变更工程项目的，可在合理范围内参照类似项目的单价。</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C、已标价工程量清单中没有适用也没有类似于变更工程项目的，应由承包人根据变更工程资料、计量规则和按招标控制价编制依据计价×（1-承包人报价浮动率）[报价浮动率L＝（1－中标价/招标控制价）×100%，中标价、招标控制价须扣除暂估价</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如有</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w:t>
      </w:r>
      <w:r>
        <w:rPr>
          <w:rFonts w:hint="eastAsia" w:ascii="宋体" w:hAnsi="宋体" w:eastAsia="宋体" w:cs="宋体"/>
          <w:b/>
          <w:color w:val="000000" w:themeColor="text1"/>
          <w:sz w:val="24"/>
          <w:szCs w:val="24"/>
          <w:highlight w:val="none"/>
          <w:u w:val="single"/>
          <w14:textFill>
            <w14:solidFill>
              <w14:schemeClr w14:val="tx1"/>
            </w14:solidFill>
          </w14:textFill>
        </w:rPr>
        <w:t>、暂列金额</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如有</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w:t>
      </w:r>
      <w:r>
        <w:rPr>
          <w:rFonts w:hint="eastAsia" w:ascii="宋体" w:hAnsi="宋体" w:eastAsia="宋体" w:cs="宋体"/>
          <w:b/>
          <w:color w:val="000000" w:themeColor="text1"/>
          <w:sz w:val="24"/>
          <w:szCs w:val="24"/>
          <w:highlight w:val="none"/>
          <w:u w:val="single"/>
          <w14:textFill>
            <w14:solidFill>
              <w14:schemeClr w14:val="tx1"/>
            </w14:solidFill>
          </w14:textFill>
        </w:rPr>
        <w:t>及相应的规费税金]提出变更工程项目的单价，并应报发包人确认后调整。</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D、已标价工程量清单中没有适用也没有类似于变更工程项目，且南通市建设工程造价管理处发布的信息价格缺价的，应由承包人根据变更工程资料、计量规则和计价办法和通过市场调查等取得有合法依据的市场价格提出变更工程项目的单价，并应报发包人确认后调整。</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4）因工程变更造成施工方案变更，引起措施项目发生变化时，措施项目费应按下列原则调整：单价措施项目变更原则同分部分项工程；总价措施项目中以费率报价的，费率不变；总价项目中以费用报价的，按投标时口径折算成费率调整；原措施费中没有的措施项目，由承包人提出适当的措施费变更要求，经发包人确认后调整。</w:t>
      </w:r>
    </w:p>
    <w:p>
      <w:pPr>
        <w:keepNext w:val="0"/>
        <w:keepLines w:val="0"/>
        <w:pageBreakBefore w:val="0"/>
        <w:widowControl w:val="0"/>
        <w:kinsoku/>
        <w:wordWrap/>
        <w:overflowPunct/>
        <w:topLinePunct w:val="0"/>
        <w:bidi w:val="0"/>
        <w:adjustRightInd w:val="0"/>
        <w:snapToGrid w:val="0"/>
        <w:spacing w:line="360" w:lineRule="auto"/>
        <w:ind w:left="0" w:firstLine="482" w:firstLineChars="200"/>
        <w:jc w:val="both"/>
        <w:textAlignment w:val="auto"/>
        <w:rPr>
          <w:rFonts w:hint="eastAsia" w:ascii="宋体" w:hAnsi="宋体" w:eastAsia="宋体" w:cs="宋体"/>
          <w:color w:val="000000" w:themeColor="text1"/>
          <w:sz w:val="24"/>
          <w:szCs w:val="24"/>
          <w:highlight w:val="none"/>
          <w:u w:val="single"/>
          <w:lang w:val="zh-CN"/>
          <w14:textFill>
            <w14:solidFill>
              <w14:schemeClr w14:val="tx1"/>
            </w14:solidFill>
          </w14:textFill>
        </w:rPr>
      </w:pPr>
      <w:r>
        <w:rPr>
          <w:rFonts w:hint="eastAsia" w:ascii="宋体" w:hAnsi="宋体" w:eastAsia="宋体" w:cs="宋体"/>
          <w:b/>
          <w:color w:val="000000" w:themeColor="text1"/>
          <w:sz w:val="24"/>
          <w:szCs w:val="24"/>
          <w:highlight w:val="none"/>
          <w:u w:val="single"/>
          <w14:textFill>
            <w14:solidFill>
              <w14:schemeClr w14:val="tx1"/>
            </w14:solidFill>
          </w14:textFill>
        </w:rPr>
        <w:t>（5）暂列金额及暂估价详见合同相关条款</w:t>
      </w:r>
      <w:r>
        <w:rPr>
          <w:rFonts w:hint="eastAsia" w:ascii="宋体" w:hAnsi="宋体" w:eastAsia="宋体" w:cs="宋体"/>
          <w:color w:val="000000" w:themeColor="text1"/>
          <w:sz w:val="24"/>
          <w:szCs w:val="24"/>
          <w:highlight w:val="none"/>
          <w:u w:val="single"/>
          <w:lang w:val="zh-CN"/>
          <w14:textFill>
            <w14:solidFill>
              <w14:schemeClr w14:val="tx1"/>
            </w14:solidFill>
          </w14:textFill>
        </w:rPr>
        <w:t>。</w:t>
      </w:r>
    </w:p>
    <w:p>
      <w:pPr>
        <w:spacing w:line="360" w:lineRule="auto"/>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本项目工期较短，人工费价格不可调整，承包人报价时应充分考虑施工期间的市场风险及政策性调整风险，竣工结算时一律不作调整。</w:t>
      </w:r>
    </w:p>
    <w:p>
      <w:pPr>
        <w:spacing w:line="360" w:lineRule="auto"/>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本工程工期较短，材料价格不可调整，投标人报价时应充分考虑施工期间各类建材的市场风险，竣工结算时一律不作调整。</w:t>
      </w:r>
    </w:p>
    <w:p>
      <w:pPr>
        <w:spacing w:line="48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十</w:t>
      </w:r>
      <w:r>
        <w:rPr>
          <w:rFonts w:hint="eastAsia"/>
          <w:b/>
          <w:bCs/>
          <w:color w:val="000000" w:themeColor="text1"/>
          <w:sz w:val="24"/>
          <w:highlight w:val="none"/>
          <w14:textFill>
            <w14:solidFill>
              <w14:schemeClr w14:val="tx1"/>
            </w14:solidFill>
          </w14:textFill>
        </w:rPr>
        <w:t>、履约</w:t>
      </w:r>
      <w:r>
        <w:rPr>
          <w:b/>
          <w:bCs/>
          <w:color w:val="000000" w:themeColor="text1"/>
          <w:sz w:val="24"/>
          <w:highlight w:val="none"/>
          <w14:textFill>
            <w14:solidFill>
              <w14:schemeClr w14:val="tx1"/>
            </w14:solidFill>
          </w14:textFill>
        </w:rPr>
        <w:t>保</w:t>
      </w:r>
      <w:r>
        <w:rPr>
          <w:rFonts w:hint="eastAsia"/>
          <w:b/>
          <w:bCs/>
          <w:color w:val="000000" w:themeColor="text1"/>
          <w:sz w:val="24"/>
          <w:highlight w:val="none"/>
          <w14:textFill>
            <w14:solidFill>
              <w14:schemeClr w14:val="tx1"/>
            </w14:solidFill>
          </w14:textFill>
        </w:rPr>
        <w:t>证</w:t>
      </w:r>
      <w:r>
        <w:rPr>
          <w:b/>
          <w:bCs/>
          <w:color w:val="000000" w:themeColor="text1"/>
          <w:sz w:val="24"/>
          <w:highlight w:val="none"/>
          <w14:textFill>
            <w14:solidFill>
              <w14:schemeClr w14:val="tx1"/>
            </w14:solidFill>
          </w14:textFill>
        </w:rPr>
        <w:t>金</w:t>
      </w:r>
    </w:p>
    <w:p>
      <w:pPr>
        <w:pStyle w:val="47"/>
        <w:shd w:val="clear" w:color="auto" w:fill="FFFFFF"/>
        <w:spacing w:before="0" w:beforeAutospacing="0" w:after="0" w:afterAutospacing="0" w:line="480" w:lineRule="exact"/>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项目成交后的履约保证金为项目成交价的10%，承包人的履约保证金须在成交通知书发出之日起至合同签订前汇入发包人账户（应当以保函或银行转账形式提交），承包人凭成交通知书与发包人签订合同。超期或未有协商，则视为自动放弃成交资格。</w:t>
      </w:r>
    </w:p>
    <w:p>
      <w:pPr>
        <w:pStyle w:val="47"/>
        <w:shd w:val="clear" w:color="auto" w:fill="FFFFFF"/>
        <w:spacing w:before="0" w:beforeAutospacing="0" w:after="0" w:afterAutospacing="0" w:line="480" w:lineRule="exact"/>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2、承包人全部履约合同义务，经发包人完工验收合格无质量、进度等问题的，发包人一次性退还履约保证金；在免费维修期内</w:t>
      </w:r>
      <w:r>
        <w:rPr>
          <w:color w:val="000000" w:themeColor="text1"/>
          <w:highlight w:val="none"/>
          <w14:textFill>
            <w14:solidFill>
              <w14:schemeClr w14:val="tx1"/>
            </w14:solidFill>
          </w14:textFill>
        </w:rPr>
        <w:t>，承包人</w:t>
      </w:r>
      <w:r>
        <w:rPr>
          <w:rFonts w:hint="eastAsia"/>
          <w:color w:val="000000" w:themeColor="text1"/>
          <w:highlight w:val="none"/>
          <w14:textFill>
            <w14:solidFill>
              <w14:schemeClr w14:val="tx1"/>
            </w14:solidFill>
          </w14:textFill>
        </w:rPr>
        <w:t>应无偿对本项目</w:t>
      </w:r>
      <w:r>
        <w:rPr>
          <w:color w:val="000000" w:themeColor="text1"/>
          <w:highlight w:val="none"/>
          <w14:textFill>
            <w14:solidFill>
              <w14:schemeClr w14:val="tx1"/>
            </w14:solidFill>
          </w14:textFill>
        </w:rPr>
        <w:t>施工范围内</w:t>
      </w:r>
      <w:r>
        <w:rPr>
          <w:rFonts w:hint="eastAsia"/>
          <w:color w:val="000000" w:themeColor="text1"/>
          <w:highlight w:val="none"/>
          <w14:textFill>
            <w14:solidFill>
              <w14:schemeClr w14:val="tx1"/>
            </w14:solidFill>
          </w14:textFill>
        </w:rPr>
        <w:t>出现的缺陷进行维修</w:t>
      </w:r>
      <w:r>
        <w:rPr>
          <w:color w:val="000000" w:themeColor="text1"/>
          <w:highlight w:val="none"/>
          <w14:textFill>
            <w14:solidFill>
              <w14:schemeClr w14:val="tx1"/>
            </w14:solidFill>
          </w14:textFill>
        </w:rPr>
        <w:t>。</w:t>
      </w:r>
      <w:r>
        <w:rPr>
          <w:rFonts w:hint="eastAsia"/>
          <w:b/>
          <w:color w:val="000000" w:themeColor="text1"/>
          <w:highlight w:val="none"/>
          <w:u w:val="single"/>
          <w14:textFill>
            <w14:solidFill>
              <w14:schemeClr w14:val="tx1"/>
            </w14:solidFill>
          </w14:textFill>
        </w:rPr>
        <w:t>本项目免费维修期1年，自</w:t>
      </w:r>
      <w:r>
        <w:rPr>
          <w:rFonts w:hint="eastAsia"/>
          <w:b/>
          <w:color w:val="000000" w:themeColor="text1"/>
          <w:highlight w:val="none"/>
          <w:u w:val="single"/>
          <w:lang w:val="en-US" w:eastAsia="zh-CN"/>
          <w14:textFill>
            <w14:solidFill>
              <w14:schemeClr w14:val="tx1"/>
            </w14:solidFill>
          </w14:textFill>
        </w:rPr>
        <w:t>竣工</w:t>
      </w:r>
      <w:r>
        <w:rPr>
          <w:rFonts w:hint="eastAsia"/>
          <w:b/>
          <w:color w:val="000000" w:themeColor="text1"/>
          <w:highlight w:val="none"/>
          <w:u w:val="single"/>
          <w14:textFill>
            <w14:solidFill>
              <w14:schemeClr w14:val="tx1"/>
            </w14:solidFill>
          </w14:textFill>
        </w:rPr>
        <w:t>验收合格起算。</w:t>
      </w:r>
    </w:p>
    <w:p>
      <w:pPr>
        <w:pStyle w:val="47"/>
        <w:shd w:val="clear" w:color="auto" w:fill="FFFFFF"/>
        <w:spacing w:before="0" w:beforeAutospacing="0" w:after="0" w:afterAutospacing="0" w:line="480" w:lineRule="exact"/>
        <w:ind w:firstLine="480" w:firstLineChars="200"/>
        <w:jc w:val="both"/>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发生以下情况的，履约保证金不予退还或部分退还：a.签订合同后，承包人不履行合同义务的，发包人有权全额扣除履约保证金，全额不予退还，同时发包人亦有权终止合同，承包人还须承担相应的法律赔偿责任。b.承包人在履约过程中发生违约行为，给发包人造成损失的，发包人有权在承包人缴纳的履约保证金中予以扣款，以弥补发包人经济损失，不足的部分承包人另外补齐。</w:t>
      </w:r>
    </w:p>
    <w:p>
      <w:pPr>
        <w:spacing w:line="48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一</w:t>
      </w:r>
      <w:r>
        <w:rPr>
          <w:rFonts w:hint="eastAsia"/>
          <w:b/>
          <w:bCs/>
          <w:color w:val="000000" w:themeColor="text1"/>
          <w:sz w:val="24"/>
          <w:highlight w:val="none"/>
          <w14:textFill>
            <w14:solidFill>
              <w14:schemeClr w14:val="tx1"/>
            </w14:solidFill>
          </w14:textFill>
        </w:rPr>
        <w:t>、安全文明施工与环境保护</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1、安全文明施工</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项目安全生产的达标目标及相应事项的约定：</w:t>
      </w:r>
    </w:p>
    <w:p>
      <w:pPr>
        <w:spacing w:line="480" w:lineRule="exact"/>
        <w:ind w:firstLine="361" w:firstLineChars="150"/>
        <w:rPr>
          <w:b/>
          <w:bCs/>
          <w:color w:val="000000" w:themeColor="text1"/>
          <w:sz w:val="24"/>
          <w:highlight w:val="none"/>
          <w:u w:val="single"/>
          <w14:textFill>
            <w14:solidFill>
              <w14:schemeClr w14:val="tx1"/>
            </w14:solidFill>
          </w14:textFill>
        </w:rPr>
      </w:pPr>
      <w:r>
        <w:rPr>
          <w:rFonts w:hint="eastAsia"/>
          <w:b/>
          <w:bCs/>
          <w:color w:val="000000" w:themeColor="text1"/>
          <w:sz w:val="24"/>
          <w:highlight w:val="none"/>
          <w:u w:val="single"/>
          <w14:textFill>
            <w14:solidFill>
              <w14:schemeClr w14:val="tx1"/>
            </w14:solidFill>
          </w14:textFill>
        </w:rPr>
        <w:t>（1）承包人须对本合同范围内所有施工范围和施工人员负全部安全施工责任。承包人应严格按《</w:t>
      </w:r>
      <w:r>
        <w:rPr>
          <w:rFonts w:hint="eastAsia"/>
          <w:b/>
          <w:bCs/>
          <w:color w:val="000000" w:themeColor="text1"/>
          <w:sz w:val="24"/>
          <w:highlight w:val="none"/>
          <w:u w:val="single"/>
          <w:lang w:val="en-US" w:eastAsia="zh-CN"/>
          <w14:textFill>
            <w14:solidFill>
              <w14:schemeClr w14:val="tx1"/>
            </w14:solidFill>
          </w14:textFill>
        </w:rPr>
        <w:t>水利</w:t>
      </w:r>
      <w:r>
        <w:rPr>
          <w:rFonts w:hint="eastAsia"/>
          <w:b/>
          <w:bCs/>
          <w:color w:val="000000" w:themeColor="text1"/>
          <w:sz w:val="24"/>
          <w:highlight w:val="none"/>
          <w:u w:val="single"/>
          <w14:textFill>
            <w14:solidFill>
              <w14:schemeClr w14:val="tx1"/>
            </w14:solidFill>
          </w14:textFill>
        </w:rPr>
        <w:t>工程</w:t>
      </w:r>
      <w:r>
        <w:rPr>
          <w:rFonts w:hint="eastAsia"/>
          <w:b/>
          <w:bCs/>
          <w:color w:val="000000" w:themeColor="text1"/>
          <w:sz w:val="24"/>
          <w:highlight w:val="none"/>
          <w:u w:val="single"/>
          <w:lang w:val="en-US" w:eastAsia="zh-CN"/>
          <w14:textFill>
            <w14:solidFill>
              <w14:schemeClr w14:val="tx1"/>
            </w14:solidFill>
          </w14:textFill>
        </w:rPr>
        <w:t>建设</w:t>
      </w:r>
      <w:r>
        <w:rPr>
          <w:rFonts w:hint="eastAsia"/>
          <w:b/>
          <w:bCs/>
          <w:color w:val="000000" w:themeColor="text1"/>
          <w:sz w:val="24"/>
          <w:highlight w:val="none"/>
          <w:u w:val="single"/>
          <w14:textFill>
            <w14:solidFill>
              <w14:schemeClr w14:val="tx1"/>
            </w14:solidFill>
          </w14:textFill>
        </w:rPr>
        <w:t>安全生产管理</w:t>
      </w:r>
      <w:r>
        <w:rPr>
          <w:rFonts w:hint="eastAsia"/>
          <w:b/>
          <w:bCs/>
          <w:color w:val="000000" w:themeColor="text1"/>
          <w:sz w:val="24"/>
          <w:highlight w:val="none"/>
          <w:u w:val="single"/>
          <w:lang w:val="en-US" w:eastAsia="zh-CN"/>
          <w14:textFill>
            <w14:solidFill>
              <w14:schemeClr w14:val="tx1"/>
            </w14:solidFill>
          </w14:textFill>
        </w:rPr>
        <w:t>规定</w:t>
      </w:r>
      <w:r>
        <w:rPr>
          <w:rFonts w:hint="eastAsia"/>
          <w:b/>
          <w:bCs/>
          <w:color w:val="000000" w:themeColor="text1"/>
          <w:sz w:val="24"/>
          <w:highlight w:val="none"/>
          <w:u w:val="single"/>
          <w14:textFill>
            <w14:solidFill>
              <w14:schemeClr w14:val="tx1"/>
            </w14:solidFill>
          </w14:textFill>
        </w:rPr>
        <w:t>》等法律、工程建设安全生产地有关管理规定，采取安全措施组织施工，承包人须对本合同范围内所有施工范围和施工人员负全部安全施工责任。若发生安全事故，一切责任由承包方承担。</w:t>
      </w:r>
    </w:p>
    <w:p>
      <w:pPr>
        <w:spacing w:line="480" w:lineRule="exact"/>
        <w:ind w:firstLine="361" w:firstLineChars="150"/>
        <w:rPr>
          <w:b/>
          <w:color w:val="000000" w:themeColor="text1"/>
          <w:sz w:val="24"/>
          <w:highlight w:val="none"/>
          <w:u w:val="single"/>
          <w14:textFill>
            <w14:solidFill>
              <w14:schemeClr w14:val="tx1"/>
            </w14:solidFill>
          </w14:textFill>
        </w:rPr>
      </w:pPr>
      <w:r>
        <w:rPr>
          <w:rFonts w:hint="eastAsia"/>
          <w:b/>
          <w:bCs/>
          <w:color w:val="000000" w:themeColor="text1"/>
          <w:sz w:val="24"/>
          <w:highlight w:val="none"/>
          <w:u w:val="single"/>
          <w14:textFill>
            <w14:solidFill>
              <w14:schemeClr w14:val="tx1"/>
            </w14:solidFill>
          </w14:textFill>
        </w:rPr>
        <w:t>（2）承包人对施工现场的安全生产负总责。承包人在工地现场必须按规定配备专职安全员。</w:t>
      </w:r>
    </w:p>
    <w:p>
      <w:pPr>
        <w:spacing w:line="480" w:lineRule="exact"/>
        <w:ind w:firstLine="360" w:firstLineChars="150"/>
        <w:rPr>
          <w:b/>
          <w:color w:val="000000" w:themeColor="text1"/>
          <w:sz w:val="24"/>
          <w:highlight w:val="none"/>
          <w:u w:val="single"/>
          <w14:textFill>
            <w14:solidFill>
              <w14:schemeClr w14:val="tx1"/>
            </w14:solidFill>
          </w14:textFill>
        </w:rPr>
      </w:pPr>
      <w:r>
        <w:rPr>
          <w:rFonts w:hint="eastAsia"/>
          <w:bCs/>
          <w:color w:val="000000" w:themeColor="text1"/>
          <w:sz w:val="24"/>
          <w:highlight w:val="none"/>
          <w14:textFill>
            <w14:solidFill>
              <w14:schemeClr w14:val="tx1"/>
            </w14:solidFill>
          </w14:textFill>
        </w:rPr>
        <w:t>（3）工程施工前和施工中，承包人项目经理或技术负责人应当对有关安全施工技术进行交底。</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工程施工前，承包人应根据法律、法规、规范、标准等要求，制定安全施工标准及要求，负责向施工作业班组、作业人员作出详细的说明。</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工程施工前，承包人使用的安全防护用具、机械设备、施工机具及配件，应当具有生产（制造）许可证、产品合格证，并在进入施工现场前进行查验。</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特种作业人员，必须按照国家有关规定经过专门的安全作业培训，并取得特种作业操作资格证书后，方可上岗作业。</w:t>
      </w:r>
    </w:p>
    <w:p>
      <w:pPr>
        <w:adjustRightInd w:val="0"/>
        <w:spacing w:line="480" w:lineRule="exact"/>
        <w:ind w:firstLine="480" w:firstLineChars="200"/>
        <w:textAlignment w:val="baseline"/>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（4）按照江苏省、南通市等安监部门安全文明生产的要求，做好安全技术教育及交底，落实所有安全技术措施和人身防护用品。</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2、关于治安保卫的特别约定：（1）现场有明显的围护、护栏、安全施工标牌、标语、警示灯，安全警示标志必须符合国家标准；（2）承包人管理、施工人员必须配置安全帽、明显的安全标志等；（3）如发生安全事故，责任一概由承包人承担 。</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3、文明施工</w:t>
      </w:r>
    </w:p>
    <w:p>
      <w:pPr>
        <w:spacing w:line="480" w:lineRule="exact"/>
        <w:ind w:firstLine="459"/>
        <w:rPr>
          <w:rFonts w:cs="Arial"/>
          <w:b/>
          <w:color w:val="000000" w:themeColor="text1"/>
          <w:sz w:val="24"/>
          <w:highlight w:val="none"/>
          <w14:textFill>
            <w14:solidFill>
              <w14:schemeClr w14:val="tx1"/>
            </w14:solidFill>
          </w14:textFill>
        </w:rPr>
      </w:pPr>
      <w:r>
        <w:rPr>
          <w:rFonts w:hint="eastAsia" w:cs="Arial"/>
          <w:bCs/>
          <w:color w:val="000000" w:themeColor="text1"/>
          <w:sz w:val="24"/>
          <w:highlight w:val="none"/>
          <w14:textFill>
            <w14:solidFill>
              <w14:schemeClr w14:val="tx1"/>
            </w14:solidFill>
          </w14:textFill>
        </w:rPr>
        <w:t>承包人必须按照文明工地标准和要求做好场地清理及相关工作。施工现场的材料堆放要整齐，机械停放有序，做到工完料清；遵守环境卫生管理的有关规定，符合清洁卫生要求，</w:t>
      </w:r>
      <w:r>
        <w:rPr>
          <w:rFonts w:hint="eastAsia"/>
          <w:bCs/>
          <w:color w:val="000000" w:themeColor="text1"/>
          <w:sz w:val="24"/>
          <w:highlight w:val="none"/>
          <w14:textFill>
            <w14:solidFill>
              <w14:schemeClr w14:val="tx1"/>
            </w14:solidFill>
          </w14:textFill>
        </w:rPr>
        <w:t>承担因自身原因违反有关规定造成的损失和罚款；</w:t>
      </w:r>
      <w:r>
        <w:rPr>
          <w:rFonts w:hint="eastAsia" w:cs="Arial"/>
          <w:bCs/>
          <w:color w:val="000000" w:themeColor="text1"/>
          <w:sz w:val="24"/>
          <w:highlight w:val="none"/>
          <w14:textFill>
            <w14:solidFill>
              <w14:schemeClr w14:val="tx1"/>
            </w14:solidFill>
          </w14:textFill>
        </w:rPr>
        <w:t>定期地将所有建筑垃圾从施工场地清除，并运出场外；交工前，将所有剩余的建筑材料运走或运至指定地点堆放，将所有施工机械和设备从施工场地运走。上述费用包含在合同价中。若承包人现场施工作业面、办公区、生活区内清洁卫生满足不了文明施工要求，发包人有权安排其它单位或个人打扫，具体发生的费用由承包人</w:t>
      </w:r>
      <w:r>
        <w:rPr>
          <w:rFonts w:cs="Arial"/>
          <w:bCs/>
          <w:color w:val="000000" w:themeColor="text1"/>
          <w:sz w:val="24"/>
          <w:highlight w:val="none"/>
          <w14:textFill>
            <w14:solidFill>
              <w14:schemeClr w14:val="tx1"/>
            </w14:solidFill>
          </w14:textFill>
        </w:rPr>
        <w:t>承担</w:t>
      </w:r>
      <w:r>
        <w:rPr>
          <w:rFonts w:hint="eastAsia" w:cs="Arial"/>
          <w:bCs/>
          <w:color w:val="000000" w:themeColor="text1"/>
          <w:sz w:val="24"/>
          <w:highlight w:val="none"/>
          <w14:textFill>
            <w14:solidFill>
              <w14:schemeClr w14:val="tx1"/>
            </w14:solidFill>
          </w14:textFill>
        </w:rPr>
        <w:t>。</w:t>
      </w:r>
      <w:r>
        <w:rPr>
          <w:rFonts w:hint="eastAsia"/>
          <w:bCs/>
          <w:color w:val="000000" w:themeColor="text1"/>
          <w:sz w:val="24"/>
          <w:highlight w:val="none"/>
          <w14:textFill>
            <w14:solidFill>
              <w14:schemeClr w14:val="tx1"/>
            </w14:solidFill>
          </w14:textFill>
        </w:rPr>
        <w:t>承包人必须服从发包人现场的统一管理和协调，做到文明施工。</w:t>
      </w:r>
    </w:p>
    <w:p>
      <w:pPr>
        <w:spacing w:line="48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二</w:t>
      </w:r>
      <w:r>
        <w:rPr>
          <w:rFonts w:hint="eastAsia"/>
          <w:b/>
          <w:bCs/>
          <w:color w:val="000000" w:themeColor="text1"/>
          <w:sz w:val="24"/>
          <w:highlight w:val="none"/>
          <w14:textFill>
            <w14:solidFill>
              <w14:schemeClr w14:val="tx1"/>
            </w14:solidFill>
          </w14:textFill>
        </w:rPr>
        <w:t>、工期延误</w:t>
      </w:r>
    </w:p>
    <w:p>
      <w:pPr>
        <w:spacing w:line="480" w:lineRule="exact"/>
        <w:ind w:firstLine="480" w:firstLineChars="200"/>
        <w:rPr>
          <w:b/>
          <w:bCs/>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1、因发包人原因导致工期延误</w:t>
      </w:r>
    </w:p>
    <w:p>
      <w:pPr>
        <w:spacing w:line="480" w:lineRule="exact"/>
        <w:ind w:firstLine="480" w:firstLineChars="200"/>
        <w:rPr>
          <w:bCs/>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因发包人原因导致工期延误的其他情形：</w:t>
      </w:r>
      <w:r>
        <w:rPr>
          <w:rFonts w:hint="eastAsia"/>
          <w:bCs/>
          <w:color w:val="000000" w:themeColor="text1"/>
          <w:sz w:val="24"/>
          <w:highlight w:val="none"/>
          <w14:textFill>
            <w14:solidFill>
              <w14:schemeClr w14:val="tx1"/>
            </w14:solidFill>
          </w14:textFill>
        </w:rPr>
        <w:t>双方在确定竣工日期、施工工期及各控制点工期时，已充分考虑可能出现的各种形式的暴雨、台风、高温天气、停水、停电、节假日、扰民和民扰、市政影响等不利因素及发包人分包工程的影响，因此施工过程中，除下列规定的情况外，不管发生任何情况，均不顺延工期。 A．发包人原因未在开工前提供施工场地，提供图纸的；B．因发包人原因造成工程延期开工、停建、缓建、暂停施工（不含勒令停工）C．因发包人原因提出的一次设计变更导致工程量增加超过合同总价的8%以上的；D．由市级以上有关部门正式发布和认定的自然灾害。</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上述情况发生后，承包人需就延误的内容，向发包人提交书面报告，办理延期手续，经发包人批准后方可顺延工期，否则工期不予顺延。</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2、因承包人原因导致工期延误</w:t>
      </w:r>
    </w:p>
    <w:p>
      <w:pPr>
        <w:spacing w:line="480" w:lineRule="exact"/>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因承包人原因造成工期延误，逾期竣工违约金的计算方法为：</w:t>
      </w:r>
    </w:p>
    <w:p>
      <w:pPr>
        <w:spacing w:line="480" w:lineRule="exact"/>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因承包人原因延误工期，在规定的工期前未能完成，工期每推迟一天，</w:t>
      </w:r>
      <w:r>
        <w:rPr>
          <w:rFonts w:hint="eastAsia"/>
          <w:bCs/>
          <w:color w:val="000000" w:themeColor="text1"/>
          <w:sz w:val="24"/>
          <w:highlight w:val="none"/>
          <w14:textFill>
            <w14:solidFill>
              <w14:schemeClr w14:val="tx1"/>
            </w14:solidFill>
          </w14:textFill>
        </w:rPr>
        <w:t>提交10</w:t>
      </w:r>
      <w:r>
        <w:rPr>
          <w:bCs/>
          <w:color w:val="000000" w:themeColor="text1"/>
          <w:sz w:val="24"/>
          <w:highlight w:val="none"/>
          <w14:textFill>
            <w14:solidFill>
              <w14:schemeClr w14:val="tx1"/>
            </w14:solidFill>
          </w14:textFill>
        </w:rPr>
        <w:t>0</w:t>
      </w:r>
      <w:r>
        <w:rPr>
          <w:rFonts w:hint="eastAsia"/>
          <w:bCs/>
          <w:color w:val="000000" w:themeColor="text1"/>
          <w:sz w:val="24"/>
          <w:highlight w:val="none"/>
          <w14:textFill>
            <w14:solidFill>
              <w14:schemeClr w14:val="tx1"/>
            </w14:solidFill>
          </w14:textFill>
        </w:rPr>
        <w:t>0</w:t>
      </w:r>
      <w:r>
        <w:rPr>
          <w:bCs/>
          <w:color w:val="000000" w:themeColor="text1"/>
          <w:sz w:val="24"/>
          <w:highlight w:val="none"/>
          <w14:textFill>
            <w14:solidFill>
              <w14:schemeClr w14:val="tx1"/>
            </w14:solidFill>
          </w14:textFill>
        </w:rPr>
        <w:t>元</w:t>
      </w:r>
      <w:r>
        <w:rPr>
          <w:rFonts w:hint="eastAsia"/>
          <w:bCs/>
          <w:color w:val="000000" w:themeColor="text1"/>
          <w:sz w:val="24"/>
          <w:highlight w:val="none"/>
          <w14:textFill>
            <w14:solidFill>
              <w14:schemeClr w14:val="tx1"/>
            </w14:solidFill>
          </w14:textFill>
        </w:rPr>
        <w:t>违约金给发包人，</w:t>
      </w:r>
      <w:r>
        <w:rPr>
          <w:bCs/>
          <w:color w:val="000000" w:themeColor="text1"/>
          <w:sz w:val="24"/>
          <w:highlight w:val="none"/>
          <w14:textFill>
            <w14:solidFill>
              <w14:schemeClr w14:val="tx1"/>
            </w14:solidFill>
          </w14:textFill>
        </w:rPr>
        <w:t>工期推迟</w:t>
      </w:r>
      <w:r>
        <w:rPr>
          <w:rFonts w:hint="eastAsia"/>
          <w:bCs/>
          <w:color w:val="000000" w:themeColor="text1"/>
          <w:sz w:val="24"/>
          <w:highlight w:val="none"/>
          <w14:textFill>
            <w14:solidFill>
              <w14:schemeClr w14:val="tx1"/>
            </w14:solidFill>
          </w14:textFill>
        </w:rPr>
        <w:t>超过7天，按每推迟一天，提交5000元违约金给发包人</w:t>
      </w:r>
      <w:r>
        <w:rPr>
          <w:bCs/>
          <w:color w:val="000000" w:themeColor="text1"/>
          <w:sz w:val="24"/>
          <w:highlight w:val="none"/>
          <w14:textFill>
            <w14:solidFill>
              <w14:schemeClr w14:val="tx1"/>
            </w14:solidFill>
          </w14:textFill>
        </w:rPr>
        <w:t>；超过</w:t>
      </w:r>
      <w:r>
        <w:rPr>
          <w:rFonts w:hint="eastAsia"/>
          <w:bCs/>
          <w:color w:val="000000" w:themeColor="text1"/>
          <w:sz w:val="24"/>
          <w:highlight w:val="none"/>
          <w14:textFill>
            <w14:solidFill>
              <w14:schemeClr w14:val="tx1"/>
            </w14:solidFill>
          </w14:textFill>
        </w:rPr>
        <w:t>15</w:t>
      </w:r>
      <w:r>
        <w:rPr>
          <w:bCs/>
          <w:color w:val="000000" w:themeColor="text1"/>
          <w:sz w:val="24"/>
          <w:highlight w:val="none"/>
          <w14:textFill>
            <w14:solidFill>
              <w14:schemeClr w14:val="tx1"/>
            </w14:solidFill>
          </w14:textFill>
        </w:rPr>
        <w:t>天</w:t>
      </w:r>
      <w:r>
        <w:rPr>
          <w:rFonts w:hint="eastAsia"/>
          <w:bCs/>
          <w:color w:val="000000" w:themeColor="text1"/>
          <w:sz w:val="24"/>
          <w:highlight w:val="none"/>
          <w14:textFill>
            <w14:solidFill>
              <w14:schemeClr w14:val="tx1"/>
            </w14:solidFill>
          </w14:textFill>
        </w:rPr>
        <w:t>的视为根本违约</w:t>
      </w:r>
      <w:r>
        <w:rPr>
          <w:bCs/>
          <w:color w:val="000000" w:themeColor="text1"/>
          <w:sz w:val="24"/>
          <w:highlight w:val="none"/>
          <w14:textFill>
            <w14:solidFill>
              <w14:schemeClr w14:val="tx1"/>
            </w14:solidFill>
          </w14:textFill>
        </w:rPr>
        <w:t>，发包人有权</w:t>
      </w:r>
      <w:r>
        <w:rPr>
          <w:rFonts w:hint="eastAsia"/>
          <w:bCs/>
          <w:color w:val="000000" w:themeColor="text1"/>
          <w:sz w:val="24"/>
          <w:highlight w:val="none"/>
          <w14:textFill>
            <w14:solidFill>
              <w14:schemeClr w14:val="tx1"/>
            </w14:solidFill>
          </w14:textFill>
        </w:rPr>
        <w:t>书面通知承包人解除合同，</w:t>
      </w:r>
      <w:r>
        <w:rPr>
          <w:bCs/>
          <w:color w:val="000000" w:themeColor="text1"/>
          <w:sz w:val="24"/>
          <w:highlight w:val="none"/>
          <w14:textFill>
            <w14:solidFill>
              <w14:schemeClr w14:val="tx1"/>
            </w14:solidFill>
          </w14:textFill>
        </w:rPr>
        <w:t>要求承包人清退出场，所完成的合格工程量按60%计算。</w:t>
      </w:r>
    </w:p>
    <w:p>
      <w:pPr>
        <w:spacing w:line="48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三</w:t>
      </w:r>
      <w:r>
        <w:rPr>
          <w:rFonts w:hint="eastAsia"/>
          <w:b/>
          <w:bCs/>
          <w:color w:val="000000" w:themeColor="text1"/>
          <w:sz w:val="24"/>
          <w:highlight w:val="none"/>
          <w14:textFill>
            <w14:solidFill>
              <w14:schemeClr w14:val="tx1"/>
            </w14:solidFill>
          </w14:textFill>
        </w:rPr>
        <w:t>、材料与设备</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承包人采购的材料：承包人在材料使用前，应有向监理报验、提供材料台账的程序。不合格的材料不得使用，发包人或监理抽查发现使用的材料无报验手续及材料台账（或材料台账不符合要求的）或不合格，可指令停工，要求返工剥离。所发生的费用由承包人承担，工期不予顺延。</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承包人供应的材料和设备，必须按有关规定提供相应的出厂证明、合格证、质保书、化验检测报告等，并负责对国家（或地方）规范、强制性条文规定的材料性能到发包人指定的检测机构进行施工前或施工后的检测，同时对材料数量、规格、质量由发包人现场工程师和监理人验收合格后方可进入施工现场使用。</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3</w:t>
      </w:r>
      <w:r>
        <w:rPr>
          <w:color w:val="000000" w:themeColor="text1"/>
          <w:sz w:val="24"/>
          <w:highlight w:val="none"/>
          <w14:textFill>
            <w14:solidFill>
              <w14:schemeClr w14:val="tx1"/>
            </w14:solidFill>
          </w14:textFill>
        </w:rPr>
        <w:t>）发包人和监理人有权对承包人提供的材料和设备进行抽检，对不符合设计要求及验收规范的材料和设备，有权终止使用，发生的一切损失和费用由承包人承担，由此延误的工期不予顺延。</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4</w:t>
      </w:r>
      <w:r>
        <w:rPr>
          <w:color w:val="000000" w:themeColor="text1"/>
          <w:sz w:val="24"/>
          <w:highlight w:val="none"/>
          <w14:textFill>
            <w14:solidFill>
              <w14:schemeClr w14:val="tx1"/>
            </w14:solidFill>
          </w14:textFill>
        </w:rPr>
        <w:t>）发包人和监理工程师对材料的决定或认可并不解除承包人应负的质量、工期的责任，也不免除承包人对材料应负的责任。承包人采购的材料与设计或规范要求不符时，承包人应按监理工程师要求的时间运出施工场地。重新采购符合要求的产品，承担由此发生的费用，由此延误的工期不予顺延。</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6</w:t>
      </w:r>
      <w:r>
        <w:rPr>
          <w:color w:val="000000" w:themeColor="text1"/>
          <w:sz w:val="24"/>
          <w:highlight w:val="none"/>
          <w14:textFill>
            <w14:solidFill>
              <w14:schemeClr w14:val="tx1"/>
            </w14:solidFill>
          </w14:textFill>
        </w:rPr>
        <w:t>）承包人在工程中使用不合格材料，除更换合格材料外，另向发包人支付</w:t>
      </w:r>
      <w:r>
        <w:rPr>
          <w:rFonts w:hint="eastAsia"/>
          <w:color w:val="000000" w:themeColor="text1"/>
          <w:sz w:val="24"/>
          <w:highlight w:val="none"/>
          <w14:textFill>
            <w14:solidFill>
              <w14:schemeClr w14:val="tx1"/>
            </w14:solidFill>
          </w14:textFill>
        </w:rPr>
        <w:t>5</w:t>
      </w:r>
      <w:r>
        <w:rPr>
          <w:color w:val="000000" w:themeColor="text1"/>
          <w:sz w:val="24"/>
          <w:highlight w:val="none"/>
          <w14:textFill>
            <w14:solidFill>
              <w14:schemeClr w14:val="tx1"/>
            </w14:solidFill>
          </w14:textFill>
        </w:rPr>
        <w:t xml:space="preserve">000元/次的违约金。 </w:t>
      </w:r>
    </w:p>
    <w:p>
      <w:pPr>
        <w:spacing w:line="48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7</w:t>
      </w:r>
      <w:r>
        <w:rPr>
          <w:color w:val="000000" w:themeColor="text1"/>
          <w:sz w:val="24"/>
          <w:highlight w:val="none"/>
          <w14:textFill>
            <w14:solidFill>
              <w14:schemeClr w14:val="tx1"/>
            </w14:solidFill>
          </w14:textFill>
        </w:rPr>
        <w:t>）承包人应对所有进场材料按有关规定进行严格把关，如因材料出现的质量和安全事故由承包人负全责，并赔偿相应损失。设计图纸没有规定的或图纸规定与清单不符的以清单为准，且经发包人和监理方事先认可。</w:t>
      </w:r>
    </w:p>
    <w:p>
      <w:pPr>
        <w:spacing w:line="480" w:lineRule="exact"/>
        <w:ind w:firstLine="482" w:firstLineChars="200"/>
        <w:rPr>
          <w:rFonts w:hint="eastAsia" w:eastAsia="宋体"/>
          <w:b/>
          <w:bCs/>
          <w:color w:val="000000" w:themeColor="text1"/>
          <w:sz w:val="24"/>
          <w:highlight w:val="none"/>
          <w:lang w:eastAsia="zh-CN"/>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四</w:t>
      </w:r>
      <w:r>
        <w:rPr>
          <w:rFonts w:hint="eastAsia"/>
          <w:b/>
          <w:bCs/>
          <w:color w:val="000000" w:themeColor="text1"/>
          <w:sz w:val="24"/>
          <w:highlight w:val="none"/>
          <w14:textFill>
            <w14:solidFill>
              <w14:schemeClr w14:val="tx1"/>
            </w14:solidFill>
          </w14:textFill>
        </w:rPr>
        <w:t>、验收和</w:t>
      </w:r>
      <w:r>
        <w:rPr>
          <w:rFonts w:hint="eastAsia"/>
          <w:b/>
          <w:bCs/>
          <w:color w:val="000000" w:themeColor="text1"/>
          <w:sz w:val="24"/>
          <w:highlight w:val="none"/>
          <w:lang w:val="en-US" w:eastAsia="zh-CN"/>
          <w14:textFill>
            <w14:solidFill>
              <w14:schemeClr w14:val="tx1"/>
            </w14:solidFill>
          </w14:textFill>
        </w:rPr>
        <w:t>审计</w:t>
      </w:r>
    </w:p>
    <w:p>
      <w:pPr>
        <w:spacing w:line="480" w:lineRule="exact"/>
        <w:ind w:firstLine="480" w:firstLineChars="200"/>
        <w:rPr>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承包人在工程完工后，即提请发包人及监理工程师共同对工程进行</w:t>
      </w:r>
      <w:r>
        <w:rPr>
          <w:rFonts w:hint="eastAsia"/>
          <w:b/>
          <w:bCs/>
          <w:color w:val="000000" w:themeColor="text1"/>
          <w:sz w:val="24"/>
          <w:highlight w:val="none"/>
          <w14:textFill>
            <w14:solidFill>
              <w14:schemeClr w14:val="tx1"/>
            </w14:solidFill>
          </w14:textFill>
        </w:rPr>
        <w:t>完工验收。</w:t>
      </w:r>
    </w:p>
    <w:p>
      <w:pPr>
        <w:spacing w:line="480" w:lineRule="exact"/>
        <w:ind w:firstLine="480" w:firstLineChars="200"/>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承包人在工程完工后10天内，提供经监理工程师审查通过的</w:t>
      </w:r>
      <w:r>
        <w:rPr>
          <w:bCs/>
          <w:color w:val="000000" w:themeColor="text1"/>
          <w:sz w:val="24"/>
          <w:highlight w:val="none"/>
          <w14:textFill>
            <w14:solidFill>
              <w14:schemeClr w14:val="tx1"/>
            </w14:solidFill>
          </w14:textFill>
        </w:rPr>
        <w:t>完</w:t>
      </w:r>
      <w:r>
        <w:rPr>
          <w:rFonts w:hint="eastAsia"/>
          <w:bCs/>
          <w:color w:val="000000" w:themeColor="text1"/>
          <w:sz w:val="24"/>
          <w:highlight w:val="none"/>
          <w14:textFill>
            <w14:solidFill>
              <w14:schemeClr w14:val="tx1"/>
            </w14:solidFill>
          </w14:textFill>
        </w:rPr>
        <w:t>工结算及其他资料，并递交发包人。若承包人原因不能提交结算资料的，发包人有权拒绝或延期审计并拒付工程款。否则由此带来的一切后果由承包人承担。</w:t>
      </w:r>
    </w:p>
    <w:p>
      <w:pPr>
        <w:spacing w:line="480" w:lineRule="exact"/>
        <w:ind w:firstLine="480" w:firstLineChars="200"/>
        <w:rPr>
          <w:rFonts w:hint="default" w:eastAsia="宋体"/>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工程完工验收后，承包人应配合发包人做好竣工决算审计及竣工验收工作。</w:t>
      </w:r>
    </w:p>
    <w:p>
      <w:pPr>
        <w:spacing w:line="48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五</w:t>
      </w:r>
      <w:r>
        <w:rPr>
          <w:rFonts w:hint="eastAsia"/>
          <w:b/>
          <w:bCs/>
          <w:color w:val="000000" w:themeColor="text1"/>
          <w:sz w:val="24"/>
          <w:highlight w:val="none"/>
          <w14:textFill>
            <w14:solidFill>
              <w14:schemeClr w14:val="tx1"/>
            </w14:solidFill>
          </w14:textFill>
        </w:rPr>
        <w:t>、承诺</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1.发包人承诺按照法律规定履行项目审批手续、筹集工程建设资金并按照合同约定的期限和方式支付合同价款。</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2.承包人承诺按照法律规定及合同约定组织完成工程施工，确保工程质量和安全，不转包及分包，并在缺陷责任期及保修期内承担相应的工程维修责任。</w:t>
      </w:r>
    </w:p>
    <w:p>
      <w:pPr>
        <w:adjustRightInd w:val="0"/>
        <w:snapToGrid w:val="0"/>
        <w:spacing w:line="48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3.发包人和承包人通过招投标形式签订合同的，双方理解并承诺不再就同一工程另行签订与合同实质性内容相背离的协议。</w:t>
      </w:r>
    </w:p>
    <w:p>
      <w:pPr>
        <w:adjustRightInd w:val="0"/>
        <w:snapToGrid w:val="0"/>
        <w:spacing w:line="480" w:lineRule="exact"/>
        <w:ind w:firstLine="480" w:firstLineChars="200"/>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4.乙方必须无条件配合财政、水利、审计单位和甲方对年度工程实际成本的延伸审计或资金使用情况检查。</w:t>
      </w:r>
    </w:p>
    <w:p>
      <w:pPr>
        <w:adjustRightInd w:val="0"/>
        <w:snapToGrid w:val="0"/>
        <w:spacing w:line="480" w:lineRule="exact"/>
        <w:ind w:firstLine="482" w:firstLineChars="200"/>
        <w:rPr>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十</w:t>
      </w:r>
      <w:r>
        <w:rPr>
          <w:rFonts w:hint="eastAsia"/>
          <w:b/>
          <w:bCs/>
          <w:color w:val="000000" w:themeColor="text1"/>
          <w:sz w:val="24"/>
          <w:highlight w:val="none"/>
          <w:lang w:val="en-US" w:eastAsia="zh-CN"/>
          <w14:textFill>
            <w14:solidFill>
              <w14:schemeClr w14:val="tx1"/>
            </w14:solidFill>
          </w14:textFill>
        </w:rPr>
        <w:t>六</w:t>
      </w:r>
      <w:r>
        <w:rPr>
          <w:rFonts w:hint="eastAsia"/>
          <w:b/>
          <w:bCs/>
          <w:color w:val="000000" w:themeColor="text1"/>
          <w:sz w:val="24"/>
          <w:highlight w:val="none"/>
          <w14:textFill>
            <w14:solidFill>
              <w14:schemeClr w14:val="tx1"/>
            </w14:solidFill>
          </w14:textFill>
        </w:rPr>
        <w:t>、争议解决</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双方有争议的进行协商解决，因合同及合同有关事项发生的争议协商不成的，按下列第</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w:t>
      </w:r>
      <w:r>
        <w:rPr>
          <w:color w:val="000000" w:themeColor="text1"/>
          <w:sz w:val="24"/>
          <w:highlight w:val="none"/>
          <w:u w:val="single"/>
          <w14:textFill>
            <w14:solidFill>
              <w14:schemeClr w14:val="tx1"/>
            </w14:solidFill>
          </w14:textFill>
        </w:rPr>
        <w:t>2</w:t>
      </w:r>
      <w:r>
        <w:rPr>
          <w:rFonts w:hint="eastAsia"/>
          <w:color w:val="000000" w:themeColor="text1"/>
          <w:sz w:val="24"/>
          <w:highlight w:val="none"/>
          <w:u w:val="single"/>
          <w14:textFill>
            <w14:solidFill>
              <w14:schemeClr w14:val="tx1"/>
            </w14:solidFill>
          </w14:textFill>
        </w:rPr>
        <w:t>）</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种方式解决：</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1</w:t>
      </w:r>
      <w:r>
        <w:rPr>
          <w:rFonts w:hint="eastAsia"/>
          <w:color w:val="000000" w:themeColor="text1"/>
          <w:sz w:val="24"/>
          <w:highlight w:val="none"/>
          <w14:textFill>
            <w14:solidFill>
              <w14:schemeClr w14:val="tx1"/>
            </w14:solidFill>
          </w14:textFill>
        </w:rPr>
        <w:t>）向</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仲裁委员会申请仲裁；</w:t>
      </w:r>
    </w:p>
    <w:p>
      <w:pPr>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2</w:t>
      </w:r>
      <w:r>
        <w:rPr>
          <w:rFonts w:hint="eastAsia"/>
          <w:color w:val="000000" w:themeColor="text1"/>
          <w:sz w:val="24"/>
          <w:highlight w:val="none"/>
          <w14:textFill>
            <w14:solidFill>
              <w14:schemeClr w14:val="tx1"/>
            </w14:solidFill>
          </w14:textFill>
        </w:rPr>
        <w:t>）向</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工程所在地</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人民法院起诉。</w:t>
      </w:r>
    </w:p>
    <w:p>
      <w:pPr>
        <w:adjustRightInd w:val="0"/>
        <w:snapToGrid w:val="0"/>
        <w:spacing w:line="48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十</w:t>
      </w:r>
      <w:r>
        <w:rPr>
          <w:rFonts w:hint="eastAsia" w:ascii="宋体" w:hAnsi="宋体"/>
          <w:b/>
          <w:bCs/>
          <w:color w:val="000000" w:themeColor="text1"/>
          <w:sz w:val="24"/>
          <w:highlight w:val="none"/>
          <w:lang w:val="en-US" w:eastAsia="zh-CN"/>
          <w14:textFill>
            <w14:solidFill>
              <w14:schemeClr w14:val="tx1"/>
            </w14:solidFill>
          </w14:textFill>
        </w:rPr>
        <w:t>七</w:t>
      </w:r>
      <w:r>
        <w:rPr>
          <w:rFonts w:hint="eastAsia" w:ascii="宋体" w:hAnsi="宋体"/>
          <w:b/>
          <w:bCs/>
          <w:color w:val="000000" w:themeColor="text1"/>
          <w:sz w:val="24"/>
          <w:highlight w:val="none"/>
          <w14:textFill>
            <w14:solidFill>
              <w14:schemeClr w14:val="tx1"/>
            </w14:solidFill>
          </w14:textFill>
        </w:rPr>
        <w:t>、签订时间</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本合同于</w:t>
      </w:r>
      <w:r>
        <w:rPr>
          <w:rFonts w:hint="eastAsia"/>
          <w:color w:val="000000" w:themeColor="text1"/>
          <w:sz w:val="24"/>
          <w:highlight w:val="none"/>
          <w:u w:val="single"/>
          <w14:textFill>
            <w14:solidFill>
              <w14:schemeClr w14:val="tx1"/>
            </w14:solidFill>
          </w14:textFill>
        </w:rPr>
        <w:t xml:space="preserve"> 202</w:t>
      </w:r>
      <w:r>
        <w:rPr>
          <w:rFonts w:hint="eastAsia"/>
          <w:color w:val="000000" w:themeColor="text1"/>
          <w:sz w:val="24"/>
          <w:highlight w:val="none"/>
          <w:u w:val="single"/>
          <w:lang w:val="en-US" w:eastAsia="zh-CN"/>
          <w14:textFill>
            <w14:solidFill>
              <w14:schemeClr w14:val="tx1"/>
            </w14:solidFill>
          </w14:textFill>
        </w:rPr>
        <w:t xml:space="preserve">5 </w:t>
      </w:r>
      <w:r>
        <w:rPr>
          <w:rFonts w:hint="eastAsia"/>
          <w:color w:val="000000" w:themeColor="text1"/>
          <w:sz w:val="24"/>
          <w:highlight w:val="none"/>
          <w14:textFill>
            <w14:solidFill>
              <w14:schemeClr w14:val="tx1"/>
            </w14:solidFill>
          </w14:textFill>
        </w:rPr>
        <w:t>年</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u w:val="single"/>
          <w14:textFill>
            <w14:solidFill>
              <w14:schemeClr w14:val="tx1"/>
            </w14:solidFill>
          </w14:textFill>
        </w:rPr>
        <w:t xml:space="preserve">  </w:t>
      </w:r>
      <w:r>
        <w:rPr>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日签订。</w:t>
      </w:r>
    </w:p>
    <w:p>
      <w:pPr>
        <w:adjustRightInd w:val="0"/>
        <w:snapToGrid w:val="0"/>
        <w:spacing w:line="48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十八、签订地点</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本合同在</w:t>
      </w:r>
      <w:r>
        <w:rPr>
          <w:rFonts w:hint="eastAsia"/>
          <w:color w:val="000000" w:themeColor="text1"/>
          <w:sz w:val="24"/>
          <w:highlight w:val="none"/>
          <w:u w:val="single"/>
          <w14:textFill>
            <w14:solidFill>
              <w14:schemeClr w14:val="tx1"/>
            </w14:solidFill>
          </w14:textFill>
        </w:rPr>
        <w:t xml:space="preserve"> 南通市</w:t>
      </w:r>
      <w:r>
        <w:rPr>
          <w:color w:val="000000" w:themeColor="text1"/>
          <w:sz w:val="24"/>
          <w:highlight w:val="none"/>
          <w:u w:val="single"/>
          <w14:textFill>
            <w14:solidFill>
              <w14:schemeClr w14:val="tx1"/>
            </w14:solidFill>
          </w14:textFill>
        </w:rPr>
        <w:t>通吕</w:t>
      </w:r>
      <w:r>
        <w:rPr>
          <w:rFonts w:hint="eastAsia"/>
          <w:color w:val="000000" w:themeColor="text1"/>
          <w:sz w:val="24"/>
          <w:highlight w:val="none"/>
          <w:u w:val="single"/>
          <w14:textFill>
            <w14:solidFill>
              <w14:schemeClr w14:val="tx1"/>
            </w14:solidFill>
          </w14:textFill>
        </w:rPr>
        <w:t>运河</w:t>
      </w:r>
      <w:r>
        <w:rPr>
          <w:color w:val="000000" w:themeColor="text1"/>
          <w:sz w:val="24"/>
          <w:highlight w:val="none"/>
          <w:u w:val="single"/>
          <w14:textFill>
            <w14:solidFill>
              <w14:schemeClr w14:val="tx1"/>
            </w14:solidFill>
          </w14:textFill>
        </w:rPr>
        <w:t>水利工程管理所</w:t>
      </w:r>
      <w:r>
        <w:rPr>
          <w:rFonts w:hint="eastAsia"/>
          <w:color w:val="000000" w:themeColor="text1"/>
          <w:sz w:val="24"/>
          <w:highlight w:val="none"/>
          <w:u w:val="single"/>
          <w14:textFill>
            <w14:solidFill>
              <w14:schemeClr w14:val="tx1"/>
            </w14:solidFill>
          </w14:textFill>
        </w:rPr>
        <w:t>签订</w:t>
      </w:r>
      <w:r>
        <w:rPr>
          <w:rFonts w:hint="eastAsia"/>
          <w:color w:val="000000" w:themeColor="text1"/>
          <w:sz w:val="24"/>
          <w:highlight w:val="none"/>
          <w14:textFill>
            <w14:solidFill>
              <w14:schemeClr w14:val="tx1"/>
            </w14:solidFill>
          </w14:textFill>
        </w:rPr>
        <w:t>。</w:t>
      </w:r>
    </w:p>
    <w:p>
      <w:pPr>
        <w:adjustRightInd w:val="0"/>
        <w:snapToGrid w:val="0"/>
        <w:spacing w:line="480" w:lineRule="exact"/>
        <w:ind w:firstLine="482" w:firstLineChars="200"/>
        <w:rPr>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十九、补充协议</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合同未尽事宜，合同当事人另行签订补充协议，补充协议是合同的组成部分。</w:t>
      </w:r>
    </w:p>
    <w:p>
      <w:pPr>
        <w:adjustRightInd w:val="0"/>
        <w:snapToGrid w:val="0"/>
        <w:spacing w:line="48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二十、合同生效</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本合同自</w:t>
      </w:r>
      <w:r>
        <w:rPr>
          <w:rFonts w:hint="eastAsia"/>
          <w:color w:val="000000" w:themeColor="text1"/>
          <w:sz w:val="24"/>
          <w:highlight w:val="none"/>
          <w:u w:val="single"/>
          <w14:textFill>
            <w14:solidFill>
              <w14:schemeClr w14:val="tx1"/>
            </w14:solidFill>
          </w14:textFill>
        </w:rPr>
        <w:t xml:space="preserve">双方签字、盖章后 </w:t>
      </w:r>
      <w:r>
        <w:rPr>
          <w:rFonts w:hint="eastAsia"/>
          <w:color w:val="000000" w:themeColor="text1"/>
          <w:sz w:val="24"/>
          <w:highlight w:val="none"/>
          <w14:textFill>
            <w14:solidFill>
              <w14:schemeClr w14:val="tx1"/>
            </w14:solidFill>
          </w14:textFill>
        </w:rPr>
        <w:t>生效。</w:t>
      </w:r>
    </w:p>
    <w:p>
      <w:pPr>
        <w:adjustRightInd w:val="0"/>
        <w:snapToGrid w:val="0"/>
        <w:spacing w:line="480" w:lineRule="exact"/>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二十一、合同份数</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本合同一式</w:t>
      </w:r>
      <w:r>
        <w:rPr>
          <w:rFonts w:hint="eastAsia"/>
          <w:color w:val="000000" w:themeColor="text1"/>
          <w:sz w:val="24"/>
          <w:highlight w:val="none"/>
          <w:u w:val="single"/>
          <w14:textFill>
            <w14:solidFill>
              <w14:schemeClr w14:val="tx1"/>
            </w14:solidFill>
          </w14:textFill>
        </w:rPr>
        <w:t xml:space="preserve">  肆 </w:t>
      </w:r>
      <w:r>
        <w:rPr>
          <w:rFonts w:hint="eastAsia"/>
          <w:color w:val="000000" w:themeColor="text1"/>
          <w:sz w:val="24"/>
          <w:highlight w:val="none"/>
          <w14:textFill>
            <w14:solidFill>
              <w14:schemeClr w14:val="tx1"/>
            </w14:solidFill>
          </w14:textFill>
        </w:rPr>
        <w:t>份，均具有同等法律效力，发包人执</w:t>
      </w:r>
      <w:r>
        <w:rPr>
          <w:rFonts w:hint="eastAsia"/>
          <w:color w:val="000000" w:themeColor="text1"/>
          <w:sz w:val="24"/>
          <w:highlight w:val="none"/>
          <w:u w:val="single"/>
          <w14:textFill>
            <w14:solidFill>
              <w14:schemeClr w14:val="tx1"/>
            </w14:solidFill>
          </w14:textFill>
        </w:rPr>
        <w:t xml:space="preserve">  贰  </w:t>
      </w:r>
      <w:r>
        <w:rPr>
          <w:rFonts w:hint="eastAsia"/>
          <w:color w:val="000000" w:themeColor="text1"/>
          <w:sz w:val="24"/>
          <w:highlight w:val="none"/>
          <w14:textFill>
            <w14:solidFill>
              <w14:schemeClr w14:val="tx1"/>
            </w14:solidFill>
          </w14:textFill>
        </w:rPr>
        <w:t>份，承包人执</w:t>
      </w:r>
      <w:r>
        <w:rPr>
          <w:rFonts w:hint="eastAsia"/>
          <w:color w:val="000000" w:themeColor="text1"/>
          <w:sz w:val="24"/>
          <w:highlight w:val="none"/>
          <w:u w:val="single"/>
          <w14:textFill>
            <w14:solidFill>
              <w14:schemeClr w14:val="tx1"/>
            </w14:solidFill>
          </w14:textFill>
        </w:rPr>
        <w:t xml:space="preserve"> 贰  </w:t>
      </w:r>
      <w:r>
        <w:rPr>
          <w:rFonts w:hint="eastAsia"/>
          <w:color w:val="000000" w:themeColor="text1"/>
          <w:sz w:val="24"/>
          <w:highlight w:val="none"/>
          <w14:textFill>
            <w14:solidFill>
              <w14:schemeClr w14:val="tx1"/>
            </w14:solidFill>
          </w14:textFill>
        </w:rPr>
        <w:t>份。</w:t>
      </w:r>
    </w:p>
    <w:p>
      <w:pPr>
        <w:spacing w:line="400" w:lineRule="exact"/>
        <w:rPr>
          <w:color w:val="000000" w:themeColor="text1"/>
          <w:sz w:val="24"/>
          <w:highlight w:val="none"/>
          <w14:textFill>
            <w14:solidFill>
              <w14:schemeClr w14:val="tx1"/>
            </w14:solidFill>
          </w14:textFill>
        </w:rPr>
      </w:pPr>
    </w:p>
    <w:p>
      <w:pPr>
        <w:spacing w:line="360" w:lineRule="auto"/>
        <w:ind w:firstLine="480" w:firstLineChars="200"/>
        <w:rPr>
          <w:rFonts w:eastAsia="仿宋_GB2312"/>
          <w:color w:val="000000" w:themeColor="text1"/>
          <w:kern w:val="0"/>
          <w:sz w:val="24"/>
          <w:highlight w:val="none"/>
          <w14:textFill>
            <w14:solidFill>
              <w14:schemeClr w14:val="tx1"/>
            </w14:solidFill>
          </w14:textFill>
        </w:rPr>
      </w:pPr>
    </w:p>
    <w:p>
      <w:pPr>
        <w:spacing w:line="360" w:lineRule="auto"/>
        <w:ind w:firstLine="480" w:firstLineChars="200"/>
        <w:rPr>
          <w:rFonts w:eastAsia="仿宋_GB2312"/>
          <w:color w:val="000000" w:themeColor="text1"/>
          <w:kern w:val="0"/>
          <w:sz w:val="24"/>
          <w:highlight w:val="none"/>
          <w14:textFill>
            <w14:solidFill>
              <w14:schemeClr w14:val="tx1"/>
            </w14:solidFill>
          </w14:textFill>
        </w:rPr>
      </w:pPr>
    </w:p>
    <w:p>
      <w:pPr>
        <w:spacing w:line="400" w:lineRule="exact"/>
        <w:ind w:firstLine="480" w:firstLineChars="200"/>
        <w:rPr>
          <w:color w:val="000000" w:themeColor="text1"/>
          <w:sz w:val="24"/>
          <w:highlight w:val="none"/>
          <w:u w:val="single"/>
          <w14:textFill>
            <w14:solidFill>
              <w14:schemeClr w14:val="tx1"/>
            </w14:solidFill>
          </w14:textFill>
        </w:rPr>
      </w:pPr>
      <w:r>
        <w:rPr>
          <w:rFonts w:hint="eastAsia"/>
          <w:color w:val="000000" w:themeColor="text1"/>
          <w:sz w:val="24"/>
          <w:highlight w:val="none"/>
          <w14:textFill>
            <w14:solidFill>
              <w14:schemeClr w14:val="tx1"/>
            </w14:solidFill>
          </w14:textFill>
        </w:rPr>
        <w:t xml:space="preserve">发包人：  (公章)                        </w:t>
      </w:r>
      <w:r>
        <w:rPr>
          <w:color w:val="000000" w:themeColor="text1"/>
          <w:sz w:val="24"/>
          <w:highlight w:val="non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承包人：  (公章)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法定代表人或其委托代理人：              法定代表人或其委托代理人：</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（签字）                               （签字）</w:t>
      </w:r>
    </w:p>
    <w:p>
      <w:pPr>
        <w:tabs>
          <w:tab w:val="left" w:pos="4410"/>
        </w:tabs>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组织机构代码：</w:t>
      </w:r>
      <w:r>
        <w:rPr>
          <w:rFonts w:hint="eastAsia"/>
          <w:color w:val="000000" w:themeColor="text1"/>
          <w:sz w:val="24"/>
          <w:highlight w:val="none"/>
          <w:u w:val="single"/>
          <w14:textFill>
            <w14:solidFill>
              <w14:schemeClr w14:val="tx1"/>
            </w14:solidFill>
          </w14:textFill>
        </w:rPr>
        <w:t xml:space="preserve">       </w:t>
      </w:r>
      <w:r>
        <w:rPr>
          <w:rFonts w:hint="eastAsia"/>
          <w:color w:val="000000" w:themeColor="text1"/>
          <w:sz w:val="24"/>
          <w:highlight w:val="none"/>
          <w14:textFill>
            <w14:solidFill>
              <w14:schemeClr w14:val="tx1"/>
            </w14:solidFill>
          </w14:textFill>
        </w:rPr>
        <w:t xml:space="preserve">             组织机构代码：</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地  址：</w:t>
      </w:r>
      <w:r>
        <w:rPr>
          <w:rFonts w:hint="eastAsia"/>
          <w:color w:val="000000" w:themeColor="text1"/>
          <w:sz w:val="24"/>
          <w:highlight w:val="none"/>
          <w:u w:val="single"/>
          <w14:textFill>
            <w14:solidFill>
              <w14:schemeClr w14:val="tx1"/>
            </w14:solidFill>
          </w14:textFill>
        </w:rPr>
        <w:t xml:space="preserve">     </w:t>
      </w:r>
      <w:r>
        <w:rPr>
          <w:rFonts w:hint="eastAsia"/>
          <w:color w:val="000000" w:themeColor="text1"/>
          <w:sz w:val="24"/>
          <w:highlight w:val="none"/>
          <w14:textFill>
            <w14:solidFill>
              <w14:schemeClr w14:val="tx1"/>
            </w14:solidFill>
          </w14:textFill>
        </w:rPr>
        <w:t xml:space="preserve">             地  址：</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邮政编码：</w:t>
      </w:r>
      <w:r>
        <w:rPr>
          <w:rFonts w:hint="eastAsia"/>
          <w:color w:val="000000" w:themeColor="text1"/>
          <w:sz w:val="24"/>
          <w:highlight w:val="none"/>
          <w:u w:val="single"/>
          <w14:textFill>
            <w14:solidFill>
              <w14:schemeClr w14:val="tx1"/>
            </w14:solidFill>
          </w14:textFill>
        </w:rPr>
        <w:t xml:space="preserve">      </w:t>
      </w:r>
      <w:r>
        <w:rPr>
          <w:rFonts w:hint="eastAsia"/>
          <w:color w:val="000000" w:themeColor="text1"/>
          <w:sz w:val="24"/>
          <w:highlight w:val="none"/>
          <w14:textFill>
            <w14:solidFill>
              <w14:schemeClr w14:val="tx1"/>
            </w14:solidFill>
          </w14:textFill>
        </w:rPr>
        <w:t xml:space="preserve">            邮政编码：</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法定代表人：</w:t>
      </w:r>
      <w:r>
        <w:rPr>
          <w:rFonts w:hint="eastAsia"/>
          <w:color w:val="000000" w:themeColor="text1"/>
          <w:sz w:val="24"/>
          <w:highlight w:val="none"/>
          <w:u w:val="single"/>
          <w14:textFill>
            <w14:solidFill>
              <w14:schemeClr w14:val="tx1"/>
            </w14:solidFill>
          </w14:textFill>
        </w:rPr>
        <w:t xml:space="preserve">           </w:t>
      </w:r>
      <w:r>
        <w:rPr>
          <w:rFonts w:hint="eastAsia"/>
          <w:color w:val="000000" w:themeColor="text1"/>
          <w:sz w:val="24"/>
          <w:highlight w:val="none"/>
          <w14:textFill>
            <w14:solidFill>
              <w14:schemeClr w14:val="tx1"/>
            </w14:solidFill>
          </w14:textFill>
        </w:rPr>
        <w:t xml:space="preserve">             法定代表人：</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委托代理人：</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委托代理人：</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电  话：</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电  话：</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传  真：</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传  真：</w:t>
      </w:r>
      <w:r>
        <w:rPr>
          <w:rFonts w:hint="eastAsia"/>
          <w:color w:val="000000" w:themeColor="text1"/>
          <w:sz w:val="24"/>
          <w:highlight w:val="none"/>
          <w:u w:val="single"/>
          <w14:textFill>
            <w14:solidFill>
              <w14:schemeClr w14:val="tx1"/>
            </w14:solidFill>
          </w14:textFill>
        </w:rPr>
        <w:t xml:space="preserve">     /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电子信箱：</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电子信箱：</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开户银行：</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开户银行：</w:t>
      </w:r>
      <w:r>
        <w:rPr>
          <w:rFonts w:hint="eastAsia"/>
          <w:color w:val="000000" w:themeColor="text1"/>
          <w:sz w:val="24"/>
          <w:highlight w:val="none"/>
          <w:u w:val="single"/>
          <w14:textFill>
            <w14:solidFill>
              <w14:schemeClr w14:val="tx1"/>
            </w14:solidFill>
          </w14:textFill>
        </w:rPr>
        <w:t xml:space="preserve">                  </w:t>
      </w:r>
    </w:p>
    <w:p>
      <w:pPr>
        <w:spacing w:line="400" w:lineRule="exact"/>
        <w:ind w:firstLine="480" w:firstLineChars="200"/>
        <w:rPr>
          <w:rFonts w:hint="eastAsia"/>
          <w:color w:val="000000" w:themeColor="text1"/>
          <w:sz w:val="24"/>
          <w:highlight w:val="none"/>
          <w:u w:val="single"/>
          <w14:textFill>
            <w14:solidFill>
              <w14:schemeClr w14:val="tx1"/>
            </w14:solidFill>
          </w14:textFill>
        </w:rPr>
      </w:pPr>
      <w:r>
        <w:rPr>
          <w:rFonts w:hint="eastAsia"/>
          <w:color w:val="000000" w:themeColor="text1"/>
          <w:sz w:val="24"/>
          <w:highlight w:val="none"/>
          <w14:textFill>
            <w14:solidFill>
              <w14:schemeClr w14:val="tx1"/>
            </w14:solidFill>
          </w14:textFill>
        </w:rPr>
        <w:t>账  号：</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 xml:space="preserve">              账  号：</w:t>
      </w:r>
      <w:bookmarkStart w:id="43" w:name="_Toc455491118"/>
      <w:r>
        <w:rPr>
          <w:rFonts w:hint="eastAsia"/>
          <w:color w:val="000000" w:themeColor="text1"/>
          <w:sz w:val="24"/>
          <w:highlight w:val="none"/>
          <w:u w:val="single"/>
          <w14:textFill>
            <w14:solidFill>
              <w14:schemeClr w14:val="tx1"/>
            </w14:solidFill>
          </w14:textFill>
        </w:rPr>
        <w:t xml:space="preserve">                      </w:t>
      </w:r>
      <w:bookmarkEnd w:id="43"/>
    </w:p>
    <w:p>
      <w:pPr>
        <w:rPr>
          <w:rFonts w:hint="eastAsia"/>
          <w:color w:val="000000" w:themeColor="text1"/>
          <w:sz w:val="24"/>
          <w:highlight w:val="none"/>
          <w:u w:val="single"/>
          <w14:textFill>
            <w14:solidFill>
              <w14:schemeClr w14:val="tx1"/>
            </w14:solidFill>
          </w14:textFill>
        </w:rPr>
      </w:pPr>
      <w:r>
        <w:rPr>
          <w:rFonts w:hint="eastAsia"/>
          <w:color w:val="000000" w:themeColor="text1"/>
          <w:sz w:val="24"/>
          <w:highlight w:val="none"/>
          <w:u w:val="single"/>
          <w14:textFill>
            <w14:solidFill>
              <w14:schemeClr w14:val="tx1"/>
            </w14:solidFill>
          </w14:textFill>
        </w:rPr>
        <w:br w:type="page"/>
      </w:r>
    </w:p>
    <w:p>
      <w:pPr>
        <w:keepNext w:val="0"/>
        <w:keepLines w:val="0"/>
        <w:pageBreakBefore w:val="0"/>
        <w:kinsoku/>
        <w:wordWrap/>
        <w:overflowPunct/>
        <w:topLinePunct w:val="0"/>
        <w:autoSpaceDE/>
        <w:autoSpaceDN/>
        <w:bidi w:val="0"/>
        <w:adjustRightInd/>
        <w:snapToGrid/>
        <w:spacing w:line="360" w:lineRule="auto"/>
        <w:ind w:firstLine="640" w:firstLineChars="200"/>
        <w:jc w:val="center"/>
        <w:textAlignment w:val="auto"/>
        <w:rPr>
          <w:rFonts w:hint="eastAsia" w:ascii="宋体" w:hAnsi="宋体" w:eastAsia="宋体" w:cs="宋体"/>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廉政合同</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发包</w:t>
      </w:r>
      <w:r>
        <w:rPr>
          <w:rFonts w:hint="eastAsia" w:ascii="宋体" w:hAnsi="宋体" w:eastAsia="宋体" w:cs="宋体"/>
          <w:color w:val="000000" w:themeColor="text1"/>
          <w:sz w:val="24"/>
          <w:szCs w:val="24"/>
          <w:highlight w:val="none"/>
          <w14:textFill>
            <w14:solidFill>
              <w14:schemeClr w14:val="tx1"/>
            </w14:solidFill>
          </w14:textFill>
        </w:rPr>
        <w:t>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w:t>
      </w:r>
      <w:bookmarkStart w:id="44" w:name="OLE_LINK11"/>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bookmarkEnd w:id="44"/>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为贯彻落实党中央、国务院《关于实行党风廉政建设责任制的规定》，进一步加强水利工程建设中的党风廉政建设，保证建设优质、高效、有序地进行，</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（以下简称“</w:t>
      </w:r>
      <w:r>
        <w:rPr>
          <w:rFonts w:hint="eastAsia" w:ascii="宋体" w:hAnsi="宋体" w:eastAsia="宋体" w:cs="宋体"/>
          <w:color w:val="000000" w:themeColor="text1"/>
          <w:sz w:val="24"/>
          <w:szCs w:val="24"/>
          <w:highlight w:val="none"/>
          <w:lang w:val="en-US"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”），与承担</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color w:val="000000" w:themeColor="text1"/>
          <w:sz w:val="24"/>
          <w:szCs w:val="24"/>
          <w:highlight w:val="none"/>
          <w:lang w:val="en-US" w:eastAsia="zh-CN"/>
          <w14:textFill>
            <w14:solidFill>
              <w14:schemeClr w14:val="tx1"/>
            </w14:solidFill>
          </w14:textFill>
        </w:rPr>
        <w:t>承包人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（以下简称“</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”），经双方协商一致，自愿签订以下廉政合同。</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第一条  </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双方的权利和义务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（一）严格遵守党和国家有关法规及党风廉政建设各项规定。</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（二）严格执行</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
          <w:bCs/>
          <w:color w:val="000000" w:themeColor="text1"/>
          <w:sz w:val="24"/>
          <w:szCs w:val="24"/>
          <w:highlight w:val="none"/>
          <w:u w:val="single"/>
          <w14:textFill>
            <w14:solidFill>
              <w14:schemeClr w14:val="tx1"/>
            </w14:solidFill>
          </w14:textFill>
        </w:rPr>
        <w:t>项目合同</w:t>
      </w:r>
      <w:r>
        <w:rPr>
          <w:rFonts w:hint="eastAsia" w:ascii="宋体" w:hAnsi="宋体" w:eastAsia="宋体" w:cs="宋体"/>
          <w:color w:val="000000" w:themeColor="text1"/>
          <w:sz w:val="24"/>
          <w:szCs w:val="24"/>
          <w:highlight w:val="none"/>
          <w14:textFill>
            <w14:solidFill>
              <w14:schemeClr w14:val="tx1"/>
            </w14:solidFill>
          </w14:textFill>
        </w:rPr>
        <w:t>各项规定，自觉按合同办事。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（三）双方的业务活动坚持公开、公正、公平、诚信的原则（法律认定的商业秘密和合同文件另有规定除外），严禁损害国家和集体利益、违反工程建设管理规章制度。</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（四）建立健全并严格执行党风廉政建设各项制度，开展反腐倡廉宣传教育，加强对本方工作人员的监督检查。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（五）发现对方在业务活动中有违反廉政规定的行为，有及时提醒和督促对方纠正的权利和义务，并加强对本方工作人员的批评教育，严肃查处违纪违规行为；发现重大违纪违法行为，应向执纪执法机关举报。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第二条  </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在廉政建设方面的义务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及其工作人员不准在</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安插亲友及介绍销售工程材料，不得指定需购物资设备的销售单位或部门；不得违反规定干预</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 xml:space="preserve">的工程项目分包；不得挤占、截留、挪用工程款或超进度拨付工程款；严禁私设小金库。 </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及其工作人员不准利用职务之便索要或接受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的现金、有价证券、支付凭证及收受干股，或以赌博等交易形式非法收受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财物。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及其工作人员不准让</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报销应由</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或个人支付的费用；不准利用职务便利为</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谋取不当利益。</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工作人员不准要求或者接受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可能影响公正执行公务的宴请；不准要求</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提供交通工具、通讯工具、高档办公用品等。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及其工作人员不准要求或者接受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为其住房装修、婚丧嫁娶、特定关系人（近亲属及其它共同利益关系的人）出国（境）旅游提供方便。</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及其工作人员不准利用职务之便为</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谋取利益之前或之后，约定在其离职后收受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财物，并在离职后收受。</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及其工作人员不准要求或者收受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住房、汽车等物品，不准收受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为其以明显低于市场价购置住房或以劣换优、以借为名占用</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住房。</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（八）</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及其工作人员不准要求或者接受</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以给特定关系人安排工作为名，使特定关系人不实际工作却获取薪酬；不准违反规定从事与</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施工项目有关的材料设备供应、工程分包等经济活动。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（九）</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及其工作人员不准在与</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有直接利害关系的企事业单位兼职、兼职取酬、投资入股、经商办企业以及从事有偿中介活动。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（十）</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或工作人员不得利用职务便利为</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谋取利益，由</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出资“合作”开办公司或进行其他合作投资，或委托</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投资证券、期货或由其他委托理财名义，未实际出资并获取“收益”，或虽然出资，但获取“利益”明显高于出资应得收益；或授意</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以本规定所列形式，将有关财物给特定关系人。</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第三条  </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在廉政建设方面义务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不准以任何形式向</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及其工作人员馈赠现金、有价证券、支付凭证及赠送干股，或以赌博等交易形式非法赠送</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财物。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不准以任何名义为</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及其工作人员报销应由</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或个人支付的费用。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不准以任何理由邀请</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工作人员参加对承建的工程项目有影响的宴请及娱乐活动；不准为其提供通讯工具、交通工具、高档办公用品等。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不准为</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工作人员住房装修、婚丧嫁娶、特定关系人出国（境）旅游提供方便；不准为</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工作人员的特定关系人以安排工作为名，使其不实际工作却获取薪酬。</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不准赠送</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工作人员住房、汽车等物品，不准为其以明显低于市场价购置住房或以劣换优、以借为名赠送住房。</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不准违反规定将承建的施工项目分包或非法转包。</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（七）按照</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和监督部门的要求，对农民工工资实行银行卡支付，不得克扣、截留、拖欠农民工工资。</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第四条  违约责任</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若违反本《廉政合同》有关规定的，对违纪违规人员，由</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主管部门依据有关规定查处，构成犯罪的移交司法机关处理，给</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造成的损失，按有关规定予以赔偿。</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若违反本《廉政合同》有关规定的，对违纪违规人员，由</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主管部门或行业管理部门依据有关规定查处，构成犯罪的移交司法机关处理，给</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造成的损失，按有关规定予以赔偿。</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第五条  督查单位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双方约定：自愿接受</w:t>
      </w:r>
      <w:r>
        <w:rPr>
          <w:rFonts w:hint="eastAsia" w:ascii="宋体" w:hAnsi="宋体" w:eastAsia="宋体" w:cs="宋体"/>
          <w:b/>
          <w:bCs/>
          <w:color w:val="000000" w:themeColor="text1"/>
          <w:sz w:val="24"/>
          <w:szCs w:val="24"/>
          <w:highlight w:val="none"/>
          <w:u w:val="single"/>
          <w14:textFill>
            <w14:solidFill>
              <w14:schemeClr w14:val="tx1"/>
            </w14:solidFill>
          </w14:textFill>
        </w:rPr>
        <w:t>相关纪检监察单位</w:t>
      </w:r>
      <w:r>
        <w:rPr>
          <w:rFonts w:hint="eastAsia" w:ascii="宋体" w:hAnsi="宋体" w:eastAsia="宋体" w:cs="宋体"/>
          <w:color w:val="000000" w:themeColor="text1"/>
          <w:sz w:val="24"/>
          <w:szCs w:val="24"/>
          <w:highlight w:val="none"/>
          <w14:textFill>
            <w14:solidFill>
              <w14:schemeClr w14:val="tx1"/>
            </w14:solidFill>
          </w14:textFill>
        </w:rPr>
        <w:t>对合同执行情况的监督检查，承、发包双方应积极配合督查单位的检查，包括提供有关资料和财务账册凭证，接受本合同规定范围内的裁定意见。</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第六条  检查方式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本合同的履约情况由督查单位主持，</w:t>
      </w:r>
      <w:r>
        <w:rPr>
          <w:rFonts w:hint="eastAsia" w:ascii="宋体" w:hAnsi="宋体" w:eastAsia="宋体" w:cs="宋体"/>
          <w:color w:val="000000" w:themeColor="text1"/>
          <w:sz w:val="24"/>
          <w:szCs w:val="24"/>
          <w:highlight w:val="none"/>
          <w:lang w:eastAsia="zh-CN"/>
          <w14:textFill>
            <w14:solidFill>
              <w14:schemeClr w14:val="tx1"/>
            </w14:solidFill>
          </w14:textFill>
        </w:rPr>
        <w:t>承包人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发包人</w:t>
      </w:r>
      <w:r>
        <w:rPr>
          <w:rFonts w:hint="eastAsia" w:ascii="宋体" w:hAnsi="宋体" w:eastAsia="宋体" w:cs="宋体"/>
          <w:color w:val="000000" w:themeColor="text1"/>
          <w:sz w:val="24"/>
          <w:szCs w:val="24"/>
          <w:highlight w:val="none"/>
          <w14:textFill>
            <w14:solidFill>
              <w14:schemeClr w14:val="tx1"/>
            </w14:solidFill>
          </w14:textFill>
        </w:rPr>
        <w:t>双方共同派员参加，检查方式为座谈、问卷调查、查看资料及财务账册或由各方约定的其他方式等。检查时间、次数、方式、检查结论和执行违约责任等由双方协商确定，如无法达成一致的，由督查单位依据事实裁定。</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第七条  本合同有效期为工程开工之日起至该合同工程项目竣工验收后止。</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第八条  本合同一式</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肆</w:t>
      </w:r>
      <w:r>
        <w:rPr>
          <w:rFonts w:hint="eastAsia" w:ascii="宋体" w:hAnsi="宋体" w:eastAsia="宋体" w:cs="宋体"/>
          <w:color w:val="000000" w:themeColor="text1"/>
          <w:sz w:val="24"/>
          <w:szCs w:val="24"/>
          <w:highlight w:val="none"/>
          <w14:textFill>
            <w14:solidFill>
              <w14:schemeClr w14:val="tx1"/>
            </w14:solidFill>
          </w14:textFill>
        </w:rPr>
        <w:t>份，承、发包双方各执</w:t>
      </w:r>
      <w:bookmarkStart w:id="45" w:name="OLE_LINK5"/>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贰</w:t>
      </w:r>
      <w:bookmarkEnd w:id="45"/>
      <w:r>
        <w:rPr>
          <w:rFonts w:hint="eastAsia" w:ascii="宋体" w:hAnsi="宋体" w:eastAsia="宋体" w:cs="宋体"/>
          <w:color w:val="000000" w:themeColor="text1"/>
          <w:sz w:val="24"/>
          <w:szCs w:val="24"/>
          <w:highlight w:val="none"/>
          <w14:textFill>
            <w14:solidFill>
              <w14:schemeClr w14:val="tx1"/>
            </w14:solidFill>
          </w14:textFill>
        </w:rPr>
        <w:t>份，送交督查单位</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贰</w:t>
      </w:r>
      <w:r>
        <w:rPr>
          <w:rFonts w:hint="eastAsia" w:ascii="宋体" w:hAnsi="宋体" w:eastAsia="宋体" w:cs="宋体"/>
          <w:color w:val="000000" w:themeColor="text1"/>
          <w:sz w:val="24"/>
          <w:szCs w:val="24"/>
          <w:highlight w:val="none"/>
          <w14:textFill>
            <w14:solidFill>
              <w14:schemeClr w14:val="tx1"/>
            </w14:solidFill>
          </w14:textFill>
        </w:rPr>
        <w:t>份。</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发  包  人：(盖章)                承  包  人：(盖章)</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法定代表人：(签名)                法定代表人：(签名)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或授权代理人：(签名)              或授权代理人：(签名)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单位地址：                        单位地址：</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                        联系电话：</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签订日期：      年    月    日</w:t>
      </w:r>
    </w:p>
    <w:p>
      <w:pPr>
        <w:pStyle w:val="40"/>
        <w:rPr>
          <w:rFonts w:hint="eastAsia"/>
          <w:color w:val="000000" w:themeColor="text1"/>
          <w:highlight w:val="none"/>
          <w14:textFill>
            <w14:solidFill>
              <w14:schemeClr w14:val="tx1"/>
            </w14:solidFill>
          </w14:textFill>
        </w:rPr>
      </w:pPr>
      <w:r>
        <w:rPr>
          <w:rFonts w:hint="eastAsia" w:ascii="宋体" w:hAnsi="宋体"/>
          <w:color w:val="000000" w:themeColor="text1"/>
          <w:sz w:val="36"/>
          <w:szCs w:val="36"/>
          <w:highlight w:val="none"/>
          <w:lang w:val="zh-CN"/>
          <w14:textFill>
            <w14:solidFill>
              <w14:schemeClr w14:val="tx1"/>
            </w14:solidFill>
          </w14:textFill>
        </w:rPr>
        <w:br w:type="page"/>
      </w:r>
    </w:p>
    <w:p>
      <w:pPr>
        <w:rPr>
          <w:rFonts w:hint="eastAsia"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br w:type="page"/>
      </w:r>
    </w:p>
    <w:p>
      <w:pPr>
        <w:pStyle w:val="5"/>
        <w:pageBreakBefore w:val="0"/>
        <w:kinsoku/>
        <w:overflowPunct/>
        <w:topLinePunct w:val="0"/>
        <w:bidi w:val="0"/>
        <w:spacing w:before="0" w:after="0" w:line="360" w:lineRule="auto"/>
        <w:ind w:left="0" w:leftChars="0" w:right="0" w:rightChars="0"/>
        <w:jc w:val="center"/>
        <w:rPr>
          <w:rFonts w:ascii="宋体" w:hAnsi="宋体" w:cs="Times New Roman"/>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第四章 工程建设标准</w:t>
      </w:r>
      <w:bookmarkEnd w:id="41"/>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一、工程采用的计价规范</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《建设工程工程量清单计价规范》GB50500-2013、《水利工程工程量清单计价规范》（GB50501-2007）、《江苏省水利工程招标投标文件工程量清单格式》（苏水基[2011]21号、《江苏省水利预算定额》2010版。</w:t>
      </w:r>
    </w:p>
    <w:p>
      <w:pPr>
        <w:pageBreakBefore w:val="0"/>
        <w:kinsoku/>
        <w:overflowPunct/>
        <w:topLinePunct w:val="0"/>
        <w:bidi w:val="0"/>
        <w:spacing w:line="360" w:lineRule="auto"/>
        <w:ind w:left="0" w:leftChars="0" w:right="0" w:rightChars="0" w:firstLine="480" w:firstLineChars="200"/>
        <w:rPr>
          <w:rFonts w:ascii="宋体" w:hAnsi="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二、本工程对施工工艺的特殊要求</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kern w:val="0"/>
          <w:sz w:val="24"/>
          <w:szCs w:val="24"/>
          <w:highlight w:val="none"/>
          <w14:textFill>
            <w14:solidFill>
              <w14:schemeClr w14:val="tx1"/>
            </w14:solidFill>
          </w14:textFill>
        </w:rPr>
      </w:pPr>
      <w:r>
        <w:rPr>
          <w:rFonts w:ascii="宋体" w:hAnsi="宋体" w:cs="宋体"/>
          <w:color w:val="000000" w:themeColor="text1"/>
          <w:kern w:val="0"/>
          <w:sz w:val="24"/>
          <w:szCs w:val="24"/>
          <w:highlight w:val="none"/>
          <w14:textFill>
            <w14:solidFill>
              <w14:schemeClr w14:val="tx1"/>
            </w14:solidFill>
          </w14:textFill>
        </w:rPr>
        <w:t>1</w:t>
      </w:r>
      <w:r>
        <w:rPr>
          <w:rFonts w:hint="eastAsia" w:ascii="宋体" w:hAnsi="宋体" w:cs="宋体"/>
          <w:color w:val="000000" w:themeColor="text1"/>
          <w:kern w:val="0"/>
          <w:sz w:val="24"/>
          <w:szCs w:val="24"/>
          <w:highlight w:val="none"/>
          <w14:textFill>
            <w14:solidFill>
              <w14:schemeClr w14:val="tx1"/>
            </w14:solidFill>
          </w14:textFill>
        </w:rPr>
        <w:t>、施工期间要注意周边环境，尽量避免或减少对周围居民生活的影响。</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kern w:val="0"/>
          <w:sz w:val="24"/>
          <w:szCs w:val="24"/>
          <w:highlight w:val="none"/>
          <w14:textFill>
            <w14:solidFill>
              <w14:schemeClr w14:val="tx1"/>
            </w14:solidFill>
          </w14:textFill>
        </w:rPr>
      </w:pPr>
      <w:r>
        <w:rPr>
          <w:rFonts w:ascii="宋体" w:hAnsi="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14:textFill>
            <w14:solidFill>
              <w14:schemeClr w14:val="tx1"/>
            </w14:solidFill>
          </w14:textFill>
        </w:rPr>
        <w:t>、冬、雨季施工要采取相应的保证措施。</w:t>
      </w:r>
    </w:p>
    <w:p>
      <w:pPr>
        <w:pageBreakBefore w:val="0"/>
        <w:kinsoku/>
        <w:overflowPunct/>
        <w:topLinePunct w:val="0"/>
        <w:bidi w:val="0"/>
        <w:spacing w:line="360" w:lineRule="auto"/>
        <w:ind w:left="0" w:leftChars="0" w:right="0" w:rightChars="0" w:firstLine="480" w:firstLineChars="200"/>
        <w:rPr>
          <w:rFonts w:ascii="宋体" w:hAnsi="宋体"/>
          <w:color w:val="000000" w:themeColor="text1"/>
          <w:spacing w:val="2"/>
          <w:sz w:val="24"/>
          <w:szCs w:val="24"/>
          <w:highlight w:val="none"/>
          <w:u w:val="single"/>
          <w14:textFill>
            <w14:solidFill>
              <w14:schemeClr w14:val="tx1"/>
            </w14:solidFill>
          </w14:textFill>
        </w:rPr>
      </w:pPr>
      <w:r>
        <w:rPr>
          <w:rFonts w:ascii="宋体" w:hAnsi="宋体" w:cs="宋体"/>
          <w:color w:val="000000" w:themeColor="text1"/>
          <w:kern w:val="0"/>
          <w:sz w:val="24"/>
          <w:szCs w:val="24"/>
          <w:highlight w:val="none"/>
          <w14:textFill>
            <w14:solidFill>
              <w14:schemeClr w14:val="tx1"/>
            </w14:solidFill>
          </w14:textFill>
        </w:rPr>
        <w:t>3</w:t>
      </w:r>
      <w:r>
        <w:rPr>
          <w:rFonts w:hint="eastAsia" w:ascii="宋体" w:hAnsi="宋体" w:cs="宋体"/>
          <w:color w:val="000000" w:themeColor="text1"/>
          <w:kern w:val="0"/>
          <w:sz w:val="24"/>
          <w:szCs w:val="24"/>
          <w:highlight w:val="none"/>
          <w14:textFill>
            <w14:solidFill>
              <w14:schemeClr w14:val="tx1"/>
            </w14:solidFill>
          </w14:textFill>
        </w:rPr>
        <w:t>、工程的主要部位和特殊要求由建设、设计、监理三方讨论后以书面形式通知施工单位实施。</w:t>
      </w:r>
    </w:p>
    <w:p>
      <w:pPr>
        <w:pStyle w:val="5"/>
        <w:pageBreakBefore w:val="0"/>
        <w:kinsoku/>
        <w:overflowPunct/>
        <w:topLinePunct w:val="0"/>
        <w:bidi w:val="0"/>
        <w:spacing w:before="0" w:after="0" w:line="360" w:lineRule="auto"/>
        <w:ind w:left="0" w:leftChars="0" w:right="0" w:rightChars="0"/>
        <w:jc w:val="center"/>
        <w:rPr>
          <w:rFonts w:ascii="宋体" w:hAnsi="宋体" w:cs="宋体"/>
          <w:color w:val="000000" w:themeColor="text1"/>
          <w:sz w:val="36"/>
          <w:szCs w:val="36"/>
          <w:highlight w:val="none"/>
          <w14:textFill>
            <w14:solidFill>
              <w14:schemeClr w14:val="tx1"/>
            </w14:solidFill>
          </w14:textFill>
        </w:rPr>
      </w:pPr>
      <w:bookmarkStart w:id="46" w:name="_Toc427744857"/>
    </w:p>
    <w:p>
      <w:pPr>
        <w:pStyle w:val="5"/>
        <w:pageBreakBefore w:val="0"/>
        <w:kinsoku/>
        <w:overflowPunct/>
        <w:topLinePunct w:val="0"/>
        <w:bidi w:val="0"/>
        <w:spacing w:before="0" w:after="0" w:line="360" w:lineRule="auto"/>
        <w:ind w:left="0" w:leftChars="0" w:right="0" w:rightChars="0"/>
        <w:jc w:val="center"/>
        <w:rPr>
          <w:rFonts w:ascii="宋体" w:hAnsi="宋体" w:cs="宋体"/>
          <w:color w:val="000000" w:themeColor="text1"/>
          <w:sz w:val="36"/>
          <w:szCs w:val="36"/>
          <w:highlight w:val="none"/>
          <w14:textFill>
            <w14:solidFill>
              <w14:schemeClr w14:val="tx1"/>
            </w14:solidFill>
          </w14:textFill>
        </w:rPr>
      </w:pPr>
    </w:p>
    <w:p>
      <w:pPr>
        <w:rPr>
          <w:rFonts w:hint="eastAsia"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br w:type="page"/>
      </w:r>
    </w:p>
    <w:p>
      <w:pPr>
        <w:pStyle w:val="5"/>
        <w:pageBreakBefore w:val="0"/>
        <w:kinsoku/>
        <w:overflowPunct/>
        <w:topLinePunct w:val="0"/>
        <w:bidi w:val="0"/>
        <w:spacing w:before="0" w:after="0" w:line="360" w:lineRule="auto"/>
        <w:ind w:left="0" w:leftChars="0" w:right="0" w:rightChars="0"/>
        <w:jc w:val="center"/>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第五章 图纸、技术资料及附件</w:t>
      </w:r>
      <w:bookmarkEnd w:id="46"/>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rPr>
          <w:rFonts w:hint="eastAsia" w:ascii="宋体" w:hAnsi="宋体" w:cs="宋体"/>
          <w:color w:val="000000" w:themeColor="text1"/>
          <w:sz w:val="36"/>
          <w:szCs w:val="36"/>
          <w:highlight w:val="none"/>
          <w14:textFill>
            <w14:solidFill>
              <w14:schemeClr w14:val="tx1"/>
            </w14:solidFill>
          </w14:textFill>
        </w:rPr>
      </w:pPr>
      <w:bookmarkStart w:id="47" w:name="_Toc427744859"/>
      <w:bookmarkStart w:id="48" w:name="_Toc427744858"/>
      <w:r>
        <w:rPr>
          <w:rFonts w:hint="eastAsia" w:ascii="宋体" w:hAnsi="宋体" w:cs="宋体"/>
          <w:color w:val="000000" w:themeColor="text1"/>
          <w:sz w:val="36"/>
          <w:szCs w:val="36"/>
          <w:highlight w:val="none"/>
          <w14:textFill>
            <w14:solidFill>
              <w14:schemeClr w14:val="tx1"/>
            </w14:solidFill>
          </w14:textFill>
        </w:rPr>
        <w:br w:type="page"/>
      </w:r>
    </w:p>
    <w:p>
      <w:pPr>
        <w:pStyle w:val="5"/>
        <w:pageBreakBefore w:val="0"/>
        <w:kinsoku/>
        <w:overflowPunct/>
        <w:topLinePunct w:val="0"/>
        <w:bidi w:val="0"/>
        <w:spacing w:before="0" w:after="0" w:line="360" w:lineRule="auto"/>
        <w:ind w:left="0" w:leftChars="0" w:right="0" w:rightChars="0"/>
        <w:jc w:val="center"/>
        <w:rPr>
          <w:rFonts w:ascii="宋体" w:hAnsi="宋体" w:cs="Times New Roman"/>
          <w:color w:val="000000" w:themeColor="text1"/>
          <w:highlight w:val="none"/>
          <w14:textFill>
            <w14:solidFill>
              <w14:schemeClr w14:val="tx1"/>
            </w14:solidFill>
          </w14:textFill>
        </w:rPr>
      </w:pPr>
      <w:r>
        <w:rPr>
          <w:rFonts w:hint="eastAsia" w:ascii="宋体" w:hAnsi="宋体" w:cs="宋体"/>
          <w:color w:val="000000" w:themeColor="text1"/>
          <w:sz w:val="36"/>
          <w:szCs w:val="36"/>
          <w:highlight w:val="none"/>
          <w14:textFill>
            <w14:solidFill>
              <w14:schemeClr w14:val="tx1"/>
            </w14:solidFill>
          </w14:textFill>
        </w:rPr>
        <w:t>第六章 资格审查文件格式</w:t>
      </w:r>
      <w:bookmarkEnd w:id="47"/>
    </w:p>
    <w:p>
      <w:pPr>
        <w:pageBreakBefore w:val="0"/>
        <w:kinsoku/>
        <w:overflowPunct/>
        <w:topLinePunct w:val="0"/>
        <w:bidi w:val="0"/>
        <w:spacing w:line="360" w:lineRule="auto"/>
        <w:ind w:left="0" w:leftChars="0" w:right="0" w:rightChars="0" w:firstLine="480"/>
        <w:rPr>
          <w:rFonts w:ascii="宋体" w:hAnsi="宋体"/>
          <w:color w:val="000000" w:themeColor="text1"/>
          <w:sz w:val="25"/>
          <w:szCs w:val="24"/>
          <w:highlight w:val="none"/>
          <w14:textFill>
            <w14:solidFill>
              <w14:schemeClr w14:val="tx1"/>
            </w14:solidFill>
          </w14:textFill>
        </w:rPr>
      </w:pPr>
      <w:r>
        <w:rPr>
          <w:rFonts w:ascii="宋体" w:hAnsi="宋体"/>
          <w:color w:val="000000" w:themeColor="text1"/>
          <w:sz w:val="25"/>
          <w:szCs w:val="24"/>
          <w:highlight w:val="none"/>
          <w14:textFill>
            <w14:solidFill>
              <w14:schemeClr w14:val="tx1"/>
            </w14:solidFill>
          </w14:textFill>
        </w:rPr>
        <w:t>一、资格证明材料：见本招标文件第一章</w:t>
      </w:r>
      <w:r>
        <w:rPr>
          <w:rFonts w:hint="eastAsia" w:ascii="宋体" w:hAnsi="宋体"/>
          <w:color w:val="000000" w:themeColor="text1"/>
          <w:sz w:val="25"/>
          <w:szCs w:val="24"/>
          <w:highlight w:val="none"/>
          <w14:textFill>
            <w14:solidFill>
              <w14:schemeClr w14:val="tx1"/>
            </w14:solidFill>
          </w14:textFill>
        </w:rPr>
        <w:t>9.2. 1</w:t>
      </w:r>
      <w:r>
        <w:rPr>
          <w:rFonts w:ascii="宋体" w:hAnsi="宋体"/>
          <w:color w:val="000000" w:themeColor="text1"/>
          <w:sz w:val="25"/>
          <w:szCs w:val="24"/>
          <w:highlight w:val="none"/>
          <w14:textFill>
            <w14:solidFill>
              <w14:schemeClr w14:val="tx1"/>
            </w14:solidFill>
          </w14:textFill>
        </w:rPr>
        <w:t xml:space="preserve">条。 </w:t>
      </w:r>
    </w:p>
    <w:p>
      <w:pPr>
        <w:pageBreakBefore w:val="0"/>
        <w:kinsoku/>
        <w:overflowPunct/>
        <w:topLinePunct w:val="0"/>
        <w:bidi w:val="0"/>
        <w:spacing w:line="360" w:lineRule="auto"/>
        <w:ind w:left="0" w:leftChars="0" w:right="0" w:rightChars="0" w:firstLine="480"/>
        <w:rPr>
          <w:rFonts w:ascii="宋体" w:hAnsi="宋体"/>
          <w:color w:val="000000" w:themeColor="text1"/>
          <w:sz w:val="25"/>
          <w:szCs w:val="24"/>
          <w:highlight w:val="none"/>
          <w14:textFill>
            <w14:solidFill>
              <w14:schemeClr w14:val="tx1"/>
            </w14:solidFill>
          </w14:textFill>
        </w:rPr>
      </w:pPr>
      <w:r>
        <w:rPr>
          <w:rFonts w:ascii="宋体" w:hAnsi="宋体"/>
          <w:color w:val="000000" w:themeColor="text1"/>
          <w:sz w:val="25"/>
          <w:szCs w:val="24"/>
          <w:highlight w:val="none"/>
          <w14:textFill>
            <w14:solidFill>
              <w14:schemeClr w14:val="tx1"/>
            </w14:solidFill>
          </w14:textFill>
        </w:rPr>
        <w:t>二、资格审查材料封面及相关表格如下：</w:t>
      </w:r>
    </w:p>
    <w:p>
      <w:pPr>
        <w:pageBreakBefore w:val="0"/>
        <w:kinsoku/>
        <w:overflowPunct/>
        <w:topLinePunct w:val="0"/>
        <w:bidi w:val="0"/>
        <w:spacing w:line="360" w:lineRule="auto"/>
        <w:ind w:left="0" w:leftChars="0" w:right="0" w:rightChars="0"/>
        <w:jc w:val="center"/>
        <w:rPr>
          <w:rFonts w:ascii="宋体" w:hAnsi="宋体"/>
          <w:b/>
          <w:bCs/>
          <w:color w:val="000000" w:themeColor="text1"/>
          <w:sz w:val="48"/>
          <w:szCs w:val="48"/>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封面</w:t>
      </w:r>
    </w:p>
    <w:p>
      <w:pPr>
        <w:pageBreakBefore w:val="0"/>
        <w:kinsoku/>
        <w:overflowPunct/>
        <w:topLinePunct w:val="0"/>
        <w:bidi w:val="0"/>
        <w:spacing w:line="360" w:lineRule="auto"/>
        <w:ind w:left="0" w:leftChars="0" w:right="0" w:rightChars="0"/>
        <w:jc w:val="center"/>
        <w:rPr>
          <w:rFonts w:ascii="宋体" w:hAnsi="宋体"/>
          <w:color w:val="000000" w:themeColor="text1"/>
          <w:sz w:val="28"/>
          <w:szCs w:val="28"/>
          <w:highlight w:val="none"/>
          <w14:textFill>
            <w14:solidFill>
              <w14:schemeClr w14:val="tx1"/>
            </w14:solidFill>
          </w14:textFill>
        </w:rPr>
      </w:pPr>
      <w:r>
        <w:rPr>
          <w:rFonts w:ascii="宋体" w:hAnsi="宋体"/>
          <w:color w:val="000000" w:themeColor="text1"/>
          <w:sz w:val="36"/>
          <w:highlight w:val="none"/>
          <w14:textFill>
            <w14:solidFill>
              <w14:schemeClr w14:val="tx1"/>
            </w14:solidFill>
          </w14:textFill>
        </w:rPr>
        <w:t>（项目名称）施工招标</w:t>
      </w:r>
    </w:p>
    <w:p>
      <w:pPr>
        <w:pageBreakBefore w:val="0"/>
        <w:kinsoku/>
        <w:overflowPunct/>
        <w:topLinePunct w:val="0"/>
        <w:bidi w:val="0"/>
        <w:spacing w:line="360" w:lineRule="auto"/>
        <w:ind w:left="0" w:leftChars="0" w:right="0" w:rightChars="0"/>
        <w:jc w:val="center"/>
        <w:rPr>
          <w:rFonts w:ascii="宋体" w:hAnsi="宋体"/>
          <w:color w:val="000000" w:themeColor="text1"/>
          <w:sz w:val="28"/>
          <w:szCs w:val="2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52"/>
          <w:szCs w:val="52"/>
          <w:highlight w:val="none"/>
          <w14:textFill>
            <w14:solidFill>
              <w14:schemeClr w14:val="tx1"/>
            </w14:solidFill>
          </w14:textFill>
        </w:rPr>
      </w:pPr>
      <w:r>
        <w:rPr>
          <w:rFonts w:hint="eastAsia" w:ascii="宋体" w:hAnsi="宋体" w:cs="宋体"/>
          <w:color w:val="000000" w:themeColor="text1"/>
          <w:sz w:val="52"/>
          <w:szCs w:val="52"/>
          <w:highlight w:val="none"/>
          <w14:textFill>
            <w14:solidFill>
              <w14:schemeClr w14:val="tx1"/>
            </w14:solidFill>
          </w14:textFill>
        </w:rPr>
        <w:t>资格审查文件</w:t>
      </w:r>
    </w:p>
    <w:p>
      <w:pPr>
        <w:pageBreakBefore w:val="0"/>
        <w:kinsoku/>
        <w:overflowPunct/>
        <w:topLinePunct w:val="0"/>
        <w:bidi w:val="0"/>
        <w:spacing w:line="360" w:lineRule="auto"/>
        <w:ind w:left="0" w:leftChars="0" w:right="0" w:rightChars="0"/>
        <w:jc w:val="center"/>
        <w:rPr>
          <w:rFonts w:ascii="宋体" w:hAnsi="宋体"/>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bCs/>
          <w:color w:val="000000" w:themeColor="text1"/>
          <w:sz w:val="28"/>
          <w:szCs w:val="28"/>
          <w:highlight w:val="none"/>
          <w:u w:val="singl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投标人：</w:t>
      </w:r>
      <w:r>
        <w:rPr>
          <w:rFonts w:hint="eastAsia" w:ascii="宋体" w:hAnsi="宋体" w:cs="宋体"/>
          <w:b/>
          <w:bCs/>
          <w:color w:val="000000" w:themeColor="text1"/>
          <w:sz w:val="28"/>
          <w:szCs w:val="28"/>
          <w:highlight w:val="none"/>
          <w:u w:val="single"/>
          <w14:textFill>
            <w14:solidFill>
              <w14:schemeClr w14:val="tx1"/>
            </w14:solidFill>
          </w14:textFill>
        </w:rPr>
        <w:t xml:space="preserve">                    （盖章）</w:t>
      </w:r>
    </w:p>
    <w:p>
      <w:pPr>
        <w:pageBreakBefore w:val="0"/>
        <w:kinsoku/>
        <w:overflowPunct/>
        <w:topLinePunct w:val="0"/>
        <w:bidi w:val="0"/>
        <w:spacing w:line="360" w:lineRule="auto"/>
        <w:ind w:left="0" w:leftChars="0" w:right="0" w:rightChars="0"/>
        <w:rPr>
          <w:rFonts w:ascii="宋体" w:hAnsi="宋体"/>
          <w:b/>
          <w:bCs/>
          <w:color w:val="000000" w:themeColor="text1"/>
          <w:sz w:val="28"/>
          <w:szCs w:val="28"/>
          <w:highlight w:val="none"/>
          <w:u w:val="singl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法定代表人或其委托代理人：（签字或盖章）</w:t>
      </w:r>
    </w:p>
    <w:p>
      <w:pPr>
        <w:pageBreakBefore w:val="0"/>
        <w:kinsoku/>
        <w:overflowPunct/>
        <w:topLinePunct w:val="0"/>
        <w:bidi w:val="0"/>
        <w:spacing w:line="360" w:lineRule="auto"/>
        <w:ind w:left="0" w:leftChars="0" w:right="0" w:rightChars="0"/>
        <w:rPr>
          <w:rFonts w:ascii="宋体" w:hAnsi="宋体"/>
          <w:b/>
          <w:bCs/>
          <w:color w:val="000000" w:themeColor="text1"/>
          <w:sz w:val="28"/>
          <w:szCs w:val="28"/>
          <w:highlight w:val="none"/>
          <w:u w:val="singl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地址：</w:t>
      </w: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日期：  年 月 日</w:t>
      </w: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r>
        <w:rPr>
          <w:rFonts w:ascii="宋体" w:hAnsi="宋体"/>
          <w:b/>
          <w:bCs/>
          <w:snapToGrid w:val="0"/>
          <w:color w:val="000000" w:themeColor="text1"/>
          <w:sz w:val="32"/>
          <w:szCs w:val="32"/>
          <w:highlight w:val="none"/>
          <w14:textFill>
            <w14:solidFill>
              <w14:schemeClr w14:val="tx1"/>
            </w14:solidFill>
          </w14:textFill>
        </w:rPr>
        <w:br w:type="page"/>
      </w:r>
      <w:bookmarkEnd w:id="39"/>
      <w:bookmarkEnd w:id="48"/>
      <w:r>
        <w:rPr>
          <w:rFonts w:hint="eastAsia" w:ascii="宋体" w:hAnsi="宋体"/>
          <w:b/>
          <w:color w:val="000000" w:themeColor="text1"/>
          <w:sz w:val="32"/>
          <w:highlight w:val="none"/>
          <w14:textFill>
            <w14:solidFill>
              <w14:schemeClr w14:val="tx1"/>
            </w14:solidFill>
          </w14:textFill>
        </w:rPr>
        <w:t>一、法定代表人身份证明</w:t>
      </w: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投标人单位名称：</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投标人单位性质：</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投标人单位地址：</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成立时间：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月 </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经营期限：</w:t>
      </w:r>
      <w:r>
        <w:rPr>
          <w:rFonts w:hint="eastAsia" w:ascii="宋体" w:hAnsi="宋体"/>
          <w:color w:val="000000" w:themeColor="text1"/>
          <w:sz w:val="30"/>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姓名：</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性别：</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年龄：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职务：</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系：</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(投标人单位名称)的法定代表人。</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法定代表人联系电话：</w:t>
      </w:r>
      <w:r>
        <w:rPr>
          <w:rFonts w:hint="eastAsia" w:ascii="宋体" w:hAnsi="宋体"/>
          <w:color w:val="000000" w:themeColor="text1"/>
          <w:sz w:val="30"/>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特此证明。</w:t>
      </w:r>
    </w:p>
    <w:p>
      <w:pPr>
        <w:pStyle w:val="15"/>
        <w:pageBreakBefore w:val="0"/>
        <w:kinsoku/>
        <w:overflowPunct/>
        <w:topLinePunct w:val="0"/>
        <w:bidi w:val="0"/>
        <w:spacing w:line="360" w:lineRule="auto"/>
        <w:ind w:left="0" w:leftChars="0" w:right="0" w:rightChars="0" w:firstLine="0"/>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30"/>
          <w:highlight w:val="none"/>
          <w14:textFill>
            <w14:solidFill>
              <w14:schemeClr w14:val="tx1"/>
            </w14:solidFill>
          </w14:textFill>
        </w:rPr>
      </w:pPr>
      <w:r>
        <w:rPr>
          <w:rFonts w:ascii="宋体" w:hAnsi="宋体"/>
          <w:color w:val="000000" w:themeColor="text1"/>
          <w:sz w:val="30"/>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671830</wp:posOffset>
                </wp:positionH>
                <wp:positionV relativeFrom="paragraph">
                  <wp:posOffset>27940</wp:posOffset>
                </wp:positionV>
                <wp:extent cx="5126355" cy="1931670"/>
                <wp:effectExtent l="7620" t="7620" r="17145" b="11430"/>
                <wp:wrapNone/>
                <wp:docPr id="4" name="自选图形 29"/>
                <wp:cNvGraphicFramePr/>
                <a:graphic xmlns:a="http://schemas.openxmlformats.org/drawingml/2006/main">
                  <a:graphicData uri="http://schemas.microsoft.com/office/word/2010/wordprocessingShape">
                    <wps:wsp>
                      <wps:cNvSpPr/>
                      <wps:spPr>
                        <a:xfrm>
                          <a:off x="0" y="0"/>
                          <a:ext cx="5126355" cy="1931670"/>
                        </a:xfrm>
                        <a:prstGeom prst="roundRect">
                          <a:avLst>
                            <a:gd name="adj" fmla="val 16667"/>
                          </a:avLst>
                        </a:prstGeom>
                        <a:noFill/>
                        <a:ln w="15875" cap="flat" cmpd="sng">
                          <a:solidFill>
                            <a:srgbClr val="000000"/>
                          </a:solidFill>
                          <a:prstDash val="dash"/>
                          <a:headEnd type="none" w="med" len="med"/>
                          <a:tailEnd type="none" w="med" len="med"/>
                        </a:ln>
                      </wps:spPr>
                      <wps:txbx>
                        <w:txbxContent>
                          <w:p/>
                        </w:txbxContent>
                      </wps:txbx>
                      <wps:bodyPr upright="1"/>
                    </wps:wsp>
                  </a:graphicData>
                </a:graphic>
              </wp:anchor>
            </w:drawing>
          </mc:Choice>
          <mc:Fallback>
            <w:pict>
              <v:roundrect id="自选图形 29" o:spid="_x0000_s1026" o:spt="2" style="position:absolute;left:0pt;margin-left:52.9pt;margin-top:2.2pt;height:152.1pt;width:403.65pt;z-index:251660288;mso-width-relative:page;mso-height-relative:page;" filled="f" stroked="t" coordsize="21600,21600" arcsize="0.166666666666667" o:gfxdata="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PcYI9cA&#10;AAAJAQAADwAAAAAAAAABACAAAAAiAAAAZHJzL2Rvd25yZXYueG1sUEsBAhQAFAAAAAgAh07iQDzz&#10;JwIgAgAALwQAAA4AAAAAAAAAAQAgAAAAJgEAAGRycy9lMm9Eb2MueG1sUEsFBgAAAAAGAAYAWQEA&#10;ALgFAAAAAA==&#10;">
                <v:fill on="f" focussize="0,0"/>
                <v:stroke weight="1.25pt" color="#000000" joinstyle="round" dashstyle="dash"/>
                <v:imagedata o:title=""/>
                <o:lock v:ext="edit" aspectratio="f"/>
                <v:textbox>
                  <w:txbxContent>
                    <w:p/>
                  </w:txbxContent>
                </v:textbox>
              </v:roundrect>
            </w:pict>
          </mc:Fallback>
        </mc:AlternateContent>
      </w:r>
    </w:p>
    <w:p>
      <w:pPr>
        <w:pStyle w:val="15"/>
        <w:pageBreakBefore w:val="0"/>
        <w:kinsoku/>
        <w:overflowPunct/>
        <w:topLinePunct w:val="0"/>
        <w:bidi w:val="0"/>
        <w:spacing w:line="360" w:lineRule="auto"/>
        <w:ind w:left="0" w:leftChars="0" w:right="0" w:rightChars="0" w:firstLine="1325" w:firstLineChars="550"/>
        <w:rPr>
          <w:rFonts w:ascii="宋体" w:hAnsi="宋体"/>
          <w:b/>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法定代表人身份证复印件贴于此处，并加盖单位公章，否则该证明无效。</w: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jc w:val="center"/>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3840" w:firstLineChars="1600"/>
        <w:jc w:val="righ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(盖单位章)</w:t>
      </w:r>
    </w:p>
    <w:p>
      <w:pPr>
        <w:pStyle w:val="15"/>
        <w:pageBreakBefore w:val="0"/>
        <w:kinsoku/>
        <w:overflowPunct/>
        <w:topLinePunct w:val="0"/>
        <w:bidi w:val="0"/>
        <w:snapToGrid w:val="0"/>
        <w:spacing w:line="360" w:lineRule="auto"/>
        <w:ind w:left="0" w:leftChars="0" w:right="0" w:rightChars="0" w:firstLine="3840" w:firstLineChars="1600"/>
        <w:jc w:val="right"/>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日   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月</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w: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25"/>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25"/>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25"/>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r>
        <w:rPr>
          <w:rFonts w:ascii="宋体" w:hAnsi="宋体"/>
          <w:color w:val="000000" w:themeColor="text1"/>
          <w:kern w:val="0"/>
          <w:sz w:val="28"/>
          <w:szCs w:val="28"/>
          <w:highlight w:val="none"/>
          <w14:textFill>
            <w14:solidFill>
              <w14:schemeClr w14:val="tx1"/>
            </w14:solidFill>
          </w14:textFill>
        </w:rPr>
        <w:br w:type="page"/>
      </w:r>
      <w:r>
        <w:rPr>
          <w:rFonts w:hint="eastAsia" w:ascii="宋体" w:hAnsi="宋体"/>
          <w:b/>
          <w:color w:val="000000" w:themeColor="text1"/>
          <w:sz w:val="32"/>
          <w:highlight w:val="none"/>
          <w14:textFill>
            <w14:solidFill>
              <w14:schemeClr w14:val="tx1"/>
            </w14:solidFill>
          </w14:textFill>
        </w:rPr>
        <w:t>二、授权委托书</w:t>
      </w:r>
    </w:p>
    <w:p>
      <w:pPr>
        <w:pStyle w:val="15"/>
        <w:pageBreakBefore w:val="0"/>
        <w:kinsoku/>
        <w:overflowPunct/>
        <w:topLinePunct w:val="0"/>
        <w:bidi w:val="0"/>
        <w:snapToGrid w:val="0"/>
        <w:spacing w:line="360" w:lineRule="auto"/>
        <w:ind w:left="0" w:leftChars="0" w:right="0" w:rightChars="0" w:firstLine="48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本授权委托书声明：本人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(姓名)系</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(投标人单位名称)的法定代表人，现委托</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(姓名)（身份证号：</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）为我方代理人。代理人根据授权，以我方名义签署、澄清、说明、补正、递交、撤回、修改</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（项目名称）施工投标文件，签订合同和处理有关事宜，其法律后果由我方承担。</w:t>
      </w:r>
    </w:p>
    <w:p>
      <w:pPr>
        <w:pStyle w:val="15"/>
        <w:pageBreakBefore w:val="0"/>
        <w:kinsoku/>
        <w:overflowPunct/>
        <w:topLinePunct w:val="0"/>
        <w:bidi w:val="0"/>
        <w:snapToGrid w:val="0"/>
        <w:spacing w:line="360" w:lineRule="auto"/>
        <w:ind w:left="0" w:leftChars="0" w:right="0" w:rightChars="0" w:firstLine="48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委托期限：</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w:t>
      </w:r>
    </w:p>
    <w:p>
      <w:pPr>
        <w:pStyle w:val="15"/>
        <w:pageBreakBefore w:val="0"/>
        <w:kinsoku/>
        <w:overflowPunct/>
        <w:topLinePunct w:val="0"/>
        <w:bidi w:val="0"/>
        <w:snapToGrid w:val="0"/>
        <w:spacing w:line="360" w:lineRule="auto"/>
        <w:ind w:left="0" w:leftChars="0" w:right="0" w:rightChars="0" w:firstLine="480" w:firstLineChars="200"/>
        <w:jc w:val="left"/>
        <w:rPr>
          <w:rFonts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授权委托人联系电话：</w:t>
      </w:r>
      <w:r>
        <w:rPr>
          <w:rFonts w:hint="eastAsia" w:ascii="宋体" w:hAnsi="宋体"/>
          <w:color w:val="000000" w:themeColor="text1"/>
          <w:sz w:val="28"/>
          <w:szCs w:val="28"/>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代理人无转委托权。</w:t>
      </w: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代理人：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性别：</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年龄：</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代理人单位：</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部门：</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职务：</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(盖单位章)</w:t>
      </w: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法定代表人： </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(签字或印章)</w:t>
      </w:r>
    </w:p>
    <w:p>
      <w:pPr>
        <w:pStyle w:val="15"/>
        <w:pageBreakBefore w:val="0"/>
        <w:kinsoku/>
        <w:overflowPunct/>
        <w:topLinePunct w:val="0"/>
        <w:bidi w:val="0"/>
        <w:spacing w:line="360" w:lineRule="auto"/>
        <w:ind w:left="0" w:leftChars="0" w:right="0" w:rightChars="0" w:firstLine="0"/>
        <w:jc w:val="left"/>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30"/>
          <w:highlight w:val="none"/>
          <w14:textFill>
            <w14:solidFill>
              <w14:schemeClr w14:val="tx1"/>
            </w14:solidFill>
          </w14:textFill>
        </w:rPr>
      </w:pPr>
      <w:r>
        <w:rPr>
          <w:rFonts w:ascii="宋体" w:hAnsi="宋体"/>
          <w:color w:val="000000" w:themeColor="text1"/>
          <w:sz w:val="30"/>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268605</wp:posOffset>
                </wp:positionH>
                <wp:positionV relativeFrom="paragraph">
                  <wp:posOffset>12065</wp:posOffset>
                </wp:positionV>
                <wp:extent cx="5586095" cy="1889125"/>
                <wp:effectExtent l="7620" t="7620" r="14605" b="8255"/>
                <wp:wrapNone/>
                <wp:docPr id="5" name="自选图形 30"/>
                <wp:cNvGraphicFramePr/>
                <a:graphic xmlns:a="http://schemas.openxmlformats.org/drawingml/2006/main">
                  <a:graphicData uri="http://schemas.microsoft.com/office/word/2010/wordprocessingShape">
                    <wps:wsp>
                      <wps:cNvSpPr/>
                      <wps:spPr>
                        <a:xfrm>
                          <a:off x="0" y="0"/>
                          <a:ext cx="5586095" cy="1889125"/>
                        </a:xfrm>
                        <a:prstGeom prst="roundRect">
                          <a:avLst>
                            <a:gd name="adj" fmla="val 16667"/>
                          </a:avLst>
                        </a:prstGeom>
                        <a:noFill/>
                        <a:ln w="15875" cap="flat" cmpd="sng">
                          <a:solidFill>
                            <a:srgbClr val="000000"/>
                          </a:solidFill>
                          <a:prstDash val="dash"/>
                          <a:headEnd type="none" w="med" len="med"/>
                          <a:tailEnd type="none" w="med" len="med"/>
                        </a:ln>
                      </wps:spPr>
                      <wps:txbx>
                        <w:txbxContent>
                          <w:p/>
                        </w:txbxContent>
                      </wps:txbx>
                      <wps:bodyPr upright="1"/>
                    </wps:wsp>
                  </a:graphicData>
                </a:graphic>
              </wp:anchor>
            </w:drawing>
          </mc:Choice>
          <mc:Fallback>
            <w:pict>
              <v:roundrect id="自选图形 30" o:spid="_x0000_s1026" o:spt="2" style="position:absolute;left:0pt;margin-left:21.15pt;margin-top:0.95pt;height:148.75pt;width:439.85pt;z-index:251661312;mso-width-relative:page;mso-height-relative:page;" filled="f" stroked="t" coordsize="21600,21600" arcsize="0.166666666666667" o:gfxdata="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q6XK41gAAAAgB&#10;AAAPAAAAAAAAAAEAIAAAACIAAABkcnMvZG93bnJldi54bWxQSwECFAAUAAAACACHTuJAtTk2Qx0C&#10;AAAvBAAADgAAAAAAAAABACAAAAAlAQAAZHJzL2Uyb0RvYy54bWxQSwUGAAAAAAYABgBZAQAAtAUA&#10;AAAA&#10;">
                <v:fill on="f" focussize="0,0"/>
                <v:stroke weight="1.25pt" color="#000000" joinstyle="round" dashstyle="dash"/>
                <v:imagedata o:title=""/>
                <o:lock v:ext="edit" aspectratio="f"/>
                <v:textbox>
                  <w:txbxContent>
                    <w:p/>
                  </w:txbxContent>
                </v:textbox>
              </v:roundrect>
            </w:pict>
          </mc:Fallback>
        </mc:AlternateConten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法定代表授权委托人身份证复印件贴于此处，并加盖单位公章，否则该证明无效。</w: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30"/>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jc w:val="right"/>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jc w:val="right"/>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napToGrid w:val="0"/>
        <w:spacing w:line="360" w:lineRule="auto"/>
        <w:ind w:left="0" w:leftChars="0" w:right="0" w:rightChars="0" w:firstLine="0"/>
        <w:jc w:val="righ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日期：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月</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w:t>
      </w:r>
    </w:p>
    <w:p>
      <w:pPr>
        <w:pStyle w:val="15"/>
        <w:pageBreakBefore w:val="0"/>
        <w:kinsoku/>
        <w:overflowPunct/>
        <w:topLinePunct w:val="0"/>
        <w:bidi w:val="0"/>
        <w:spacing w:line="360" w:lineRule="auto"/>
        <w:ind w:left="0" w:leftChars="0" w:right="0" w:rightChars="0" w:firstLine="0"/>
        <w:jc w:val="center"/>
        <w:outlineLvl w:val="1"/>
        <w:rPr>
          <w:rFonts w:ascii="宋体" w:hAnsi="宋体" w:cs="宋体"/>
          <w:b/>
          <w:bCs/>
          <w:color w:val="000000" w:themeColor="text1"/>
          <w:sz w:val="32"/>
          <w:szCs w:val="32"/>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outlineLvl w:val="1"/>
        <w:rPr>
          <w:rFonts w:ascii="宋体" w:hAnsi="宋体" w:cs="宋体"/>
          <w:b/>
          <w:bCs/>
          <w:color w:val="000000" w:themeColor="text1"/>
          <w:sz w:val="32"/>
          <w:szCs w:val="32"/>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r>
        <w:rPr>
          <w:rFonts w:hint="eastAsia" w:ascii="宋体" w:hAnsi="宋体"/>
          <w:b/>
          <w:color w:val="000000" w:themeColor="text1"/>
          <w:sz w:val="32"/>
          <w:highlight w:val="none"/>
          <w14:textFill>
            <w14:solidFill>
              <w14:schemeClr w14:val="tx1"/>
            </w14:solidFill>
          </w14:textFill>
        </w:rPr>
        <w:t>三、投标人一般情况</w:t>
      </w: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880"/>
        <w:gridCol w:w="720"/>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w:t>
            </w:r>
          </w:p>
        </w:tc>
        <w:tc>
          <w:tcPr>
            <w:tcW w:w="3600" w:type="dxa"/>
            <w:gridSpan w:val="2"/>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电话</w:t>
            </w:r>
          </w:p>
        </w:tc>
        <w:tc>
          <w:tcPr>
            <w:tcW w:w="478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w:t>
            </w:r>
          </w:p>
        </w:tc>
        <w:tc>
          <w:tcPr>
            <w:tcW w:w="3600" w:type="dxa"/>
            <w:gridSpan w:val="2"/>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传真</w:t>
            </w:r>
          </w:p>
        </w:tc>
        <w:tc>
          <w:tcPr>
            <w:tcW w:w="478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w:t>
            </w:r>
          </w:p>
        </w:tc>
        <w:tc>
          <w:tcPr>
            <w:tcW w:w="3600" w:type="dxa"/>
            <w:gridSpan w:val="2"/>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注册地</w:t>
            </w:r>
          </w:p>
        </w:tc>
        <w:tc>
          <w:tcPr>
            <w:tcW w:w="4785"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注册年份（请附营业执照复印件）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4" w:hRule="atLeas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7</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公司资质等级证书号             （请附有关证书的复印件）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8</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公司</w:t>
            </w:r>
            <w:r>
              <w:rPr>
                <w:rFonts w:hint="eastAsia" w:ascii="宋体" w:hAnsi="宋体"/>
                <w:color w:val="000000" w:themeColor="text1"/>
                <w:sz w:val="24"/>
                <w:highlight w:val="none"/>
                <w:u w:val="single"/>
                <w14:textFill>
                  <w14:solidFill>
                    <w14:schemeClr w14:val="tx1"/>
                  </w14:solidFill>
                </w14:textFill>
              </w:rPr>
              <w:t>（是否通过，何种）</w:t>
            </w:r>
            <w:r>
              <w:rPr>
                <w:rFonts w:hint="eastAsia" w:ascii="宋体" w:hAnsi="宋体"/>
                <w:color w:val="000000" w:themeColor="text1"/>
                <w:sz w:val="24"/>
                <w:highlight w:val="none"/>
                <w14:textFill>
                  <w14:solidFill>
                    <w14:schemeClr w14:val="tx1"/>
                  </w14:solidFill>
                </w14:textFill>
              </w:rPr>
              <w:t>质量保证体系认证（如通过请附相关证书复印件，并提供认证机构年审监督报告）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9</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主营范围</w:t>
            </w:r>
          </w:p>
          <w:p>
            <w:pPr>
              <w:pageBreakBefore w:val="0"/>
              <w:kinsoku/>
              <w:overflowPunct/>
              <w:topLinePunct w:val="0"/>
              <w:bidi w:val="0"/>
              <w:spacing w:line="360" w:lineRule="auto"/>
              <w:ind w:left="0" w:leftChars="0" w:right="0" w:rightChars="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u w:val="single"/>
                <w14:textFill>
                  <w14:solidFill>
                    <w14:schemeClr w14:val="tx1"/>
                  </w14:solidFill>
                </w14:textFill>
              </w:rPr>
              <w:t xml:space="preserve">                                </w:t>
            </w: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u w:val="single"/>
                <w14:textFill>
                  <w14:solidFill>
                    <w14:schemeClr w14:val="tx1"/>
                  </w14:solidFill>
                </w14:textFill>
              </w:rPr>
              <w:t xml:space="preserve">                                </w:t>
            </w:r>
          </w:p>
          <w:p>
            <w:pPr>
              <w:pageBreakBefore w:val="0"/>
              <w:kinsoku/>
              <w:overflowPunct/>
              <w:topLinePunct w:val="0"/>
              <w:bidi w:val="0"/>
              <w:spacing w:line="360" w:lineRule="auto"/>
              <w:ind w:left="0" w:leftChars="0" w:right="0" w:rightChars="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u w:val="single"/>
                <w14:textFill>
                  <w14:solidFill>
                    <w14:schemeClr w14:val="tx1"/>
                  </w14:solidFill>
                </w14:textFill>
              </w:rPr>
              <w:t xml:space="preserve">                               </w:t>
            </w:r>
          </w:p>
          <w:p>
            <w:pPr>
              <w:pageBreakBefore w:val="0"/>
              <w:kinsoku/>
              <w:overflowPunct/>
              <w:topLinePunct w:val="0"/>
              <w:bidi w:val="0"/>
              <w:spacing w:line="360" w:lineRule="auto"/>
              <w:ind w:left="0" w:leftChars="0" w:right="0" w:rightChars="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w:t>
            </w:r>
            <w:r>
              <w:rPr>
                <w:rFonts w:hint="eastAsia" w:ascii="宋体" w:hAnsi="宋体"/>
                <w:color w:val="000000" w:themeColor="text1"/>
                <w:sz w:val="24"/>
                <w:highlight w:val="none"/>
                <w:u w:val="single"/>
                <w14:textFill>
                  <w14:solidFill>
                    <w14:schemeClr w14:val="tx1"/>
                  </w14:solidFill>
                </w14:textFill>
              </w:rPr>
              <w:t xml:space="preserve">                              </w:t>
            </w: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10</w:t>
            </w:r>
          </w:p>
        </w:tc>
        <w:tc>
          <w:tcPr>
            <w:tcW w:w="2880"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作为总承包人经历年数</w:t>
            </w:r>
          </w:p>
        </w:tc>
        <w:tc>
          <w:tcPr>
            <w:tcW w:w="5505" w:type="dxa"/>
            <w:gridSpan w:val="2"/>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11</w:t>
            </w:r>
          </w:p>
        </w:tc>
        <w:tc>
          <w:tcPr>
            <w:tcW w:w="2880"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作为分包商经历年数</w:t>
            </w:r>
          </w:p>
        </w:tc>
        <w:tc>
          <w:tcPr>
            <w:tcW w:w="5505" w:type="dxa"/>
            <w:gridSpan w:val="2"/>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6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12</w:t>
            </w:r>
          </w:p>
        </w:tc>
        <w:tc>
          <w:tcPr>
            <w:tcW w:w="8385" w:type="dxa"/>
            <w:gridSpan w:val="3"/>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其他需要说明的情况</w:t>
            </w:r>
          </w:p>
        </w:tc>
      </w:tr>
    </w:tbl>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注：投标人应附企业营业执照副本、企业资质证书副本、企业安全生产许可证副本复印件。</w:t>
      </w: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20"/>
        <w:jc w:val="center"/>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20"/>
        <w:jc w:val="center"/>
        <w:rPr>
          <w:rFonts w:ascii="宋体" w:hAnsi="宋体"/>
          <w:b/>
          <w:color w:val="000000" w:themeColor="text1"/>
          <w:sz w:val="32"/>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t>四、</w:t>
      </w:r>
      <w:r>
        <w:rPr>
          <w:rFonts w:hint="eastAsia" w:ascii="宋体" w:hAnsi="宋体"/>
          <w:b/>
          <w:color w:val="000000" w:themeColor="text1"/>
          <w:sz w:val="32"/>
          <w:highlight w:val="none"/>
          <w14:textFill>
            <w14:solidFill>
              <w14:schemeClr w14:val="tx1"/>
            </w14:solidFill>
          </w14:textFill>
        </w:rPr>
        <w:t>近三年工程营业额数据表</w:t>
      </w:r>
    </w:p>
    <w:p>
      <w:pPr>
        <w:pageBreakBefore w:val="0"/>
        <w:kinsoku/>
        <w:overflowPunct/>
        <w:topLinePunct w:val="0"/>
        <w:bidi w:val="0"/>
        <w:spacing w:line="360" w:lineRule="auto"/>
        <w:ind w:left="0" w:leftChars="0" w:right="0" w:rightChars="0" w:firstLine="420"/>
        <w:jc w:val="center"/>
        <w:rPr>
          <w:rFonts w:ascii="宋体" w:hAnsi="宋体"/>
          <w:b/>
          <w:color w:val="000000" w:themeColor="text1"/>
          <w:sz w:val="32"/>
          <w:highlight w:val="none"/>
          <w14:textFill>
            <w14:solidFill>
              <w14:schemeClr w14:val="tx1"/>
            </w14:solidFill>
          </w14:textFill>
        </w:rPr>
      </w:pPr>
    </w:p>
    <w:p>
      <w:pPr>
        <w:pageBreakBefore w:val="0"/>
        <w:kinsoku/>
        <w:overflowPunct/>
        <w:topLinePunct w:val="0"/>
        <w:bidi w:val="0"/>
        <w:spacing w:line="360" w:lineRule="auto"/>
        <w:ind w:left="0" w:leftChars="0" w:right="0" w:rightChars="0" w:firstLine="42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投标人名称：</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highlight w:val="none"/>
          <w:u w:val="single"/>
          <w14:textFill>
            <w14:solidFill>
              <w14:schemeClr w14:val="tx1"/>
            </w14:solidFill>
          </w14:textFill>
        </w:rPr>
        <w:t xml:space="preserve">                                    </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0"/>
        <w:gridCol w:w="3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trPr>
        <w:tc>
          <w:tcPr>
            <w:tcW w:w="9138"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近三年工程营业额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财 务 年 度</w:t>
            </w:r>
          </w:p>
        </w:tc>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营 业 额（万元）</w:t>
            </w:r>
          </w:p>
        </w:tc>
        <w:tc>
          <w:tcPr>
            <w:tcW w:w="345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345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345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c>
          <w:tcPr>
            <w:tcW w:w="284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345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r>
    </w:tbl>
    <w:p>
      <w:pPr>
        <w:pageBreakBefore w:val="0"/>
        <w:kinsoku/>
        <w:overflowPunct/>
        <w:topLinePunct w:val="0"/>
        <w:bidi w:val="0"/>
        <w:spacing w:line="360" w:lineRule="auto"/>
        <w:ind w:left="0" w:leftChars="0" w:right="0" w:rightChars="0"/>
        <w:rPr>
          <w:rFonts w:ascii="宋体" w:hAnsi="宋体"/>
          <w:color w:val="000000" w:themeColor="text1"/>
          <w:highlight w:val="none"/>
          <w:u w:val="singl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注：本表所填的年营业额为投标人每年从各招标人那里得到的已完工程收入总额。</w:t>
      </w:r>
    </w:p>
    <w:p>
      <w:pPr>
        <w:pageBreakBefore w:val="0"/>
        <w:kinsoku/>
        <w:overflowPunct/>
        <w:topLinePunct w:val="0"/>
        <w:bidi w:val="0"/>
        <w:spacing w:line="360" w:lineRule="auto"/>
        <w:ind w:left="0" w:leftChars="0" w:right="0" w:rightChars="0"/>
        <w:jc w:val="center"/>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r>
        <w:rPr>
          <w:rFonts w:hint="eastAsia" w:ascii="宋体" w:hAnsi="宋体"/>
          <w:b/>
          <w:color w:val="000000" w:themeColor="text1"/>
          <w:sz w:val="28"/>
          <w:highlight w:val="none"/>
          <w14:textFill>
            <w14:solidFill>
              <w14:schemeClr w14:val="tx1"/>
            </w14:solidFill>
          </w14:textFill>
        </w:rPr>
        <w:t>五、</w:t>
      </w:r>
      <w:r>
        <w:rPr>
          <w:rFonts w:hint="eastAsia" w:ascii="宋体" w:hAnsi="宋体"/>
          <w:b/>
          <w:color w:val="000000" w:themeColor="text1"/>
          <w:sz w:val="32"/>
          <w:highlight w:val="none"/>
          <w14:textFill>
            <w14:solidFill>
              <w14:schemeClr w14:val="tx1"/>
            </w14:solidFill>
          </w14:textFill>
        </w:rPr>
        <w:t>财务状况表</w:t>
      </w:r>
    </w:p>
    <w:p>
      <w:pPr>
        <w:pageBreakBefore w:val="0"/>
        <w:kinsoku/>
        <w:overflowPunct/>
        <w:topLinePunct w:val="0"/>
        <w:bidi w:val="0"/>
        <w:spacing w:line="360" w:lineRule="auto"/>
        <w:ind w:left="0" w:leftChars="0" w:right="0" w:rightChars="0"/>
        <w:rPr>
          <w:rFonts w:hint="eastAsia" w:ascii="宋体" w:hAnsi="宋体" w:cs="Times New Roman"/>
          <w:color w:val="000000" w:themeColor="text1"/>
          <w:sz w:val="28"/>
          <w:highlight w:val="none"/>
          <w14:textFill>
            <w14:solidFill>
              <w14:schemeClr w14:val="tx1"/>
            </w14:solidFill>
          </w14:textFill>
        </w:rPr>
      </w:pPr>
      <w:r>
        <w:rPr>
          <w:rFonts w:hint="eastAsia" w:ascii="宋体" w:hAnsi="宋体" w:cs="Times New Roman"/>
          <w:color w:val="000000" w:themeColor="text1"/>
          <w:sz w:val="28"/>
          <w:highlight w:val="none"/>
          <w:lang w:val="en-US" w:eastAsia="zh-CN"/>
          <w14:textFill>
            <w14:solidFill>
              <w14:schemeClr w14:val="tx1"/>
            </w14:solidFill>
          </w14:textFill>
        </w:rPr>
        <w:t>一、</w:t>
      </w:r>
      <w:r>
        <w:rPr>
          <w:rFonts w:hint="eastAsia" w:ascii="宋体" w:hAnsi="宋体" w:cs="Times New Roman"/>
          <w:color w:val="000000" w:themeColor="text1"/>
          <w:sz w:val="28"/>
          <w:highlight w:val="none"/>
          <w14:textFill>
            <w14:solidFill>
              <w14:schemeClr w14:val="tx1"/>
            </w14:solidFill>
          </w14:textFill>
        </w:rPr>
        <w:t>开户银行情况</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492"/>
        <w:gridCol w:w="3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188" w:type="dxa"/>
            <w:vMerge w:val="restart"/>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开户银行</w:t>
            </w:r>
          </w:p>
        </w:tc>
        <w:tc>
          <w:tcPr>
            <w:tcW w:w="7950" w:type="dxa"/>
            <w:gridSpan w:val="2"/>
            <w:tcBorders>
              <w:bottom w:val="single" w:color="auto" w:sz="4"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188"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7950" w:type="dxa"/>
            <w:gridSpan w:val="2"/>
            <w:tcBorders>
              <w:bottom w:val="single" w:color="auto" w:sz="4" w:space="0"/>
            </w:tcBorders>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4492"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电话：</w:t>
            </w:r>
          </w:p>
        </w:tc>
        <w:tc>
          <w:tcPr>
            <w:tcW w:w="3458"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联系人及职务：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vMerge w:val="continue"/>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4492"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传真：</w:t>
            </w:r>
          </w:p>
        </w:tc>
        <w:tc>
          <w:tcPr>
            <w:tcW w:w="3458" w:type="dxa"/>
            <w:vAlign w:val="center"/>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电传：</w:t>
            </w:r>
          </w:p>
        </w:tc>
      </w:tr>
    </w:tbl>
    <w:p>
      <w:pPr>
        <w:pageBreakBefore w:val="0"/>
        <w:kinsoku/>
        <w:overflowPunct/>
        <w:topLinePunct w:val="0"/>
        <w:bidi w:val="0"/>
        <w:spacing w:line="360" w:lineRule="auto"/>
        <w:ind w:left="0" w:leftChars="0" w:right="0" w:rightChars="0"/>
        <w:rPr>
          <w:rFonts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二、</w:t>
      </w:r>
      <w:r>
        <w:rPr>
          <w:rFonts w:hint="eastAsia" w:ascii="宋体" w:hAnsi="宋体"/>
          <w:color w:val="000000" w:themeColor="text1"/>
          <w:sz w:val="24"/>
          <w:highlight w:val="none"/>
          <w14:textFill>
            <w14:solidFill>
              <w14:schemeClr w14:val="tx1"/>
            </w14:solidFill>
          </w14:textFill>
        </w:rPr>
        <w:t>近三年每年的资产负债情况</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0"/>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2130" w:type="dxa"/>
            <w:vMerge w:val="restart"/>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财务状况</w:t>
            </w:r>
          </w:p>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（单位）</w:t>
            </w:r>
          </w:p>
        </w:tc>
        <w:tc>
          <w:tcPr>
            <w:tcW w:w="7008"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近三年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2130"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213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c>
          <w:tcPr>
            <w:tcW w:w="213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c>
          <w:tcPr>
            <w:tcW w:w="274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1．总资产</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2．流动资产</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3．总负债</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4．流动负债</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5．税前利润</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6．税后利润</w:t>
            </w: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13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2748"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bl>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为达到本项目现金流量需要提出的信贷计划（投标人在其他合同上投入的资金不在此范围内）</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信贷来源</w:t>
            </w:r>
          </w:p>
        </w:tc>
        <w:tc>
          <w:tcPr>
            <w:tcW w:w="4877"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信贷金额（单位）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w:t>
            </w:r>
          </w:p>
        </w:tc>
        <w:tc>
          <w:tcPr>
            <w:tcW w:w="487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w:t>
            </w:r>
          </w:p>
        </w:tc>
        <w:tc>
          <w:tcPr>
            <w:tcW w:w="487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w:t>
            </w:r>
          </w:p>
        </w:tc>
        <w:tc>
          <w:tcPr>
            <w:tcW w:w="487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261"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w:t>
            </w:r>
          </w:p>
        </w:tc>
        <w:tc>
          <w:tcPr>
            <w:tcW w:w="487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bl>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color w:val="000000" w:themeColor="text1"/>
          <w:sz w:val="32"/>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r>
        <w:rPr>
          <w:rFonts w:hint="eastAsia" w:ascii="宋体" w:hAnsi="宋体"/>
          <w:b/>
          <w:color w:val="000000" w:themeColor="text1"/>
          <w:sz w:val="28"/>
          <w:highlight w:val="none"/>
          <w14:textFill>
            <w14:solidFill>
              <w14:schemeClr w14:val="tx1"/>
            </w14:solidFill>
          </w14:textFill>
        </w:rPr>
        <w:t>六、</w:t>
      </w:r>
      <w:r>
        <w:rPr>
          <w:rFonts w:hint="eastAsia" w:ascii="宋体" w:hAnsi="宋体"/>
          <w:b/>
          <w:color w:val="000000" w:themeColor="text1"/>
          <w:sz w:val="32"/>
          <w:highlight w:val="none"/>
          <w14:textFill>
            <w14:solidFill>
              <w14:schemeClr w14:val="tx1"/>
            </w14:solidFill>
          </w14:textFill>
        </w:rPr>
        <w:t>拟派往本招标工程项目负责人简历表</w:t>
      </w: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投标人名称</w:t>
      </w:r>
      <w:r>
        <w:rPr>
          <w:rFonts w:hint="eastAsia" w:ascii="宋体" w:hAnsi="宋体"/>
          <w:color w:val="000000" w:themeColor="text1"/>
          <w:sz w:val="24"/>
          <w:highlight w:val="none"/>
          <w:u w:val="single"/>
          <w14:textFill>
            <w14:solidFill>
              <w14:schemeClr w14:val="tx1"/>
            </w14:solidFill>
          </w14:textFill>
        </w:rPr>
        <w:t xml:space="preserve">                                          </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92"/>
        <w:gridCol w:w="1420"/>
        <w:gridCol w:w="400"/>
        <w:gridCol w:w="828"/>
        <w:gridCol w:w="192"/>
        <w:gridCol w:w="708"/>
        <w:gridCol w:w="342"/>
        <w:gridCol w:w="558"/>
        <w:gridCol w:w="870"/>
        <w:gridCol w:w="570"/>
        <w:gridCol w:w="27"/>
        <w:gridCol w:w="258"/>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2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姓名</w:t>
            </w:r>
          </w:p>
        </w:tc>
        <w:tc>
          <w:tcPr>
            <w:tcW w:w="3240"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900" w:type="dxa"/>
            <w:gridSpan w:val="2"/>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性别</w:t>
            </w:r>
          </w:p>
        </w:tc>
        <w:tc>
          <w:tcPr>
            <w:tcW w:w="1770" w:type="dxa"/>
            <w:gridSpan w:val="3"/>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855"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年龄</w:t>
            </w:r>
          </w:p>
        </w:tc>
        <w:tc>
          <w:tcPr>
            <w:tcW w:w="144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28"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职务</w:t>
            </w:r>
          </w:p>
        </w:tc>
        <w:tc>
          <w:tcPr>
            <w:tcW w:w="3240"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900" w:type="dxa"/>
            <w:gridSpan w:val="2"/>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职称</w:t>
            </w:r>
          </w:p>
        </w:tc>
        <w:tc>
          <w:tcPr>
            <w:tcW w:w="1770" w:type="dxa"/>
            <w:gridSpan w:val="3"/>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855"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学历</w:t>
            </w:r>
          </w:p>
        </w:tc>
        <w:tc>
          <w:tcPr>
            <w:tcW w:w="144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3240"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参加工作时间</w:t>
            </w:r>
          </w:p>
        </w:tc>
        <w:tc>
          <w:tcPr>
            <w:tcW w:w="2070"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c>
          <w:tcPr>
            <w:tcW w:w="2025"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担任项目负责人</w:t>
            </w:r>
          </w:p>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年限</w:t>
            </w:r>
          </w:p>
        </w:tc>
        <w:tc>
          <w:tcPr>
            <w:tcW w:w="1698" w:type="dxa"/>
            <w:gridSpan w:val="2"/>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3240" w:type="dxa"/>
            <w:gridSpan w:val="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项目负责人资格证书编号</w:t>
            </w:r>
          </w:p>
        </w:tc>
        <w:tc>
          <w:tcPr>
            <w:tcW w:w="5793" w:type="dxa"/>
            <w:gridSpan w:val="10"/>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9033" w:type="dxa"/>
            <w:gridSpan w:val="14"/>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建设单位</w:t>
            </w:r>
          </w:p>
        </w:tc>
        <w:tc>
          <w:tcPr>
            <w:tcW w:w="1420"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1420"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建设规模</w:t>
            </w:r>
          </w:p>
        </w:tc>
        <w:tc>
          <w:tcPr>
            <w:tcW w:w="1608"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开、竣工日期</w:t>
            </w:r>
          </w:p>
        </w:tc>
        <w:tc>
          <w:tcPr>
            <w:tcW w:w="1440" w:type="dxa"/>
            <w:gridSpan w:val="2"/>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在建或已完</w:t>
            </w:r>
          </w:p>
        </w:tc>
        <w:tc>
          <w:tcPr>
            <w:tcW w:w="1725" w:type="dxa"/>
            <w:gridSpan w:val="3"/>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142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20"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608"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440" w:type="dxa"/>
            <w:gridSpan w:val="2"/>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1725" w:type="dxa"/>
            <w:gridSpan w:val="3"/>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bl>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color w:val="000000" w:themeColor="text1"/>
          <w:sz w:val="24"/>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rPr>
          <w:rFonts w:ascii="宋体" w:hAnsi="宋体"/>
          <w:b/>
          <w:color w:val="000000" w:themeColor="text1"/>
          <w:sz w:val="28"/>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color w:val="000000" w:themeColor="text1"/>
          <w:sz w:val="28"/>
          <w:highlight w:val="none"/>
          <w14:textFill>
            <w14:solidFill>
              <w14:schemeClr w14:val="tx1"/>
            </w14:solidFill>
          </w14:textFill>
        </w:rPr>
      </w:pPr>
      <w:r>
        <w:rPr>
          <w:rFonts w:ascii="宋体" w:hAnsi="宋体"/>
          <w:b/>
          <w:color w:val="000000" w:themeColor="text1"/>
          <w:sz w:val="28"/>
          <w:highlight w:val="none"/>
          <w14:textFill>
            <w14:solidFill>
              <w14:schemeClr w14:val="tx1"/>
            </w14:solidFill>
          </w14:textFill>
        </w:rPr>
        <w:br w:type="page"/>
      </w:r>
      <w:r>
        <w:rPr>
          <w:rFonts w:hint="eastAsia" w:ascii="宋体" w:hAnsi="宋体"/>
          <w:b/>
          <w:color w:val="000000" w:themeColor="text1"/>
          <w:sz w:val="28"/>
          <w:highlight w:val="none"/>
          <w14:textFill>
            <w14:solidFill>
              <w14:schemeClr w14:val="tx1"/>
            </w14:solidFill>
          </w14:textFill>
        </w:rPr>
        <w:t>七、公司人员及拟派往本招标工程项目的人员情况</w:t>
      </w:r>
    </w:p>
    <w:tbl>
      <w:tblPr>
        <w:tblStyle w:val="51"/>
        <w:tblW w:w="88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589"/>
        <w:gridCol w:w="1350"/>
        <w:gridCol w:w="1425"/>
        <w:gridCol w:w="1470"/>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机构</w:t>
            </w: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项目工程师</w:t>
            </w:r>
          </w:p>
        </w:tc>
        <w:tc>
          <w:tcPr>
            <w:tcW w:w="1350"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姓名</w:t>
            </w:r>
          </w:p>
        </w:tc>
        <w:tc>
          <w:tcPr>
            <w:tcW w:w="1425"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职务</w:t>
            </w:r>
          </w:p>
        </w:tc>
        <w:tc>
          <w:tcPr>
            <w:tcW w:w="1470"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职称</w:t>
            </w:r>
          </w:p>
        </w:tc>
        <w:tc>
          <w:tcPr>
            <w:tcW w:w="2325"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主要资历、经验及承担过的工程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restart"/>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总</w:t>
            </w:r>
          </w:p>
          <w:p>
            <w:pPr>
              <w:jc w:val="center"/>
              <w:rPr>
                <w:rFonts w:hint="eastAsia" w:ascii="宋体" w:hAnsi="宋体"/>
                <w:color w:val="000000" w:themeColor="text1"/>
                <w:sz w:val="24"/>
                <w:highlight w:val="none"/>
                <w14:textFill>
                  <w14:solidFill>
                    <w14:schemeClr w14:val="tx1"/>
                  </w14:solidFill>
                </w14:textFill>
              </w:rPr>
            </w:pPr>
          </w:p>
          <w:p>
            <w:pPr>
              <w:jc w:val="center"/>
              <w:rPr>
                <w:rFonts w:hint="eastAsia" w:ascii="宋体" w:hAnsi="宋体"/>
                <w:color w:val="000000" w:themeColor="text1"/>
                <w:sz w:val="24"/>
                <w:highlight w:val="none"/>
                <w14:textFill>
                  <w14:solidFill>
                    <w14:schemeClr w14:val="tx1"/>
                  </w14:solidFill>
                </w14:textFill>
              </w:rPr>
            </w:pPr>
          </w:p>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部</w:t>
            </w: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项目主管</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技术负责人</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restart"/>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现</w:t>
            </w:r>
          </w:p>
          <w:p>
            <w:pPr>
              <w:jc w:val="center"/>
              <w:rPr>
                <w:rFonts w:hint="eastAsia" w:ascii="宋体" w:hAnsi="宋体"/>
                <w:color w:val="000000" w:themeColor="text1"/>
                <w:sz w:val="24"/>
                <w:highlight w:val="none"/>
                <w14:textFill>
                  <w14:solidFill>
                    <w14:schemeClr w14:val="tx1"/>
                  </w14:solidFill>
                </w14:textFill>
              </w:rPr>
            </w:pPr>
          </w:p>
          <w:p>
            <w:pPr>
              <w:jc w:val="center"/>
              <w:rPr>
                <w:rFonts w:hint="eastAsia" w:ascii="宋体" w:hAnsi="宋体"/>
                <w:color w:val="000000" w:themeColor="text1"/>
                <w:sz w:val="24"/>
                <w:highlight w:val="none"/>
                <w14:textFill>
                  <w14:solidFill>
                    <w14:schemeClr w14:val="tx1"/>
                  </w14:solidFill>
                </w14:textFill>
              </w:rPr>
            </w:pPr>
          </w:p>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场</w:t>
            </w: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项目负责人</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hAnsi="宋体"/>
                <w:color w:val="000000" w:themeColor="text1"/>
                <w:kern w:val="0"/>
                <w:sz w:val="24"/>
                <w:highlight w:val="none"/>
                <w14:textFill>
                  <w14:solidFill>
                    <w14:schemeClr w14:val="tx1"/>
                  </w14:solidFill>
                </w14:textFill>
              </w:rPr>
              <w:t>技术负责人</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施工管理</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安全管理</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质量管理</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jc w:val="center"/>
              <w:rPr>
                <w:rFonts w:hint="eastAsia" w:ascii="宋体" w:hAnsi="宋体"/>
                <w:color w:val="000000" w:themeColor="text1"/>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计划管理</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r>
              <w:rPr>
                <w:rFonts w:hint="eastAsia" w:ascii="宋体" w:hAnsi="宋体"/>
                <w:color w:val="000000" w:themeColor="text1"/>
                <w:kern w:val="2"/>
                <w:szCs w:val="24"/>
                <w:highlight w:val="none"/>
                <w14:textFill>
                  <w14:solidFill>
                    <w14:schemeClr w14:val="tx1"/>
                  </w14:solidFill>
                </w14:textFill>
              </w:rPr>
              <w:t>材料管理</w:t>
            </w: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589"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689" w:type="dxa"/>
            <w:vMerge w:val="continue"/>
            <w:noWrap w:val="0"/>
            <w:vAlign w:val="center"/>
          </w:tcPr>
          <w:p>
            <w:pPr>
              <w:spacing w:line="360" w:lineRule="auto"/>
              <w:jc w:val="center"/>
              <w:rPr>
                <w:rFonts w:hint="eastAsia" w:ascii="宋体" w:hAnsi="宋体"/>
                <w:color w:val="000000" w:themeColor="text1"/>
                <w:sz w:val="24"/>
                <w:highlight w:val="none"/>
                <w14:textFill>
                  <w14:solidFill>
                    <w14:schemeClr w14:val="tx1"/>
                  </w14:solidFill>
                </w14:textFill>
              </w:rPr>
            </w:pPr>
          </w:p>
        </w:tc>
        <w:tc>
          <w:tcPr>
            <w:tcW w:w="1589"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35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1470"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c>
          <w:tcPr>
            <w:tcW w:w="2325" w:type="dxa"/>
            <w:noWrap w:val="0"/>
            <w:vAlign w:val="center"/>
          </w:tcPr>
          <w:p>
            <w:pPr>
              <w:pStyle w:val="284"/>
              <w:adjustRightInd/>
              <w:spacing w:after="0" w:line="240" w:lineRule="auto"/>
              <w:rPr>
                <w:rFonts w:hint="eastAsia" w:ascii="宋体" w:hAnsi="宋体"/>
                <w:color w:val="000000" w:themeColor="text1"/>
                <w:kern w:val="2"/>
                <w:szCs w:val="24"/>
                <w:highlight w:val="none"/>
                <w14:textFill>
                  <w14:solidFill>
                    <w14:schemeClr w14:val="tx1"/>
                  </w14:solidFill>
                </w14:textFill>
              </w:rPr>
            </w:pPr>
          </w:p>
        </w:tc>
      </w:tr>
    </w:tbl>
    <w:p>
      <w:pPr>
        <w:pageBreakBefore w:val="0"/>
        <w:kinsoku/>
        <w:overflowPunct/>
        <w:topLinePunct w:val="0"/>
        <w:bidi w:val="0"/>
        <w:spacing w:line="360" w:lineRule="auto"/>
        <w:ind w:left="0" w:leftChars="0" w:right="0" w:rightChars="0"/>
        <w:jc w:val="center"/>
        <w:rPr>
          <w:rFonts w:ascii="宋体" w:hAnsi="宋体"/>
          <w:b/>
          <w:bCs/>
          <w:color w:val="000000" w:themeColor="text1"/>
          <w:sz w:val="44"/>
          <w:szCs w:val="4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bCs/>
          <w:color w:val="000000" w:themeColor="text1"/>
          <w:sz w:val="32"/>
          <w:szCs w:val="32"/>
          <w:highlight w:val="none"/>
          <w14:textFill>
            <w14:solidFill>
              <w14:schemeClr w14:val="tx1"/>
            </w14:solidFill>
          </w14:textFill>
        </w:rPr>
      </w:pPr>
      <w:r>
        <w:rPr>
          <w:rFonts w:ascii="宋体" w:hAnsi="宋体"/>
          <w:color w:val="000000" w:themeColor="text1"/>
          <w:sz w:val="28"/>
          <w:szCs w:val="28"/>
          <w:highlight w:val="none"/>
          <w14:textFill>
            <w14:solidFill>
              <w14:schemeClr w14:val="tx1"/>
            </w14:solidFill>
          </w14:textFill>
        </w:rPr>
        <w:br w:type="page"/>
      </w:r>
      <w:r>
        <w:rPr>
          <w:rFonts w:hint="eastAsia" w:ascii="宋体" w:hAnsi="宋体"/>
          <w:b/>
          <w:color w:val="000000" w:themeColor="text1"/>
          <w:sz w:val="28"/>
          <w:highlight w:val="none"/>
          <w14:textFill>
            <w14:solidFill>
              <w14:schemeClr w14:val="tx1"/>
            </w14:solidFill>
          </w14:textFill>
        </w:rPr>
        <w:t>八、诚信承诺书</w:t>
      </w:r>
    </w:p>
    <w:p>
      <w:pPr>
        <w:pageBreakBefore w:val="0"/>
        <w:kinsoku/>
        <w:overflowPunct/>
        <w:topLinePunct w:val="0"/>
        <w:autoSpaceDN w:val="0"/>
        <w:bidi w:val="0"/>
        <w:spacing w:line="360" w:lineRule="auto"/>
        <w:ind w:left="0" w:leftChars="0" w:right="0" w:rightChars="0"/>
        <w:rPr>
          <w:rFonts w:ascii="宋体" w:hAnsi="宋体"/>
          <w:color w:val="000000" w:themeColor="text1"/>
          <w:highlight w:val="none"/>
          <w:u w:val="singl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（招标人）：</w:t>
      </w:r>
    </w:p>
    <w:p>
      <w:pPr>
        <w:pageBreakBefore w:val="0"/>
        <w:kinsoku/>
        <w:overflowPunct/>
        <w:topLinePunct w:val="0"/>
        <w:bidi w:val="0"/>
        <w:adjustRightInd w:val="0"/>
        <w:snapToGrid w:val="0"/>
        <w:spacing w:line="360" w:lineRule="auto"/>
        <w:ind w:left="0" w:leftChars="0" w:right="0" w:rightChars="0" w:firstLine="480" w:firstLineChars="200"/>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我方参加你方的</w:t>
      </w: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（以下简称“本工程”）的投标，现我方法定代表人向你方慎重承诺：</w:t>
      </w:r>
    </w:p>
    <w:p>
      <w:pPr>
        <w:pageBreakBefore w:val="0"/>
        <w:widowControl/>
        <w:kinsoku/>
        <w:overflowPunct/>
        <w:topLinePunct w:val="0"/>
        <w:bidi w:val="0"/>
        <w:adjustRightInd w:val="0"/>
        <w:snapToGrid w:val="0"/>
        <w:spacing w:line="360" w:lineRule="auto"/>
        <w:ind w:left="0" w:leftChars="0" w:right="0" w:rightChars="0" w:firstLine="468" w:firstLineChars="195"/>
        <w:jc w:val="left"/>
        <w:rPr>
          <w:rFonts w:ascii="宋体" w:hAnsi="宋体" w:cs="宋体"/>
          <w:color w:val="000000" w:themeColor="text1"/>
          <w:kern w:val="0"/>
          <w:sz w:val="23"/>
          <w:szCs w:val="23"/>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1、我方拟派项目负责人</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（身份证号码：</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；注册号：</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至本项目投标文件截止时间前无在建工程且无已中标未开工项目。如果我方经本工程评标委员会评定为中标候选人，在公示期间被他人举报并经招标投标监管机构核实，确认拟派项目负责人有在建工程，且不符合江苏省建设厅“苏建规字（2017）1号”《关于改革和完善房屋建筑和市政基础设施工程招标投标制度的实施意见》附件2《江苏省房屋建筑和市政基础设施工程施工招标资格审查办法》第十条第五款的规定，你方即可取消我方中标候选人资格，并同意投标保证金不予退还。</w:t>
      </w:r>
    </w:p>
    <w:p>
      <w:pPr>
        <w:pageBreakBefore w:val="0"/>
        <w:widowControl/>
        <w:kinsoku/>
        <w:overflowPunct/>
        <w:topLinePunct w:val="0"/>
        <w:bidi w:val="0"/>
        <w:adjustRightInd w:val="0"/>
        <w:snapToGrid w:val="0"/>
        <w:spacing w:line="360" w:lineRule="auto"/>
        <w:ind w:left="0" w:leftChars="0" w:right="0" w:rightChars="0" w:firstLine="468" w:firstLineChars="195"/>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我方财务和经营状况良好，具备履行合同能力；没有因骗取中标或者严重违约以及发生重大工程质量、安全生产事故等问题，被有关部门处于被责令停业、投标资格被取消或者财产被接管、冻结和破产状态；无因投标申请人违约或不恰当履约引起的合同争议纠纷及仲裁和诉讼记录。如果我方经本工程评标委员会评定为中标候选人后，被他人举报并经招标投标监管机构核实，确认存在上述不良记录，你方即可取消我方中标资格，并同意投标保证金不予退还，并接受处罚。</w:t>
      </w:r>
    </w:p>
    <w:p>
      <w:pPr>
        <w:pageBreakBefore w:val="0"/>
        <w:widowControl/>
        <w:kinsoku/>
        <w:overflowPunct/>
        <w:topLinePunct w:val="0"/>
        <w:bidi w:val="0"/>
        <w:adjustRightInd w:val="0"/>
        <w:snapToGrid w:val="0"/>
        <w:spacing w:line="360" w:lineRule="auto"/>
        <w:ind w:left="0" w:leftChars="0" w:right="0" w:rightChars="0" w:firstLine="468" w:firstLineChars="195"/>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3、我方递交的投标文件中的所有资料都是真实可信的，没有弄虚作假。</w:t>
      </w:r>
    </w:p>
    <w:p>
      <w:pPr>
        <w:pageBreakBefore w:val="0"/>
        <w:widowControl/>
        <w:kinsoku/>
        <w:overflowPunct/>
        <w:topLinePunct w:val="0"/>
        <w:bidi w:val="0"/>
        <w:adjustRightInd w:val="0"/>
        <w:snapToGrid w:val="0"/>
        <w:spacing w:line="360" w:lineRule="auto"/>
        <w:ind w:left="0" w:leftChars="0" w:right="0" w:rightChars="0" w:firstLine="468" w:firstLineChars="195"/>
        <w:jc w:val="lef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4、我方不组织、不参与串标围标，没有出借资质等违法违规行为。</w:t>
      </w:r>
    </w:p>
    <w:p>
      <w:pPr>
        <w:pageBreakBefore w:val="0"/>
        <w:widowControl/>
        <w:kinsoku/>
        <w:overflowPunct/>
        <w:topLinePunct w:val="0"/>
        <w:bidi w:val="0"/>
        <w:adjustRightInd w:val="0"/>
        <w:snapToGrid w:val="0"/>
        <w:spacing w:line="360" w:lineRule="auto"/>
        <w:ind w:left="0" w:leftChars="0" w:right="0" w:rightChars="0" w:firstLine="468" w:firstLineChars="195"/>
        <w:jc w:val="left"/>
        <w:rPr>
          <w:rFonts w:ascii="宋体" w:hAnsi="宋体"/>
          <w:color w:val="000000" w:themeColor="text1"/>
          <w:sz w:val="24"/>
          <w:szCs w:val="24"/>
          <w:highlight w:val="none"/>
          <w14:textFill>
            <w14:solidFill>
              <w14:schemeClr w14:val="tx1"/>
            </w14:solidFill>
          </w14:textFill>
        </w:rPr>
      </w:pPr>
    </w:p>
    <w:p>
      <w:pPr>
        <w:pageBreakBefore w:val="0"/>
        <w:kinsoku/>
        <w:overflowPunct/>
        <w:topLinePunct w:val="0"/>
        <w:bidi w:val="0"/>
        <w:adjustRightInd w:val="0"/>
        <w:snapToGrid w:val="0"/>
        <w:spacing w:line="360" w:lineRule="auto"/>
        <w:ind w:left="0" w:leftChars="0" w:right="0" w:rightChars="0" w:firstLine="482" w:firstLineChars="200"/>
        <w:rPr>
          <w:rFonts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我方承诺：违反上述任何一条承诺，自愿意接受当地建设行政主管部门作出的依法处罚，包括同意你方取消我方中标资格并不予退还投标保证金或履约保证金，将我方列入黑名单，并上报南通市建设主管部门。</w:t>
      </w:r>
    </w:p>
    <w:p>
      <w:pPr>
        <w:pageBreakBefore w:val="0"/>
        <w:kinsoku/>
        <w:overflowPunct/>
        <w:topLinePunct w:val="0"/>
        <w:bidi w:val="0"/>
        <w:adjustRightInd w:val="0"/>
        <w:snapToGrid w:val="0"/>
        <w:spacing w:line="360" w:lineRule="auto"/>
        <w:ind w:left="0" w:leftChars="0" w:right="0" w:rightChars="0" w:firstLine="250" w:firstLineChars="98"/>
        <w:rPr>
          <w:rFonts w:ascii="宋体" w:hAnsi="宋体"/>
          <w:color w:val="000000" w:themeColor="text1"/>
          <w:spacing w:val="8"/>
          <w:kern w:val="0"/>
          <w:sz w:val="24"/>
          <w:szCs w:val="24"/>
          <w:highlight w:val="none"/>
          <w14:textFill>
            <w14:solidFill>
              <w14:schemeClr w14:val="tx1"/>
            </w14:solidFill>
          </w14:textFill>
        </w:rPr>
      </w:pPr>
    </w:p>
    <w:p>
      <w:pPr>
        <w:pageBreakBefore w:val="0"/>
        <w:kinsoku/>
        <w:overflowPunct/>
        <w:topLinePunct w:val="0"/>
        <w:bidi w:val="0"/>
        <w:adjustRightInd w:val="0"/>
        <w:snapToGrid w:val="0"/>
        <w:spacing w:line="360" w:lineRule="auto"/>
        <w:ind w:left="0" w:leftChars="0" w:right="0" w:rightChars="0" w:firstLine="3720" w:firstLineChars="1550"/>
        <w:rPr>
          <w:rFonts w:ascii="宋体" w:hAnsi="宋体"/>
          <w:color w:val="000000" w:themeColor="text1"/>
          <w:sz w:val="23"/>
          <w:szCs w:val="23"/>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投标申请人（盖章）：</w:t>
      </w:r>
      <w:r>
        <w:rPr>
          <w:rFonts w:hint="eastAsia" w:ascii="宋体" w:hAnsi="宋体"/>
          <w:color w:val="000000" w:themeColor="text1"/>
          <w:sz w:val="23"/>
          <w:szCs w:val="23"/>
          <w:highlight w:val="none"/>
          <w:u w:val="single"/>
          <w14:textFill>
            <w14:solidFill>
              <w14:schemeClr w14:val="tx1"/>
            </w14:solidFill>
          </w14:textFill>
        </w:rPr>
        <w:t xml:space="preserve">                         </w:t>
      </w:r>
      <w:r>
        <w:rPr>
          <w:rFonts w:hint="eastAsia" w:ascii="宋体" w:hAnsi="宋体"/>
          <w:color w:val="000000" w:themeColor="text1"/>
          <w:sz w:val="23"/>
          <w:szCs w:val="23"/>
          <w:highlight w:val="none"/>
          <w14:textFill>
            <w14:solidFill>
              <w14:schemeClr w14:val="tx1"/>
            </w14:solidFill>
          </w14:textFill>
        </w:rPr>
        <w:t xml:space="preserve"> </w:t>
      </w:r>
    </w:p>
    <w:p>
      <w:pPr>
        <w:pageBreakBefore w:val="0"/>
        <w:tabs>
          <w:tab w:val="left" w:pos="4320"/>
        </w:tabs>
        <w:kinsoku/>
        <w:overflowPunct/>
        <w:topLinePunct w:val="0"/>
        <w:bidi w:val="0"/>
        <w:adjustRightInd w:val="0"/>
        <w:snapToGrid w:val="0"/>
        <w:spacing w:line="360" w:lineRule="auto"/>
        <w:ind w:left="0" w:leftChars="0" w:right="0" w:rightChars="0" w:firstLine="3720" w:firstLineChars="1550"/>
        <w:rPr>
          <w:rFonts w:ascii="宋体" w:hAnsi="宋体"/>
          <w:color w:val="000000" w:themeColor="text1"/>
          <w:sz w:val="23"/>
          <w:szCs w:val="23"/>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法定代表人（签字或盖章）：</w:t>
      </w:r>
      <w:r>
        <w:rPr>
          <w:rFonts w:hint="eastAsia" w:ascii="宋体" w:hAnsi="宋体"/>
          <w:color w:val="000000" w:themeColor="text1"/>
          <w:sz w:val="23"/>
          <w:szCs w:val="23"/>
          <w:highlight w:val="none"/>
          <w:u w:val="single"/>
          <w14:textFill>
            <w14:solidFill>
              <w14:schemeClr w14:val="tx1"/>
            </w14:solidFill>
          </w14:textFill>
        </w:rPr>
        <w:t xml:space="preserve">                   </w:t>
      </w:r>
      <w:r>
        <w:rPr>
          <w:rFonts w:hint="eastAsia" w:ascii="宋体" w:hAnsi="宋体"/>
          <w:color w:val="000000" w:themeColor="text1"/>
          <w:sz w:val="23"/>
          <w:szCs w:val="23"/>
          <w:highlight w:val="none"/>
          <w14:textFill>
            <w14:solidFill>
              <w14:schemeClr w14:val="tx1"/>
            </w14:solidFill>
          </w14:textFill>
        </w:rPr>
        <w:t xml:space="preserve"> </w:t>
      </w:r>
    </w:p>
    <w:p>
      <w:pPr>
        <w:pageBreakBefore w:val="0"/>
        <w:kinsoku/>
        <w:overflowPunct/>
        <w:topLinePunct w:val="0"/>
        <w:bidi w:val="0"/>
        <w:spacing w:line="360" w:lineRule="auto"/>
        <w:ind w:left="0" w:leftChars="0" w:right="0" w:rightChars="0"/>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3"/>
          <w:szCs w:val="23"/>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日期：</w:t>
      </w:r>
      <w:r>
        <w:rPr>
          <w:rFonts w:hint="eastAsia" w:ascii="宋体" w:hAnsi="宋体"/>
          <w:color w:val="000000" w:themeColor="text1"/>
          <w:sz w:val="23"/>
          <w:szCs w:val="23"/>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3"/>
          <w:szCs w:val="23"/>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3"/>
          <w:szCs w:val="23"/>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p>
      <w:pPr>
        <w:pageBreakBefore w:val="0"/>
        <w:kinsoku/>
        <w:overflowPunct/>
        <w:topLinePunct w:val="0"/>
        <w:bidi w:val="0"/>
        <w:adjustRightInd w:val="0"/>
        <w:snapToGrid w:val="0"/>
        <w:spacing w:line="360" w:lineRule="auto"/>
        <w:ind w:left="0" w:leftChars="0" w:right="0" w:rightChars="0" w:firstLine="5093" w:firstLineChars="1812"/>
        <w:rPr>
          <w:rFonts w:ascii="宋体" w:hAnsi="宋体"/>
          <w:b/>
          <w:bCs/>
          <w:color w:val="000000" w:themeColor="text1"/>
          <w:sz w:val="44"/>
          <w:szCs w:val="44"/>
          <w:highlight w:val="none"/>
          <w14:textFill>
            <w14:solidFill>
              <w14:schemeClr w14:val="tx1"/>
            </w14:solidFill>
          </w14:textFill>
        </w:rPr>
      </w:pPr>
      <w:bookmarkStart w:id="49" w:name="_Toc384362307"/>
      <w:bookmarkStart w:id="50" w:name="_Toc321922480"/>
      <w:r>
        <w:rPr>
          <w:rFonts w:ascii="宋体" w:hAnsi="宋体"/>
          <w:b/>
          <w:bCs/>
          <w:color w:val="000000" w:themeColor="text1"/>
          <w:sz w:val="28"/>
          <w:szCs w:val="28"/>
          <w:highlight w:val="none"/>
          <w14:textFill>
            <w14:solidFill>
              <w14:schemeClr w14:val="tx1"/>
            </w14:solidFill>
          </w14:textFill>
        </w:rPr>
        <w:br w:type="page"/>
      </w:r>
      <w:bookmarkEnd w:id="49"/>
      <w:bookmarkEnd w:id="50"/>
    </w:p>
    <w:p>
      <w:pPr>
        <w:pageBreakBefore w:val="0"/>
        <w:kinsoku/>
        <w:overflowPunct/>
        <w:topLinePunct w:val="0"/>
        <w:bidi w:val="0"/>
        <w:adjustRightInd w:val="0"/>
        <w:snapToGrid w:val="0"/>
        <w:spacing w:line="360" w:lineRule="auto"/>
        <w:ind w:left="0" w:leftChars="0" w:right="0" w:rightChars="0"/>
        <w:jc w:val="center"/>
        <w:rPr>
          <w:rFonts w:ascii="宋体" w:hAnsi="宋体"/>
          <w:b/>
          <w:bCs/>
          <w:color w:val="000000" w:themeColor="text1"/>
          <w:sz w:val="44"/>
          <w:szCs w:val="44"/>
          <w:highlight w:val="none"/>
          <w14:textFill>
            <w14:solidFill>
              <w14:schemeClr w14:val="tx1"/>
            </w14:solidFill>
          </w14:textFill>
        </w:rPr>
      </w:pPr>
    </w:p>
    <w:p>
      <w:pPr>
        <w:pStyle w:val="6"/>
        <w:pageBreakBefore w:val="0"/>
        <w:kinsoku/>
        <w:overflowPunct/>
        <w:topLinePunct w:val="0"/>
        <w:bidi w:val="0"/>
        <w:spacing w:before="0" w:after="0" w:line="360" w:lineRule="auto"/>
        <w:ind w:left="0" w:leftChars="0" w:right="0" w:rightChars="0"/>
        <w:jc w:val="center"/>
        <w:rPr>
          <w:rFonts w:ascii="宋体" w:hAnsi="宋体" w:eastAsia="宋体" w:cs="Times New Roman"/>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第七章 商务标文件格式</w:t>
      </w:r>
    </w:p>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bCs/>
          <w:color w:val="000000" w:themeColor="text1"/>
          <w:sz w:val="32"/>
          <w:szCs w:val="24"/>
          <w:highlight w:val="none"/>
          <w14:textFill>
            <w14:solidFill>
              <w14:schemeClr w14:val="tx1"/>
            </w14:solidFill>
          </w14:textFill>
        </w:rPr>
      </w:pPr>
      <w:r>
        <w:rPr>
          <w:rFonts w:ascii="宋体" w:hAnsi="宋体"/>
          <w:color w:val="000000" w:themeColor="text1"/>
          <w:sz w:val="32"/>
          <w:szCs w:val="32"/>
          <w:highlight w:val="none"/>
          <w14:textFill>
            <w14:solidFill>
              <w14:schemeClr w14:val="tx1"/>
            </w14:solidFill>
          </w14:textFill>
        </w:rPr>
        <w:t>（封面）</w:t>
      </w:r>
    </w:p>
    <w:p>
      <w:pPr>
        <w:pageBreakBefore w:val="0"/>
        <w:kinsoku/>
        <w:overflowPunct/>
        <w:topLinePunct w:val="0"/>
        <w:bidi w:val="0"/>
        <w:spacing w:line="360" w:lineRule="auto"/>
        <w:ind w:left="0" w:leftChars="0" w:right="0" w:rightChars="0"/>
        <w:jc w:val="center"/>
        <w:rPr>
          <w:rFonts w:ascii="宋体" w:hAnsi="宋体"/>
          <w:b/>
          <w:bCs/>
          <w:color w:val="000000" w:themeColor="text1"/>
          <w:sz w:val="32"/>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0" w:firstLineChars="150"/>
        <w:jc w:val="center"/>
        <w:textAlignment w:val="baseline"/>
        <w:rPr>
          <w:rFonts w:ascii="宋体" w:hAnsi="宋体"/>
          <w:color w:val="000000" w:themeColor="text1"/>
          <w:kern w:val="0"/>
          <w:sz w:val="32"/>
          <w:szCs w:val="32"/>
          <w:highlight w:val="none"/>
          <w14:textFill>
            <w14:solidFill>
              <w14:schemeClr w14:val="tx1"/>
            </w14:solidFill>
          </w14:textFill>
        </w:rPr>
      </w:pPr>
      <w:r>
        <w:rPr>
          <w:rFonts w:ascii="宋体" w:hAnsi="宋体"/>
          <w:color w:val="000000" w:themeColor="text1"/>
          <w:kern w:val="0"/>
          <w:sz w:val="32"/>
          <w:szCs w:val="32"/>
          <w:highlight w:val="none"/>
          <w:u w:val="single"/>
          <w14:textFill>
            <w14:solidFill>
              <w14:schemeClr w14:val="tx1"/>
            </w14:solidFill>
          </w14:textFill>
        </w:rPr>
        <w:t xml:space="preserve">                               </w:t>
      </w:r>
      <w:r>
        <w:rPr>
          <w:rFonts w:ascii="宋体" w:hAnsi="宋体"/>
          <w:color w:val="000000" w:themeColor="text1"/>
          <w:kern w:val="0"/>
          <w:sz w:val="32"/>
          <w:szCs w:val="32"/>
          <w:highlight w:val="none"/>
          <w14:textFill>
            <w14:solidFill>
              <w14:schemeClr w14:val="tx1"/>
            </w14:solidFill>
          </w14:textFill>
        </w:rPr>
        <w:t>（项目名称）</w:t>
      </w: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b/>
          <w:bCs/>
          <w:color w:val="000000" w:themeColor="text1"/>
          <w:spacing w:val="60"/>
          <w:kern w:val="0"/>
          <w:sz w:val="84"/>
          <w:szCs w:val="84"/>
          <w:highlight w:val="none"/>
          <w14:textFill>
            <w14:solidFill>
              <w14:schemeClr w14:val="tx1"/>
            </w14:solidFill>
          </w14:textFill>
        </w:rPr>
      </w:pPr>
      <w:r>
        <w:rPr>
          <w:rFonts w:ascii="宋体" w:hAnsi="宋体"/>
          <w:b/>
          <w:bCs/>
          <w:color w:val="000000" w:themeColor="text1"/>
          <w:spacing w:val="60"/>
          <w:kern w:val="0"/>
          <w:sz w:val="84"/>
          <w:szCs w:val="84"/>
          <w:highlight w:val="none"/>
          <w14:textFill>
            <w14:solidFill>
              <w14:schemeClr w14:val="tx1"/>
            </w14:solidFill>
          </w14:textFill>
        </w:rPr>
        <w:t xml:space="preserve"> 投标书</w:t>
      </w: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48"/>
          <w:szCs w:val="48"/>
          <w:highlight w:val="none"/>
          <w14:textFill>
            <w14:solidFill>
              <w14:schemeClr w14:val="tx1"/>
            </w14:solidFill>
          </w14:textFill>
        </w:rPr>
      </w:pPr>
      <w:r>
        <w:rPr>
          <w:rFonts w:ascii="宋体" w:hAnsi="宋体"/>
          <w:color w:val="000000" w:themeColor="text1"/>
          <w:kern w:val="0"/>
          <w:sz w:val="48"/>
          <w:szCs w:val="48"/>
          <w:highlight w:val="none"/>
          <w14:textFill>
            <w14:solidFill>
              <w14:schemeClr w14:val="tx1"/>
            </w14:solidFill>
          </w14:textFill>
        </w:rPr>
        <w:t>（商务标）</w:t>
      </w: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2"/>
        <w:jc w:val="center"/>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0" w:firstLineChars="160"/>
        <w:textAlignment w:val="baseline"/>
        <w:rPr>
          <w:rFonts w:ascii="宋体" w:hAnsi="宋体"/>
          <w:color w:val="000000" w:themeColor="text1"/>
          <w:kern w:val="0"/>
          <w:sz w:val="30"/>
          <w:szCs w:val="24"/>
          <w:highlight w:val="none"/>
          <w:u w:val="single"/>
          <w14:textFill>
            <w14:solidFill>
              <w14:schemeClr w14:val="tx1"/>
            </w14:solidFill>
          </w14:textFill>
        </w:rPr>
      </w:pPr>
      <w:r>
        <w:rPr>
          <w:rFonts w:ascii="宋体" w:hAnsi="宋体"/>
          <w:color w:val="000000" w:themeColor="text1"/>
          <w:kern w:val="0"/>
          <w:sz w:val="30"/>
          <w:szCs w:val="24"/>
          <w:highlight w:val="none"/>
          <w14:textFill>
            <w14:solidFill>
              <w14:schemeClr w14:val="tx1"/>
            </w14:solidFill>
          </w14:textFill>
        </w:rPr>
        <w:t>投标人：</w:t>
      </w:r>
      <w:r>
        <w:rPr>
          <w:rFonts w:ascii="宋体" w:hAnsi="宋体"/>
          <w:color w:val="000000" w:themeColor="text1"/>
          <w:kern w:val="0"/>
          <w:sz w:val="30"/>
          <w:szCs w:val="24"/>
          <w:highlight w:val="none"/>
          <w:u w:val="single"/>
          <w14:textFill>
            <w14:solidFill>
              <w14:schemeClr w14:val="tx1"/>
            </w14:solidFill>
          </w14:textFill>
        </w:rPr>
        <w:t xml:space="preserve">                                </w:t>
      </w:r>
      <w:r>
        <w:rPr>
          <w:rFonts w:ascii="宋体" w:hAnsi="宋体"/>
          <w:color w:val="000000" w:themeColor="text1"/>
          <w:kern w:val="0"/>
          <w:sz w:val="30"/>
          <w:szCs w:val="24"/>
          <w:highlight w:val="none"/>
          <w14:textFill>
            <w14:solidFill>
              <w14:schemeClr w14:val="tx1"/>
            </w14:solidFill>
          </w14:textFill>
        </w:rPr>
        <w:t>（盖单位公章）</w:t>
      </w:r>
    </w:p>
    <w:p>
      <w:pPr>
        <w:pageBreakBefore w:val="0"/>
        <w:kinsoku/>
        <w:overflowPunct/>
        <w:topLinePunct w:val="0"/>
        <w:bidi w:val="0"/>
        <w:adjustRightInd w:val="0"/>
        <w:spacing w:line="360" w:lineRule="auto"/>
        <w:ind w:left="0" w:leftChars="0" w:right="0" w:rightChars="0" w:firstLine="480" w:firstLineChars="160"/>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pacing w:line="360" w:lineRule="auto"/>
        <w:ind w:left="0" w:leftChars="0" w:right="0" w:rightChars="0" w:firstLine="480" w:firstLineChars="160"/>
        <w:textAlignment w:val="baseline"/>
        <w:rPr>
          <w:rFonts w:ascii="宋体" w:hAnsi="宋体"/>
          <w:color w:val="000000" w:themeColor="text1"/>
          <w:kern w:val="0"/>
          <w:sz w:val="30"/>
          <w:szCs w:val="24"/>
          <w:highlight w:val="none"/>
          <w:u w:val="single"/>
          <w14:textFill>
            <w14:solidFill>
              <w14:schemeClr w14:val="tx1"/>
            </w14:solidFill>
          </w14:textFill>
        </w:rPr>
      </w:pPr>
      <w:r>
        <w:rPr>
          <w:rFonts w:ascii="宋体" w:hAnsi="宋体"/>
          <w:color w:val="000000" w:themeColor="text1"/>
          <w:kern w:val="0"/>
          <w:sz w:val="30"/>
          <w:szCs w:val="24"/>
          <w:highlight w:val="none"/>
          <w14:textFill>
            <w14:solidFill>
              <w14:schemeClr w14:val="tx1"/>
            </w14:solidFill>
          </w14:textFill>
        </w:rPr>
        <w:t>法定代表人或其委托代理人：</w:t>
      </w:r>
      <w:r>
        <w:rPr>
          <w:rFonts w:ascii="宋体" w:hAnsi="宋体"/>
          <w:color w:val="000000" w:themeColor="text1"/>
          <w:kern w:val="0"/>
          <w:sz w:val="30"/>
          <w:szCs w:val="24"/>
          <w:highlight w:val="none"/>
          <w:u w:val="single"/>
          <w14:textFill>
            <w14:solidFill>
              <w14:schemeClr w14:val="tx1"/>
            </w14:solidFill>
          </w14:textFill>
        </w:rPr>
        <w:t xml:space="preserve">              </w:t>
      </w:r>
      <w:r>
        <w:rPr>
          <w:rFonts w:ascii="宋体" w:hAnsi="宋体"/>
          <w:color w:val="000000" w:themeColor="text1"/>
          <w:kern w:val="0"/>
          <w:sz w:val="30"/>
          <w:szCs w:val="24"/>
          <w:highlight w:val="none"/>
          <w14:textFill>
            <w14:solidFill>
              <w14:schemeClr w14:val="tx1"/>
            </w14:solidFill>
          </w14:textFill>
        </w:rPr>
        <w:t>（签字或盖章）</w:t>
      </w:r>
    </w:p>
    <w:p>
      <w:pPr>
        <w:pageBreakBefore w:val="0"/>
        <w:kinsoku/>
        <w:overflowPunct/>
        <w:topLinePunct w:val="0"/>
        <w:bidi w:val="0"/>
        <w:adjustRightInd w:val="0"/>
        <w:spacing w:line="360" w:lineRule="auto"/>
        <w:ind w:left="0" w:leftChars="0" w:right="0" w:rightChars="0" w:firstLine="480" w:firstLineChars="160"/>
        <w:textAlignment w:val="baseline"/>
        <w:rPr>
          <w:rFonts w:ascii="宋体" w:hAnsi="宋体"/>
          <w:color w:val="000000" w:themeColor="text1"/>
          <w:kern w:val="0"/>
          <w:sz w:val="30"/>
          <w:szCs w:val="24"/>
          <w:highlight w:val="none"/>
          <w14:textFill>
            <w14:solidFill>
              <w14:schemeClr w14:val="tx1"/>
            </w14:solidFill>
          </w14:textFill>
        </w:rPr>
      </w:pPr>
    </w:p>
    <w:p>
      <w:pPr>
        <w:pageBreakBefore w:val="0"/>
        <w:kinsoku/>
        <w:overflowPunct/>
        <w:topLinePunct w:val="0"/>
        <w:bidi w:val="0"/>
        <w:adjustRightInd w:val="0"/>
        <w:snapToGrid w:val="0"/>
        <w:spacing w:line="360" w:lineRule="auto"/>
        <w:ind w:left="0" w:leftChars="0" w:right="0" w:rightChars="0" w:firstLine="441" w:firstLineChars="147"/>
        <w:rPr>
          <w:rFonts w:ascii="宋体" w:hAnsi="宋体"/>
          <w:b/>
          <w:bCs/>
          <w:color w:val="000000" w:themeColor="text1"/>
          <w:sz w:val="28"/>
          <w:szCs w:val="28"/>
          <w:highlight w:val="none"/>
          <w14:textFill>
            <w14:solidFill>
              <w14:schemeClr w14:val="tx1"/>
            </w14:solidFill>
          </w14:textFill>
        </w:rPr>
      </w:pPr>
      <w:r>
        <w:rPr>
          <w:rFonts w:ascii="宋体" w:hAnsi="宋体"/>
          <w:color w:val="000000" w:themeColor="text1"/>
          <w:sz w:val="30"/>
          <w:szCs w:val="24"/>
          <w:highlight w:val="none"/>
          <w14:textFill>
            <w14:solidFill>
              <w14:schemeClr w14:val="tx1"/>
            </w14:solidFill>
          </w14:textFill>
        </w:rPr>
        <w:t>日   期：</w:t>
      </w:r>
      <w:r>
        <w:rPr>
          <w:rFonts w:ascii="宋体" w:hAnsi="宋体"/>
          <w:color w:val="000000" w:themeColor="text1"/>
          <w:sz w:val="30"/>
          <w:szCs w:val="24"/>
          <w:highlight w:val="none"/>
          <w:u w:val="single"/>
          <w14:textFill>
            <w14:solidFill>
              <w14:schemeClr w14:val="tx1"/>
            </w14:solidFill>
          </w14:textFill>
        </w:rPr>
        <w:t xml:space="preserve">        年     月     日</w:t>
      </w:r>
    </w:p>
    <w:p>
      <w:pPr>
        <w:pageBreakBefore w:val="0"/>
        <w:widowControl/>
        <w:tabs>
          <w:tab w:val="left" w:pos="0"/>
          <w:tab w:val="left" w:pos="993"/>
          <w:tab w:val="left" w:pos="1134"/>
        </w:tabs>
        <w:kinsoku/>
        <w:overflowPunct/>
        <w:topLinePunct w:val="0"/>
        <w:bidi w:val="0"/>
        <w:adjustRightInd w:val="0"/>
        <w:snapToGrid w:val="0"/>
        <w:spacing w:line="360" w:lineRule="auto"/>
        <w:ind w:left="0" w:leftChars="0" w:right="0" w:rightChars="0"/>
        <w:jc w:val="center"/>
        <w:rPr>
          <w:rFonts w:ascii="宋体" w:hAnsi="宋体"/>
          <w:b/>
          <w:bCs/>
          <w:color w:val="000000" w:themeColor="text1"/>
          <w:sz w:val="32"/>
          <w:szCs w:val="32"/>
          <w:highlight w:val="none"/>
          <w14:textFill>
            <w14:solidFill>
              <w14:schemeClr w14:val="tx1"/>
            </w14:solidFill>
          </w14:textFill>
        </w:rPr>
      </w:pPr>
      <w:r>
        <w:rPr>
          <w:rFonts w:ascii="宋体" w:hAnsi="宋体"/>
          <w:b/>
          <w:bCs/>
          <w:color w:val="000000" w:themeColor="text1"/>
          <w:sz w:val="32"/>
          <w:szCs w:val="32"/>
          <w:highlight w:val="none"/>
          <w14:textFill>
            <w14:solidFill>
              <w14:schemeClr w14:val="tx1"/>
            </w14:solidFill>
          </w14:textFill>
        </w:rPr>
        <w:br w:type="page"/>
      </w:r>
      <w:r>
        <w:rPr>
          <w:rFonts w:hint="eastAsia" w:ascii="宋体" w:hAnsi="宋体" w:cs="宋体"/>
          <w:b/>
          <w:bCs/>
          <w:color w:val="000000" w:themeColor="text1"/>
          <w:sz w:val="32"/>
          <w:szCs w:val="32"/>
          <w:highlight w:val="none"/>
          <w14:textFill>
            <w14:solidFill>
              <w14:schemeClr w14:val="tx1"/>
            </w14:solidFill>
          </w14:textFill>
        </w:rPr>
        <w:t>一、投标函</w:t>
      </w:r>
    </w:p>
    <w:p>
      <w:pPr>
        <w:pageBreakBefore w:val="0"/>
        <w:widowControl/>
        <w:tabs>
          <w:tab w:val="left" w:pos="0"/>
          <w:tab w:val="left" w:pos="993"/>
          <w:tab w:val="left" w:pos="1134"/>
        </w:tabs>
        <w:kinsoku/>
        <w:overflowPunct/>
        <w:topLinePunct w:val="0"/>
        <w:bidi w:val="0"/>
        <w:adjustRightInd w:val="0"/>
        <w:snapToGrid w:val="0"/>
        <w:spacing w:line="360" w:lineRule="auto"/>
        <w:ind w:left="0" w:leftChars="0" w:right="0" w:rightChars="0"/>
        <w:rPr>
          <w:rFonts w:ascii="宋体" w:hAnsi="宋体"/>
          <w:snapToGrid w:val="0"/>
          <w:color w:val="000000" w:themeColor="text1"/>
          <w:kern w:val="0"/>
          <w:sz w:val="30"/>
          <w:szCs w:val="30"/>
          <w:highlight w:val="none"/>
          <w14:textFill>
            <w14:solidFill>
              <w14:schemeClr w14:val="tx1"/>
            </w14:solidFill>
          </w14:textFill>
        </w:rPr>
      </w:pPr>
    </w:p>
    <w:p>
      <w:pPr>
        <w:pageBreakBefore w:val="0"/>
        <w:widowControl/>
        <w:tabs>
          <w:tab w:val="left" w:pos="0"/>
          <w:tab w:val="left" w:pos="993"/>
          <w:tab w:val="left" w:pos="1134"/>
        </w:tabs>
        <w:kinsoku/>
        <w:overflowPunct/>
        <w:topLinePunct w:val="0"/>
        <w:bidi w:val="0"/>
        <w:adjustRightInd w:val="0"/>
        <w:snapToGrid w:val="0"/>
        <w:spacing w:line="360" w:lineRule="auto"/>
        <w:ind w:left="0" w:leftChars="0" w:right="0" w:rightChars="0"/>
        <w:rPr>
          <w:rFonts w:ascii="宋体" w:hAnsi="宋体"/>
          <w:snapToGrid w:val="0"/>
          <w:color w:val="000000" w:themeColor="text1"/>
          <w:kern w:val="0"/>
          <w:sz w:val="24"/>
          <w:szCs w:val="24"/>
          <w:highlight w:val="none"/>
          <w:u w:val="single"/>
          <w14:textFill>
            <w14:solidFill>
              <w14:schemeClr w14:val="tx1"/>
            </w14:solidFill>
          </w14:textFill>
        </w:rPr>
      </w:pPr>
      <w:r>
        <w:rPr>
          <w:rFonts w:hint="eastAsia" w:ascii="宋体" w:hAnsi="宋体" w:cs="宋体"/>
          <w:snapToGrid w:val="0"/>
          <w:color w:val="000000" w:themeColor="text1"/>
          <w:kern w:val="0"/>
          <w:sz w:val="24"/>
          <w:szCs w:val="24"/>
          <w:highlight w:val="none"/>
          <w:u w:val="single"/>
          <w14:textFill>
            <w14:solidFill>
              <w14:schemeClr w14:val="tx1"/>
            </w14:solidFill>
          </w14:textFill>
        </w:rPr>
        <w:t>（招标人名称）：</w:t>
      </w:r>
    </w:p>
    <w:p>
      <w:pPr>
        <w:pStyle w:val="15"/>
        <w:pageBreakBefore w:val="0"/>
        <w:kinsoku/>
        <w:overflowPunct/>
        <w:topLinePunct w:val="0"/>
        <w:bidi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 根据已收到的</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（工程名称）</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（标段名称）的招标文件，我方经仔细研究招标文件全部内容并对现场进行踏勘后，愿遵守《中华人民共和国招标投标法》等有关法律文件的规定，并愿以人民币（大写）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w:t>
      </w:r>
      <w:r>
        <w:rPr>
          <w:rFonts w:hint="eastAsia" w:ascii="宋体" w:hAnsi="宋体" w:cs="仿宋_GB2312"/>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小写)</w:t>
      </w:r>
      <w:r>
        <w:rPr>
          <w:rFonts w:hint="eastAsia" w:ascii="宋体" w:hAnsi="宋体"/>
          <w:color w:val="000000" w:themeColor="text1"/>
          <w:highlight w:val="none"/>
          <w:u w:val="single"/>
          <w14:textFill>
            <w14:solidFill>
              <w14:schemeClr w14:val="tx1"/>
            </w14:solidFill>
          </w14:textFill>
        </w:rPr>
        <w:t xml:space="preserve">          元</w:t>
      </w:r>
      <w:r>
        <w:rPr>
          <w:rFonts w:hint="eastAsia" w:ascii="宋体" w:hAnsi="宋体"/>
          <w:color w:val="000000" w:themeColor="text1"/>
          <w:highlight w:val="none"/>
          <w14:textFill>
            <w14:solidFill>
              <w14:schemeClr w14:val="tx1"/>
            </w14:solidFill>
          </w14:textFill>
        </w:rPr>
        <w:t>］的总价，按招标文件的要求承包本次招标范围内的全部工程，修补工程中的任何缺陷。</w:t>
      </w:r>
    </w:p>
    <w:p>
      <w:pPr>
        <w:pStyle w:val="15"/>
        <w:pageBreakBefore w:val="0"/>
        <w:kinsoku/>
        <w:overflowPunct/>
        <w:topLinePunct w:val="0"/>
        <w:bidi w:val="0"/>
        <w:spacing w:line="360" w:lineRule="auto"/>
        <w:ind w:left="0" w:leftChars="0" w:right="0" w:rightChars="0" w:firstLine="48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(二)我方保证在收到贵单位发出的书面开工令后立即开工，并保证在工期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日历天内竣工并移交整个工程及相关资料。</w:t>
      </w:r>
    </w:p>
    <w:p>
      <w:pPr>
        <w:pageBreakBefore w:val="0"/>
        <w:widowControl/>
        <w:kinsoku/>
        <w:overflowPunct/>
        <w:topLinePunct w:val="0"/>
        <w:bidi w:val="0"/>
        <w:spacing w:line="360" w:lineRule="auto"/>
        <w:ind w:left="0" w:leftChars="0" w:right="0" w:rightChars="0" w:firstLine="420"/>
        <w:jc w:val="lef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(三)我方保证本工程质量达到</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p>
      <w:pPr>
        <w:pStyle w:val="15"/>
        <w:pageBreakBefore w:val="0"/>
        <w:widowControl/>
        <w:kinsoku/>
        <w:overflowPunct/>
        <w:topLinePunct w:val="0"/>
        <w:bidi w:val="0"/>
        <w:adjustRightInd/>
        <w:spacing w:line="360" w:lineRule="auto"/>
        <w:ind w:left="0" w:leftChars="0" w:right="0" w:rightChars="0" w:firstLine="420"/>
        <w:jc w:val="left"/>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(四)如果我方中标，我方承诺在收到中标通知书后，在中标通知书规定的期限内与贵方签订合同，并将按照招标文件规定的时间、数额提交履约保证金和中标差额保证金。</w:t>
      </w:r>
    </w:p>
    <w:p>
      <w:pPr>
        <w:pStyle w:val="15"/>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(五)贵单位的招标文件、中标通知书和本投标文件将构成约束我们双方的合同。</w:t>
      </w: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投标人(盖法人章)：</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u w:val="single"/>
          <w14:textFill>
            <w14:solidFill>
              <w14:schemeClr w14:val="tx1"/>
            </w14:solidFill>
          </w14:textFill>
        </w:rPr>
      </w:pPr>
      <w:r>
        <w:rPr>
          <w:rFonts w:hint="eastAsia" w:ascii="宋体" w:hAnsi="宋体"/>
          <w:color w:val="000000" w:themeColor="text1"/>
          <w:highlight w:val="none"/>
          <w14:textFill>
            <w14:solidFill>
              <w14:schemeClr w14:val="tx1"/>
            </w14:solidFill>
          </w14:textFill>
        </w:rPr>
        <w:t>法定代表人或委托代理人(签字或盖章)：</w:t>
      </w:r>
      <w:r>
        <w:rPr>
          <w:rFonts w:hint="eastAsia" w:ascii="宋体" w:hAnsi="宋体"/>
          <w:color w:val="000000" w:themeColor="text1"/>
          <w:highlight w:val="none"/>
          <w:u w:val="single"/>
          <w14:textFill>
            <w14:solidFill>
              <w14:schemeClr w14:val="tx1"/>
            </w14:solidFill>
          </w14:textFill>
        </w:rPr>
        <w:t xml:space="preserve">                        </w:t>
      </w: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p>
    <w:p>
      <w:pPr>
        <w:pStyle w:val="15"/>
        <w:pageBreakBefore w:val="0"/>
        <w:kinsoku/>
        <w:overflowPunct/>
        <w:topLinePunct w:val="0"/>
        <w:bidi w:val="0"/>
        <w:spacing w:line="360" w:lineRule="auto"/>
        <w:ind w:left="0" w:leftChars="0" w:right="0" w:rightChars="0" w:firstLine="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日期：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p>
    <w:p>
      <w:pPr>
        <w:pStyle w:val="284"/>
        <w:pageBreakBefore w:val="0"/>
        <w:kinsoku/>
        <w:overflowPunct/>
        <w:topLinePunct w:val="0"/>
        <w:bidi w:val="0"/>
        <w:spacing w:after="0" w:line="360" w:lineRule="auto"/>
        <w:ind w:left="0" w:leftChars="0" w:right="0" w:rightChars="0"/>
        <w:rPr>
          <w:rFonts w:ascii="宋体" w:hAnsi="宋体"/>
          <w:color w:val="000000" w:themeColor="text1"/>
          <w:sz w:val="32"/>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b/>
          <w:bCs/>
          <w:color w:val="000000" w:themeColor="text1"/>
          <w:sz w:val="30"/>
          <w:szCs w:val="30"/>
          <w:highlight w:val="none"/>
          <w14:textFill>
            <w14:solidFill>
              <w14:schemeClr w14:val="tx1"/>
            </w14:solidFill>
          </w14:textFill>
        </w:rPr>
      </w:pPr>
      <w:r>
        <w:rPr>
          <w:rFonts w:ascii="宋体" w:hAnsi="宋体"/>
          <w:b/>
          <w:bCs/>
          <w:color w:val="000000" w:themeColor="text1"/>
          <w:sz w:val="30"/>
          <w:szCs w:val="30"/>
          <w:highlight w:val="none"/>
          <w14:textFill>
            <w14:solidFill>
              <w14:schemeClr w14:val="tx1"/>
            </w14:solidFill>
          </w14:textFill>
        </w:rPr>
        <w:br w:type="page"/>
      </w:r>
      <w:r>
        <w:rPr>
          <w:rFonts w:hint="eastAsia" w:ascii="宋体" w:hAnsi="宋体" w:cs="宋体"/>
          <w:b/>
          <w:bCs/>
          <w:color w:val="000000" w:themeColor="text1"/>
          <w:sz w:val="30"/>
          <w:szCs w:val="30"/>
          <w:highlight w:val="none"/>
          <w14:textFill>
            <w14:solidFill>
              <w14:schemeClr w14:val="tx1"/>
            </w14:solidFill>
          </w14:textFill>
        </w:rPr>
        <w:t>二、已标价的工程量清单</w:t>
      </w:r>
    </w:p>
    <w:p>
      <w:pPr>
        <w:pStyle w:val="284"/>
        <w:pageBreakBefore w:val="0"/>
        <w:kinsoku/>
        <w:overflowPunct/>
        <w:topLinePunct w:val="0"/>
        <w:bidi w:val="0"/>
        <w:spacing w:after="0" w:line="360" w:lineRule="auto"/>
        <w:ind w:left="0" w:leftChars="0" w:right="0" w:rightChars="0"/>
        <w:rPr>
          <w:rFonts w:ascii="宋体" w:hAnsi="宋体" w:cs="宋体"/>
          <w:b/>
          <w:bCs/>
          <w:color w:val="000000" w:themeColor="text1"/>
          <w:sz w:val="30"/>
          <w:szCs w:val="30"/>
          <w:highlight w:val="none"/>
          <w14:textFill>
            <w14:solidFill>
              <w14:schemeClr w14:val="tx1"/>
            </w14:solidFill>
          </w14:textFill>
        </w:rPr>
      </w:pPr>
    </w:p>
    <w:p>
      <w:pPr>
        <w:pStyle w:val="284"/>
        <w:pageBreakBefore w:val="0"/>
        <w:kinsoku/>
        <w:overflowPunct/>
        <w:topLinePunct w:val="0"/>
        <w:bidi w:val="0"/>
        <w:spacing w:after="0" w:line="360" w:lineRule="auto"/>
        <w:ind w:left="0" w:leftChars="0" w:right="0" w:rightChars="0"/>
        <w:rPr>
          <w:rFonts w:ascii="宋体" w:hAnsi="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0"/>
          <w:szCs w:val="30"/>
          <w:highlight w:val="none"/>
          <w14:textFill>
            <w14:solidFill>
              <w14:schemeClr w14:val="tx1"/>
            </w14:solidFill>
          </w14:textFill>
        </w:rPr>
        <w:t>三、计划投入的主要施工机械设备表</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2300"/>
        <w:gridCol w:w="700"/>
        <w:gridCol w:w="700"/>
        <w:gridCol w:w="900"/>
        <w:gridCol w:w="900"/>
        <w:gridCol w:w="1100"/>
        <w:gridCol w:w="1100"/>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2"/>
                <w:sz w:val="23"/>
                <w:szCs w:val="23"/>
                <w:highlight w:val="none"/>
                <w14:textFill>
                  <w14:solidFill>
                    <w14:schemeClr w14:val="tx1"/>
                  </w14:solidFill>
                </w14:textFill>
              </w:rPr>
            </w:pPr>
            <w:r>
              <w:rPr>
                <w:rFonts w:hint="eastAsia" w:ascii="宋体" w:hAnsi="宋体" w:cs="宋体"/>
                <w:color w:val="000000" w:themeColor="text1"/>
                <w:kern w:val="2"/>
                <w:position w:val="-32"/>
                <w:sz w:val="23"/>
                <w:szCs w:val="23"/>
                <w:highlight w:val="none"/>
                <w14:textFill>
                  <w14:solidFill>
                    <w14:schemeClr w14:val="tx1"/>
                  </w14:solidFill>
                </w14:textFill>
              </w:rPr>
              <w:t>序号</w:t>
            </w:r>
          </w:p>
        </w:tc>
        <w:tc>
          <w:tcPr>
            <w:tcW w:w="23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50"/>
                <w:sz w:val="23"/>
                <w:szCs w:val="23"/>
                <w:highlight w:val="none"/>
                <w14:textFill>
                  <w14:solidFill>
                    <w14:schemeClr w14:val="tx1"/>
                  </w14:solidFill>
                </w14:textFill>
              </w:rPr>
            </w:pPr>
            <w:r>
              <w:rPr>
                <w:rFonts w:hint="eastAsia" w:ascii="宋体" w:hAnsi="宋体" w:cs="宋体"/>
                <w:color w:val="000000" w:themeColor="text1"/>
                <w:kern w:val="2"/>
                <w:position w:val="-50"/>
                <w:sz w:val="23"/>
                <w:szCs w:val="23"/>
                <w:highlight w:val="none"/>
                <w14:textFill>
                  <w14:solidFill>
                    <w14:schemeClr w14:val="tx1"/>
                  </w14:solidFill>
                </w14:textFill>
              </w:rPr>
              <w:t>机械设备名称</w:t>
            </w:r>
          </w:p>
        </w:tc>
        <w:tc>
          <w:tcPr>
            <w:tcW w:w="7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3"/>
                <w:szCs w:val="23"/>
                <w:highlight w:val="none"/>
                <w14:textFill>
                  <w14:solidFill>
                    <w14:schemeClr w14:val="tx1"/>
                  </w14:solidFill>
                </w14:textFill>
              </w:rPr>
            </w:pPr>
            <w:r>
              <w:rPr>
                <w:rFonts w:hint="eastAsia" w:ascii="宋体" w:hAnsi="宋体" w:cs="宋体"/>
                <w:color w:val="000000" w:themeColor="text1"/>
                <w:kern w:val="2"/>
                <w:position w:val="-30"/>
                <w:sz w:val="23"/>
                <w:szCs w:val="23"/>
                <w:highlight w:val="none"/>
                <w14:textFill>
                  <w14:solidFill>
                    <w14:schemeClr w14:val="tx1"/>
                  </w14:solidFill>
                </w14:textFill>
              </w:rPr>
              <w:t>型号规格</w:t>
            </w:r>
          </w:p>
        </w:tc>
        <w:tc>
          <w:tcPr>
            <w:tcW w:w="7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50"/>
                <w:sz w:val="23"/>
                <w:szCs w:val="23"/>
                <w:highlight w:val="none"/>
                <w14:textFill>
                  <w14:solidFill>
                    <w14:schemeClr w14:val="tx1"/>
                  </w14:solidFill>
                </w14:textFill>
              </w:rPr>
            </w:pPr>
            <w:r>
              <w:rPr>
                <w:rFonts w:hint="eastAsia" w:ascii="宋体" w:hAnsi="宋体" w:cs="宋体"/>
                <w:color w:val="000000" w:themeColor="text1"/>
                <w:kern w:val="2"/>
                <w:position w:val="-50"/>
                <w:sz w:val="23"/>
                <w:szCs w:val="23"/>
                <w:highlight w:val="none"/>
                <w14:textFill>
                  <w14:solidFill>
                    <w14:schemeClr w14:val="tx1"/>
                  </w14:solidFill>
                </w14:textFill>
              </w:rPr>
              <w:t>数量</w:t>
            </w:r>
          </w:p>
        </w:tc>
        <w:tc>
          <w:tcPr>
            <w:tcW w:w="9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3"/>
                <w:szCs w:val="23"/>
                <w:highlight w:val="none"/>
                <w14:textFill>
                  <w14:solidFill>
                    <w14:schemeClr w14:val="tx1"/>
                  </w14:solidFill>
                </w14:textFill>
              </w:rPr>
            </w:pPr>
            <w:r>
              <w:rPr>
                <w:rFonts w:hint="eastAsia" w:ascii="宋体" w:hAnsi="宋体" w:cs="宋体"/>
                <w:color w:val="000000" w:themeColor="text1"/>
                <w:kern w:val="2"/>
                <w:position w:val="-30"/>
                <w:sz w:val="23"/>
                <w:szCs w:val="23"/>
                <w:highlight w:val="none"/>
                <w14:textFill>
                  <w14:solidFill>
                    <w14:schemeClr w14:val="tx1"/>
                  </w14:solidFill>
                </w14:textFill>
              </w:rPr>
              <w:t>国别</w: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3"/>
                <w:szCs w:val="23"/>
                <w:highlight w:val="none"/>
                <w14:textFill>
                  <w14:solidFill>
                    <w14:schemeClr w14:val="tx1"/>
                  </w14:solidFill>
                </w14:textFill>
              </w:rPr>
            </w:pPr>
            <w:r>
              <w:rPr>
                <w:rFonts w:hint="eastAsia" w:ascii="宋体" w:hAnsi="宋体" w:cs="宋体"/>
                <w:color w:val="000000" w:themeColor="text1"/>
                <w:kern w:val="2"/>
                <w:position w:val="-30"/>
                <w:sz w:val="23"/>
                <w:szCs w:val="23"/>
                <w:highlight w:val="none"/>
                <w14:textFill>
                  <w14:solidFill>
                    <w14:schemeClr w14:val="tx1"/>
                  </w14:solidFill>
                </w14:textFill>
              </w:rPr>
              <w:t>产地</w:t>
            </w:r>
          </w:p>
        </w:tc>
        <w:tc>
          <w:tcPr>
            <w:tcW w:w="9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3"/>
                <w:szCs w:val="23"/>
                <w:highlight w:val="none"/>
                <w14:textFill>
                  <w14:solidFill>
                    <w14:schemeClr w14:val="tx1"/>
                  </w14:solidFill>
                </w14:textFill>
              </w:rPr>
            </w:pPr>
            <w:r>
              <w:rPr>
                <w:rFonts w:hint="eastAsia" w:ascii="宋体" w:hAnsi="宋体" w:cs="宋体"/>
                <w:color w:val="000000" w:themeColor="text1"/>
                <w:kern w:val="2"/>
                <w:position w:val="-30"/>
                <w:sz w:val="23"/>
                <w:szCs w:val="23"/>
                <w:highlight w:val="none"/>
                <w14:textFill>
                  <w14:solidFill>
                    <w14:schemeClr w14:val="tx1"/>
                  </w14:solidFill>
                </w14:textFill>
              </w:rPr>
              <w:t>制造</w:t>
            </w:r>
          </w:p>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3"/>
                <w:szCs w:val="23"/>
                <w:highlight w:val="none"/>
                <w14:textFill>
                  <w14:solidFill>
                    <w14:schemeClr w14:val="tx1"/>
                  </w14:solidFill>
                </w14:textFill>
              </w:rPr>
            </w:pPr>
            <w:r>
              <w:rPr>
                <w:rFonts w:hint="eastAsia" w:ascii="宋体" w:hAnsi="宋体" w:cs="宋体"/>
                <w:color w:val="000000" w:themeColor="text1"/>
                <w:kern w:val="2"/>
                <w:position w:val="-30"/>
                <w:sz w:val="23"/>
                <w:szCs w:val="23"/>
                <w:highlight w:val="none"/>
                <w14:textFill>
                  <w14:solidFill>
                    <w14:schemeClr w14:val="tx1"/>
                  </w14:solidFill>
                </w14:textFill>
              </w:rPr>
              <w:t>年份</w:t>
            </w:r>
          </w:p>
        </w:tc>
        <w:tc>
          <w:tcPr>
            <w:tcW w:w="11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1"/>
                <w:szCs w:val="21"/>
                <w:highlight w:val="none"/>
                <w14:textFill>
                  <w14:solidFill>
                    <w14:schemeClr w14:val="tx1"/>
                  </w14:solidFill>
                </w14:textFill>
              </w:rPr>
            </w:pPr>
            <w:r>
              <w:rPr>
                <w:rFonts w:hint="eastAsia" w:ascii="宋体" w:hAnsi="宋体" w:cs="宋体"/>
                <w:color w:val="000000" w:themeColor="text1"/>
                <w:kern w:val="2"/>
                <w:position w:val="-30"/>
                <w:sz w:val="21"/>
                <w:szCs w:val="21"/>
                <w:highlight w:val="none"/>
                <w14:textFill>
                  <w14:solidFill>
                    <w14:schemeClr w14:val="tx1"/>
                  </w14:solidFill>
                </w14:textFill>
              </w:rPr>
              <w:t>额定功率</w:t>
            </w:r>
            <w:r>
              <w:rPr>
                <w:rFonts w:ascii="宋体" w:hAnsi="宋体" w:cs="宋体"/>
                <w:color w:val="000000" w:themeColor="text1"/>
                <w:kern w:val="2"/>
                <w:position w:val="-30"/>
                <w:sz w:val="21"/>
                <w:szCs w:val="21"/>
                <w:highlight w:val="none"/>
                <w14:textFill>
                  <w14:solidFill>
                    <w14:schemeClr w14:val="tx1"/>
                  </w14:solidFill>
                </w14:textFill>
              </w:rPr>
              <w:t>(KW)</w:t>
            </w:r>
          </w:p>
        </w:tc>
        <w:tc>
          <w:tcPr>
            <w:tcW w:w="11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30"/>
                <w:sz w:val="21"/>
                <w:szCs w:val="21"/>
                <w:highlight w:val="none"/>
                <w14:textFill>
                  <w14:solidFill>
                    <w14:schemeClr w14:val="tx1"/>
                  </w14:solidFill>
                </w14:textFill>
              </w:rPr>
            </w:pPr>
            <w:r>
              <w:rPr>
                <w:rFonts w:hint="eastAsia" w:ascii="宋体" w:hAnsi="宋体" w:cs="宋体"/>
                <w:color w:val="000000" w:themeColor="text1"/>
                <w:kern w:val="2"/>
                <w:position w:val="-30"/>
                <w:sz w:val="21"/>
                <w:szCs w:val="21"/>
                <w:highlight w:val="none"/>
                <w14:textFill>
                  <w14:solidFill>
                    <w14:schemeClr w14:val="tx1"/>
                  </w14:solidFill>
                </w14:textFill>
              </w:rPr>
              <w:t>生产能力</w:t>
            </w:r>
            <w:r>
              <w:rPr>
                <w:rFonts w:ascii="宋体" w:hAnsi="宋体" w:cs="宋体"/>
                <w:color w:val="000000" w:themeColor="text1"/>
                <w:kern w:val="2"/>
                <w:position w:val="-30"/>
                <w:sz w:val="21"/>
                <w:szCs w:val="21"/>
                <w:highlight w:val="none"/>
                <w14:textFill>
                  <w14:solidFill>
                    <w14:schemeClr w14:val="tx1"/>
                  </w14:solidFill>
                </w14:textFill>
              </w:rPr>
              <w:t>(MH)</w:t>
            </w:r>
          </w:p>
        </w:tc>
        <w:tc>
          <w:tcPr>
            <w:tcW w:w="700" w:type="dxa"/>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position w:val="-50"/>
                <w:sz w:val="23"/>
                <w:szCs w:val="23"/>
                <w:highlight w:val="none"/>
                <w14:textFill>
                  <w14:solidFill>
                    <w14:schemeClr w14:val="tx1"/>
                  </w14:solidFill>
                </w14:textFill>
              </w:rPr>
            </w:pPr>
            <w:r>
              <w:rPr>
                <w:rFonts w:hint="eastAsia" w:ascii="宋体" w:hAnsi="宋体" w:cs="宋体"/>
                <w:color w:val="000000" w:themeColor="text1"/>
                <w:kern w:val="2"/>
                <w:position w:val="-50"/>
                <w:sz w:val="23"/>
                <w:szCs w:val="23"/>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23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23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7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7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9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9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11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11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c>
          <w:tcPr>
            <w:tcW w:w="700" w:type="dxa"/>
            <w:vAlign w:val="center"/>
          </w:tcPr>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kern w:val="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23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23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23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23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9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11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c>
          <w:tcPr>
            <w:tcW w:w="700" w:type="dxa"/>
          </w:tcPr>
          <w:p>
            <w:pPr>
              <w:pStyle w:val="15"/>
              <w:pageBreakBefore w:val="0"/>
              <w:kinsoku/>
              <w:overflowPunct/>
              <w:topLinePunct w:val="0"/>
              <w:bidi w:val="0"/>
              <w:spacing w:line="360" w:lineRule="auto"/>
              <w:ind w:left="0" w:leftChars="0" w:right="0" w:rightChars="0" w:firstLine="0"/>
              <w:rPr>
                <w:rFonts w:ascii="宋体" w:hAnsi="宋体"/>
                <w:color w:val="000000" w:themeColor="text1"/>
                <w:kern w:val="2"/>
                <w:sz w:val="25"/>
                <w:szCs w:val="25"/>
                <w:highlight w:val="none"/>
                <w14:textFill>
                  <w14:solidFill>
                    <w14:schemeClr w14:val="tx1"/>
                  </w14:solidFill>
                </w14:textFill>
              </w:rPr>
            </w:pPr>
          </w:p>
        </w:tc>
      </w:tr>
    </w:tbl>
    <w:p>
      <w:pPr>
        <w:pStyle w:val="15"/>
        <w:pageBreakBefore w:val="0"/>
        <w:kinsoku/>
        <w:overflowPunct/>
        <w:topLinePunct w:val="0"/>
        <w:bidi w:val="0"/>
        <w:spacing w:line="360" w:lineRule="auto"/>
        <w:ind w:left="0" w:leftChars="0" w:right="0" w:rightChars="0" w:firstLine="0"/>
        <w:jc w:val="center"/>
        <w:rPr>
          <w:rFonts w:ascii="宋体" w:hAnsi="宋体"/>
          <w:color w:val="000000" w:themeColor="text1"/>
          <w:sz w:val="25"/>
          <w:szCs w:val="25"/>
          <w:highlight w:val="none"/>
          <w14:textFill>
            <w14:solidFill>
              <w14:schemeClr w14:val="tx1"/>
            </w14:solidFill>
          </w14:textFill>
        </w:rPr>
      </w:pPr>
    </w:p>
    <w:p>
      <w:pPr>
        <w:pStyle w:val="15"/>
        <w:pageBreakBefore w:val="0"/>
        <w:kinsoku/>
        <w:overflowPunct/>
        <w:topLinePunct w:val="0"/>
        <w:bidi w:val="0"/>
        <w:spacing w:line="360" w:lineRule="auto"/>
        <w:ind w:left="0" w:leftChars="0" w:right="0" w:rightChars="0" w:firstLine="0"/>
        <w:jc w:val="center"/>
        <w:rPr>
          <w:rFonts w:ascii="宋体" w:hAnsi="宋体"/>
          <w:b/>
          <w:bCs/>
          <w:color w:val="000000" w:themeColor="text1"/>
          <w:sz w:val="36"/>
          <w:szCs w:val="36"/>
          <w:highlight w:val="none"/>
          <w14:textFill>
            <w14:solidFill>
              <w14:schemeClr w14:val="tx1"/>
            </w14:solidFill>
          </w14:textFill>
        </w:rPr>
      </w:pPr>
      <w:r>
        <w:rPr>
          <w:rFonts w:hint="eastAsia" w:ascii="宋体" w:hAnsi="宋体" w:cs="宋体"/>
          <w:b/>
          <w:bCs/>
          <w:color w:val="000000" w:themeColor="text1"/>
          <w:sz w:val="30"/>
          <w:szCs w:val="30"/>
          <w:highlight w:val="none"/>
          <w14:textFill>
            <w14:solidFill>
              <w14:schemeClr w14:val="tx1"/>
            </w14:solidFill>
          </w14:textFill>
        </w:rPr>
        <w:t>四、主要施工管理人员表</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533"/>
        <w:gridCol w:w="817"/>
        <w:gridCol w:w="818"/>
        <w:gridCol w:w="818"/>
        <w:gridCol w:w="3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16"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2"/>
                <w:highlight w:val="none"/>
                <w14:textFill>
                  <w14:solidFill>
                    <w14:schemeClr w14:val="tx1"/>
                  </w14:solidFill>
                </w14:textFill>
              </w:rPr>
            </w:pPr>
            <w:r>
              <w:rPr>
                <w:rFonts w:hint="eastAsia" w:ascii="宋体" w:hAnsi="宋体" w:cs="宋体"/>
                <w:color w:val="000000" w:themeColor="text1"/>
                <w:position w:val="-42"/>
                <w:sz w:val="22"/>
                <w:szCs w:val="22"/>
                <w:highlight w:val="none"/>
                <w14:textFill>
                  <w14:solidFill>
                    <w14:schemeClr w14:val="tx1"/>
                  </w14:solidFill>
                </w14:textFill>
              </w:rPr>
              <w:t>机构</w:t>
            </w:r>
          </w:p>
        </w:tc>
        <w:tc>
          <w:tcPr>
            <w:tcW w:w="1533"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r>
              <w:rPr>
                <w:rFonts w:hint="eastAsia" w:ascii="宋体" w:hAnsi="宋体" w:cs="宋体"/>
                <w:color w:val="000000" w:themeColor="text1"/>
                <w:position w:val="-42"/>
                <w:sz w:val="25"/>
                <w:szCs w:val="25"/>
                <w:highlight w:val="none"/>
                <w14:textFill>
                  <w14:solidFill>
                    <w14:schemeClr w14:val="tx1"/>
                  </w14:solidFill>
                </w14:textFill>
              </w:rPr>
              <w:t>项目工程师</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r>
              <w:rPr>
                <w:rFonts w:hint="eastAsia" w:ascii="宋体" w:hAnsi="宋体" w:cs="宋体"/>
                <w:color w:val="000000" w:themeColor="text1"/>
                <w:position w:val="-42"/>
                <w:sz w:val="25"/>
                <w:szCs w:val="25"/>
                <w:highlight w:val="none"/>
                <w14:textFill>
                  <w14:solidFill>
                    <w14:schemeClr w14:val="tx1"/>
                  </w14:solidFill>
                </w14:textFill>
              </w:rPr>
              <w:t>姓名</w:t>
            </w: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r>
              <w:rPr>
                <w:rFonts w:hint="eastAsia" w:ascii="宋体" w:hAnsi="宋体" w:cs="宋体"/>
                <w:color w:val="000000" w:themeColor="text1"/>
                <w:position w:val="-42"/>
                <w:sz w:val="25"/>
                <w:szCs w:val="25"/>
                <w:highlight w:val="none"/>
                <w14:textFill>
                  <w14:solidFill>
                    <w14:schemeClr w14:val="tx1"/>
                  </w14:solidFill>
                </w14:textFill>
              </w:rPr>
              <w:t>职务</w:t>
            </w: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r>
              <w:rPr>
                <w:rFonts w:hint="eastAsia" w:ascii="宋体" w:hAnsi="宋体" w:cs="宋体"/>
                <w:color w:val="000000" w:themeColor="text1"/>
                <w:position w:val="-42"/>
                <w:sz w:val="25"/>
                <w:szCs w:val="25"/>
                <w:highlight w:val="none"/>
                <w14:textFill>
                  <w14:solidFill>
                    <w14:schemeClr w14:val="tx1"/>
                  </w14:solidFill>
                </w14:textFill>
              </w:rPr>
              <w:t>职称</w:t>
            </w: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r>
              <w:rPr>
                <w:rFonts w:hint="eastAsia" w:ascii="宋体" w:hAnsi="宋体" w:cs="宋体"/>
                <w:color w:val="000000" w:themeColor="text1"/>
                <w:position w:val="-42"/>
                <w:sz w:val="25"/>
                <w:szCs w:val="25"/>
                <w:highlight w:val="none"/>
                <w14:textFill>
                  <w14:solidFill>
                    <w14:schemeClr w14:val="tx1"/>
                  </w14:solidFill>
                </w14:textFill>
              </w:rPr>
              <w:t>主要资历、经验及承担过的工程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16" w:type="dxa"/>
            <w:vMerge w:val="restart"/>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总</w:t>
            </w:r>
          </w:p>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部</w:t>
            </w: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项目主管</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技术负责人</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16" w:type="dxa"/>
            <w:vMerge w:val="restart"/>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现</w:t>
            </w:r>
          </w:p>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场</w:t>
            </w: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项目负责人</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项目工程师</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质量管理</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材料管理</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安全管理</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616" w:type="dxa"/>
            <w:vMerge w:val="continue"/>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position w:val="-42"/>
                <w:sz w:val="25"/>
                <w:szCs w:val="25"/>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计划管理</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rPr>
                <w:rFonts w:ascii="宋体" w:hAnsi="宋体"/>
                <w:color w:val="000000" w:themeColor="text1"/>
                <w:position w:val="-42"/>
                <w:sz w:val="25"/>
                <w:szCs w:val="25"/>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16" w:type="dxa"/>
            <w:vMerge w:val="continue"/>
          </w:tcPr>
          <w:p>
            <w:pPr>
              <w:pageBreakBefore w:val="0"/>
              <w:kinsoku/>
              <w:overflowPunct/>
              <w:topLinePunct w:val="0"/>
              <w:bidi w:val="0"/>
              <w:spacing w:line="360" w:lineRule="auto"/>
              <w:ind w:left="0" w:leftChars="0" w:right="0" w:rightChars="0"/>
              <w:rPr>
                <w:rFonts w:ascii="宋体" w:hAnsi="宋体"/>
                <w:color w:val="000000" w:themeColor="text1"/>
                <w:position w:val="-30"/>
                <w:sz w:val="25"/>
                <w:szCs w:val="25"/>
                <w:highlight w:val="none"/>
                <w14:textFill>
                  <w14:solidFill>
                    <w14:schemeClr w14:val="tx1"/>
                  </w14:solidFill>
                </w14:textFill>
              </w:rPr>
            </w:pPr>
          </w:p>
        </w:tc>
        <w:tc>
          <w:tcPr>
            <w:tcW w:w="1533" w:type="dxa"/>
            <w:vAlign w:val="center"/>
          </w:tcPr>
          <w:p>
            <w:pPr>
              <w:pageBreakBefore w:val="0"/>
              <w:kinsoku/>
              <w:overflowPunct/>
              <w:topLinePunct w:val="0"/>
              <w:bidi w:val="0"/>
              <w:spacing w:line="360" w:lineRule="auto"/>
              <w:ind w:left="0" w:leftChars="0" w:right="0" w:rightChars="0"/>
              <w:jc w:val="center"/>
              <w:rPr>
                <w:rFonts w:ascii="宋体" w:hAnsi="宋体"/>
                <w:color w:val="000000" w:themeColor="text1"/>
                <w:position w:val="-30"/>
                <w:sz w:val="25"/>
                <w:szCs w:val="25"/>
                <w:highlight w:val="none"/>
                <w14:textFill>
                  <w14:solidFill>
                    <w14:schemeClr w14:val="tx1"/>
                  </w14:solidFill>
                </w14:textFill>
              </w:rPr>
            </w:pPr>
            <w:r>
              <w:rPr>
                <w:rFonts w:hint="eastAsia" w:ascii="宋体" w:hAnsi="宋体" w:cs="宋体"/>
                <w:color w:val="000000" w:themeColor="text1"/>
                <w:position w:val="-30"/>
                <w:sz w:val="25"/>
                <w:szCs w:val="25"/>
                <w:highlight w:val="none"/>
                <w14:textFill>
                  <w14:solidFill>
                    <w14:schemeClr w14:val="tx1"/>
                  </w14:solidFill>
                </w14:textFill>
              </w:rPr>
              <w:t>…</w:t>
            </w:r>
          </w:p>
        </w:tc>
        <w:tc>
          <w:tcPr>
            <w:tcW w:w="817" w:type="dxa"/>
          </w:tcPr>
          <w:p>
            <w:pPr>
              <w:pageBreakBefore w:val="0"/>
              <w:kinsoku/>
              <w:overflowPunct/>
              <w:topLinePunct w:val="0"/>
              <w:bidi w:val="0"/>
              <w:spacing w:line="360" w:lineRule="auto"/>
              <w:ind w:left="0" w:leftChars="0" w:right="0" w:rightChars="0"/>
              <w:rPr>
                <w:rFonts w:ascii="宋体" w:hAnsi="宋体"/>
                <w:color w:val="000000" w:themeColor="text1"/>
                <w:position w:val="-30"/>
                <w:sz w:val="25"/>
                <w:szCs w:val="25"/>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30"/>
                <w:sz w:val="25"/>
                <w:szCs w:val="25"/>
                <w:highlight w:val="none"/>
                <w14:textFill>
                  <w14:solidFill>
                    <w14:schemeClr w14:val="tx1"/>
                  </w14:solidFill>
                </w14:textFill>
              </w:rPr>
            </w:pPr>
          </w:p>
        </w:tc>
        <w:tc>
          <w:tcPr>
            <w:tcW w:w="818" w:type="dxa"/>
          </w:tcPr>
          <w:p>
            <w:pPr>
              <w:pageBreakBefore w:val="0"/>
              <w:kinsoku/>
              <w:overflowPunct/>
              <w:topLinePunct w:val="0"/>
              <w:bidi w:val="0"/>
              <w:spacing w:line="360" w:lineRule="auto"/>
              <w:ind w:left="0" w:leftChars="0" w:right="0" w:rightChars="0"/>
              <w:rPr>
                <w:rFonts w:ascii="宋体" w:hAnsi="宋体"/>
                <w:color w:val="000000" w:themeColor="text1"/>
                <w:position w:val="-30"/>
                <w:sz w:val="25"/>
                <w:szCs w:val="25"/>
                <w:highlight w:val="none"/>
                <w14:textFill>
                  <w14:solidFill>
                    <w14:schemeClr w14:val="tx1"/>
                  </w14:solidFill>
                </w14:textFill>
              </w:rPr>
            </w:pPr>
          </w:p>
        </w:tc>
        <w:tc>
          <w:tcPr>
            <w:tcW w:w="3784" w:type="dxa"/>
          </w:tcPr>
          <w:p>
            <w:pPr>
              <w:pageBreakBefore w:val="0"/>
              <w:kinsoku/>
              <w:overflowPunct/>
              <w:topLinePunct w:val="0"/>
              <w:bidi w:val="0"/>
              <w:spacing w:line="360" w:lineRule="auto"/>
              <w:ind w:left="0" w:leftChars="0" w:right="0" w:rightChars="0"/>
              <w:jc w:val="center"/>
              <w:rPr>
                <w:rFonts w:ascii="宋体" w:hAnsi="宋体"/>
                <w:color w:val="000000" w:themeColor="text1"/>
                <w:position w:val="-30"/>
                <w:sz w:val="25"/>
                <w:szCs w:val="25"/>
                <w:highlight w:val="none"/>
                <w14:textFill>
                  <w14:solidFill>
                    <w14:schemeClr w14:val="tx1"/>
                  </w14:solidFill>
                </w14:textFill>
              </w:rPr>
            </w:pPr>
          </w:p>
        </w:tc>
      </w:tr>
    </w:tbl>
    <w:p>
      <w:pPr>
        <w:pageBreakBefore w:val="0"/>
        <w:kinsoku/>
        <w:overflowPunct/>
        <w:topLinePunct w:val="0"/>
        <w:bidi w:val="0"/>
        <w:adjustRightInd w:val="0"/>
        <w:snapToGrid w:val="0"/>
        <w:spacing w:line="360" w:lineRule="auto"/>
        <w:ind w:left="0" w:leftChars="0" w:right="0" w:rightChars="0"/>
        <w:rPr>
          <w:rFonts w:ascii="宋体" w:hAnsi="宋体"/>
          <w:b/>
          <w:bCs/>
          <w:color w:val="000000" w:themeColor="text1"/>
          <w:sz w:val="44"/>
          <w:szCs w:val="44"/>
          <w:highlight w:val="none"/>
          <w14:textFill>
            <w14:solidFill>
              <w14:schemeClr w14:val="tx1"/>
            </w14:solidFill>
          </w14:textFill>
        </w:rPr>
      </w:pPr>
    </w:p>
    <w:p>
      <w:pPr>
        <w:pStyle w:val="5"/>
        <w:pageBreakBefore w:val="0"/>
        <w:kinsoku/>
        <w:overflowPunct/>
        <w:topLinePunct w:val="0"/>
        <w:bidi w:val="0"/>
        <w:spacing w:before="0" w:after="0" w:line="360" w:lineRule="auto"/>
        <w:ind w:left="0" w:leftChars="0" w:right="0" w:rightChars="0"/>
        <w:jc w:val="center"/>
        <w:rPr>
          <w:rFonts w:ascii="宋体" w:hAnsi="宋体" w:cs="Times New Roman"/>
          <w:color w:val="000000" w:themeColor="text1"/>
          <w:sz w:val="36"/>
          <w:szCs w:val="36"/>
          <w:highlight w:val="none"/>
          <w14:textFill>
            <w14:solidFill>
              <w14:schemeClr w14:val="tx1"/>
            </w14:solidFill>
          </w14:textFill>
        </w:rPr>
      </w:pPr>
      <w:bookmarkStart w:id="51" w:name="_Toc427744860"/>
      <w:r>
        <w:rPr>
          <w:rFonts w:hint="eastAsia" w:ascii="宋体" w:hAnsi="宋体" w:cs="宋体"/>
          <w:color w:val="000000" w:themeColor="text1"/>
          <w:sz w:val="36"/>
          <w:szCs w:val="36"/>
          <w:highlight w:val="none"/>
          <w14:textFill>
            <w14:solidFill>
              <w14:schemeClr w14:val="tx1"/>
            </w14:solidFill>
          </w14:textFill>
        </w:rPr>
        <w:t>第八章 工程量清单</w:t>
      </w:r>
      <w:bookmarkEnd w:id="51"/>
    </w:p>
    <w:p>
      <w:pPr>
        <w:pageBreakBefore w:val="0"/>
        <w:kinsoku/>
        <w:overflowPunct/>
        <w:topLinePunct w:val="0"/>
        <w:bidi w:val="0"/>
        <w:spacing w:line="360" w:lineRule="auto"/>
        <w:ind w:left="0" w:leftChars="0" w:right="0" w:rightChars="0"/>
        <w:jc w:val="center"/>
        <w:rPr>
          <w:rFonts w:ascii="宋体" w:hAnsi="宋体"/>
          <w:b/>
          <w:bCs/>
          <w:color w:val="000000" w:themeColor="text1"/>
          <w:sz w:val="24"/>
          <w:szCs w:val="24"/>
          <w:highlight w:val="none"/>
          <w14:textFill>
            <w14:solidFill>
              <w14:schemeClr w14:val="tx1"/>
            </w14:solidFill>
          </w14:textFill>
        </w:rPr>
      </w:pPr>
    </w:p>
    <w:p>
      <w:pPr>
        <w:pageBreakBefore w:val="0"/>
        <w:kinsoku/>
        <w:overflowPunct/>
        <w:topLinePunct w:val="0"/>
        <w:bidi w:val="0"/>
        <w:spacing w:line="360" w:lineRule="auto"/>
        <w:ind w:left="0" w:leftChars="0" w:right="0" w:rightChars="0"/>
        <w:jc w:val="center"/>
        <w:rPr>
          <w:rFonts w:ascii="宋体" w:hAnsi="宋体"/>
          <w:b/>
          <w:bCs/>
          <w:color w:val="000000" w:themeColor="text1"/>
          <w:sz w:val="24"/>
          <w:szCs w:val="24"/>
          <w:highlight w:val="none"/>
          <w14:textFill>
            <w14:solidFill>
              <w14:schemeClr w14:val="tx1"/>
            </w14:solidFill>
          </w14:textFill>
        </w:rPr>
      </w:pPr>
    </w:p>
    <w:sectPr>
      <w:headerReference r:id="rId3" w:type="default"/>
      <w:footerReference r:id="rId4" w:type="default"/>
      <w:pgSz w:w="11907" w:h="16840"/>
      <w:pgMar w:top="1304" w:right="1418" w:bottom="1225" w:left="1418" w:header="720" w:footer="72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华文中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Plotter">
    <w:altName w:val="Times New Roman"/>
    <w:panose1 w:val="00000000000000000000"/>
    <w:charset w:val="00"/>
    <w:family w:val="roman"/>
    <w:pitch w:val="default"/>
    <w:sig w:usb0="00000000" w:usb1="00000000" w:usb2="00000000" w:usb3="00000000" w:csb0="00000003" w:csb1="0012CEFC"/>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方正楷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uto" w:vAnchor="text" w:hAnchor="margin" w:xAlign="center" w:y="1"/>
      <w:rPr>
        <w:rStyle w:val="56"/>
        <w:sz w:val="24"/>
        <w:szCs w:val="24"/>
      </w:rPr>
    </w:pPr>
    <w:r>
      <w:rPr>
        <w:rStyle w:val="56"/>
        <w:sz w:val="24"/>
        <w:szCs w:val="24"/>
      </w:rPr>
      <w:fldChar w:fldCharType="begin"/>
    </w:r>
    <w:r>
      <w:rPr>
        <w:rStyle w:val="56"/>
        <w:sz w:val="24"/>
        <w:szCs w:val="24"/>
      </w:rPr>
      <w:instrText xml:space="preserve">PAGE  </w:instrText>
    </w:r>
    <w:r>
      <w:rPr>
        <w:rStyle w:val="56"/>
        <w:sz w:val="24"/>
        <w:szCs w:val="24"/>
      </w:rPr>
      <w:fldChar w:fldCharType="separate"/>
    </w:r>
    <w:r>
      <w:rPr>
        <w:rStyle w:val="56"/>
        <w:sz w:val="24"/>
        <w:szCs w:val="24"/>
      </w:rPr>
      <w:t>53</w:t>
    </w:r>
    <w:r>
      <w:rPr>
        <w:rStyle w:val="56"/>
        <w:sz w:val="24"/>
        <w:szCs w:val="24"/>
      </w:rPr>
      <w:fldChar w:fldCharType="end"/>
    </w:r>
  </w:p>
  <w:p>
    <w:pPr>
      <w:pStyle w:val="34"/>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09EAF8"/>
    <w:multiLevelType w:val="singleLevel"/>
    <w:tmpl w:val="2609EAF8"/>
    <w:lvl w:ilvl="0" w:tentative="0">
      <w:start w:val="7"/>
      <w:numFmt w:val="chineseCounting"/>
      <w:suff w:val="nothing"/>
      <w:lvlText w:val="%1、"/>
      <w:lvlJc w:val="left"/>
      <w:rPr>
        <w:rFonts w:hint="eastAsia"/>
      </w:rPr>
    </w:lvl>
  </w:abstractNum>
  <w:abstractNum w:abstractNumId="1">
    <w:nsid w:val="28FF0539"/>
    <w:multiLevelType w:val="singleLevel"/>
    <w:tmpl w:val="28FF053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hideSpellingErrors/>
  <w:doNotTrackMove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wNDRlOTQyZDU0NDY3YTQ2YzBhMmU3ZWUwZjk3YmMifQ=="/>
  </w:docVars>
  <w:rsids>
    <w:rsidRoot w:val="00172A27"/>
    <w:rsid w:val="00001364"/>
    <w:rsid w:val="00002E58"/>
    <w:rsid w:val="000046EE"/>
    <w:rsid w:val="00004D33"/>
    <w:rsid w:val="00004E66"/>
    <w:rsid w:val="000057F4"/>
    <w:rsid w:val="00007292"/>
    <w:rsid w:val="0001127C"/>
    <w:rsid w:val="0001313E"/>
    <w:rsid w:val="0001429A"/>
    <w:rsid w:val="00014A92"/>
    <w:rsid w:val="00015C03"/>
    <w:rsid w:val="00017608"/>
    <w:rsid w:val="000205F2"/>
    <w:rsid w:val="00024C3B"/>
    <w:rsid w:val="000315F8"/>
    <w:rsid w:val="00034310"/>
    <w:rsid w:val="000357AD"/>
    <w:rsid w:val="00035D0C"/>
    <w:rsid w:val="000360CB"/>
    <w:rsid w:val="000440E7"/>
    <w:rsid w:val="0004482C"/>
    <w:rsid w:val="00045B6F"/>
    <w:rsid w:val="00045E0F"/>
    <w:rsid w:val="00046182"/>
    <w:rsid w:val="0004631F"/>
    <w:rsid w:val="00046538"/>
    <w:rsid w:val="000470EF"/>
    <w:rsid w:val="00047255"/>
    <w:rsid w:val="0005054C"/>
    <w:rsid w:val="000511E2"/>
    <w:rsid w:val="00053E4F"/>
    <w:rsid w:val="00057DF4"/>
    <w:rsid w:val="00062820"/>
    <w:rsid w:val="00063BE2"/>
    <w:rsid w:val="0006679F"/>
    <w:rsid w:val="00067F50"/>
    <w:rsid w:val="00070F22"/>
    <w:rsid w:val="00071AC5"/>
    <w:rsid w:val="00074254"/>
    <w:rsid w:val="000760FB"/>
    <w:rsid w:val="00076A04"/>
    <w:rsid w:val="000773D7"/>
    <w:rsid w:val="00077899"/>
    <w:rsid w:val="000812DC"/>
    <w:rsid w:val="0008405C"/>
    <w:rsid w:val="00085427"/>
    <w:rsid w:val="00087028"/>
    <w:rsid w:val="00087495"/>
    <w:rsid w:val="00087937"/>
    <w:rsid w:val="000900FF"/>
    <w:rsid w:val="000906D2"/>
    <w:rsid w:val="00090D1F"/>
    <w:rsid w:val="00091C5A"/>
    <w:rsid w:val="00093F59"/>
    <w:rsid w:val="0009652A"/>
    <w:rsid w:val="0009743C"/>
    <w:rsid w:val="000A285A"/>
    <w:rsid w:val="000A5040"/>
    <w:rsid w:val="000A63CC"/>
    <w:rsid w:val="000A66BC"/>
    <w:rsid w:val="000A70AB"/>
    <w:rsid w:val="000A7D2A"/>
    <w:rsid w:val="000A7EE1"/>
    <w:rsid w:val="000B0D9C"/>
    <w:rsid w:val="000B0FEB"/>
    <w:rsid w:val="000B270A"/>
    <w:rsid w:val="000B292B"/>
    <w:rsid w:val="000B2C12"/>
    <w:rsid w:val="000B33B4"/>
    <w:rsid w:val="000B453E"/>
    <w:rsid w:val="000B51A1"/>
    <w:rsid w:val="000B6438"/>
    <w:rsid w:val="000B675F"/>
    <w:rsid w:val="000C04D7"/>
    <w:rsid w:val="000C0758"/>
    <w:rsid w:val="000C07C4"/>
    <w:rsid w:val="000C0A9B"/>
    <w:rsid w:val="000C10DB"/>
    <w:rsid w:val="000C20F7"/>
    <w:rsid w:val="000C222B"/>
    <w:rsid w:val="000C3DE8"/>
    <w:rsid w:val="000C408B"/>
    <w:rsid w:val="000C640F"/>
    <w:rsid w:val="000C6495"/>
    <w:rsid w:val="000D145F"/>
    <w:rsid w:val="000D2BCD"/>
    <w:rsid w:val="000D2C03"/>
    <w:rsid w:val="000D4408"/>
    <w:rsid w:val="000D6DF6"/>
    <w:rsid w:val="000D6EEC"/>
    <w:rsid w:val="000E4AD1"/>
    <w:rsid w:val="000E6CFB"/>
    <w:rsid w:val="000E76A2"/>
    <w:rsid w:val="000F074C"/>
    <w:rsid w:val="000F33A7"/>
    <w:rsid w:val="000F6622"/>
    <w:rsid w:val="0010106E"/>
    <w:rsid w:val="001013FD"/>
    <w:rsid w:val="00103764"/>
    <w:rsid w:val="00106059"/>
    <w:rsid w:val="00107AFA"/>
    <w:rsid w:val="00110DD4"/>
    <w:rsid w:val="00110EFE"/>
    <w:rsid w:val="00111806"/>
    <w:rsid w:val="00111E0F"/>
    <w:rsid w:val="00111E21"/>
    <w:rsid w:val="00112A15"/>
    <w:rsid w:val="00114162"/>
    <w:rsid w:val="001141F1"/>
    <w:rsid w:val="00116716"/>
    <w:rsid w:val="001205A1"/>
    <w:rsid w:val="001229EF"/>
    <w:rsid w:val="00122B18"/>
    <w:rsid w:val="00122CF9"/>
    <w:rsid w:val="00123C15"/>
    <w:rsid w:val="00127468"/>
    <w:rsid w:val="00127B6F"/>
    <w:rsid w:val="00127CC1"/>
    <w:rsid w:val="0013099B"/>
    <w:rsid w:val="0013114D"/>
    <w:rsid w:val="00135643"/>
    <w:rsid w:val="00135A75"/>
    <w:rsid w:val="001365C7"/>
    <w:rsid w:val="00137F8D"/>
    <w:rsid w:val="00141A03"/>
    <w:rsid w:val="00143118"/>
    <w:rsid w:val="00144BD7"/>
    <w:rsid w:val="0014563F"/>
    <w:rsid w:val="00146A31"/>
    <w:rsid w:val="0014736B"/>
    <w:rsid w:val="00147E6F"/>
    <w:rsid w:val="00147EA9"/>
    <w:rsid w:val="001515C4"/>
    <w:rsid w:val="00151A90"/>
    <w:rsid w:val="00153735"/>
    <w:rsid w:val="00154D37"/>
    <w:rsid w:val="001573D5"/>
    <w:rsid w:val="001578FC"/>
    <w:rsid w:val="0016259D"/>
    <w:rsid w:val="00163F2A"/>
    <w:rsid w:val="00164522"/>
    <w:rsid w:val="00165F6C"/>
    <w:rsid w:val="00165FF3"/>
    <w:rsid w:val="00166246"/>
    <w:rsid w:val="001714FD"/>
    <w:rsid w:val="0017169E"/>
    <w:rsid w:val="00171786"/>
    <w:rsid w:val="0017187F"/>
    <w:rsid w:val="00172A27"/>
    <w:rsid w:val="00173EBB"/>
    <w:rsid w:val="00176030"/>
    <w:rsid w:val="0017752F"/>
    <w:rsid w:val="00180425"/>
    <w:rsid w:val="001814DC"/>
    <w:rsid w:val="00182401"/>
    <w:rsid w:val="00183E22"/>
    <w:rsid w:val="00184E9F"/>
    <w:rsid w:val="0018565C"/>
    <w:rsid w:val="00186EDA"/>
    <w:rsid w:val="00190132"/>
    <w:rsid w:val="001910AA"/>
    <w:rsid w:val="00192A65"/>
    <w:rsid w:val="001932E9"/>
    <w:rsid w:val="001932FB"/>
    <w:rsid w:val="00193ADC"/>
    <w:rsid w:val="00193C0F"/>
    <w:rsid w:val="00193F5F"/>
    <w:rsid w:val="00195F49"/>
    <w:rsid w:val="001A07E3"/>
    <w:rsid w:val="001A164C"/>
    <w:rsid w:val="001A1E5E"/>
    <w:rsid w:val="001A20AF"/>
    <w:rsid w:val="001A49CE"/>
    <w:rsid w:val="001A5A10"/>
    <w:rsid w:val="001B05D8"/>
    <w:rsid w:val="001B0614"/>
    <w:rsid w:val="001B1893"/>
    <w:rsid w:val="001B1C4E"/>
    <w:rsid w:val="001B273C"/>
    <w:rsid w:val="001B2744"/>
    <w:rsid w:val="001B2B37"/>
    <w:rsid w:val="001B3756"/>
    <w:rsid w:val="001B52FF"/>
    <w:rsid w:val="001B5F33"/>
    <w:rsid w:val="001B7586"/>
    <w:rsid w:val="001B7945"/>
    <w:rsid w:val="001C1556"/>
    <w:rsid w:val="001C1881"/>
    <w:rsid w:val="001C4D61"/>
    <w:rsid w:val="001C5207"/>
    <w:rsid w:val="001C6A2D"/>
    <w:rsid w:val="001D0D52"/>
    <w:rsid w:val="001D0E58"/>
    <w:rsid w:val="001D17EF"/>
    <w:rsid w:val="001D26D0"/>
    <w:rsid w:val="001D2EF8"/>
    <w:rsid w:val="001D38F9"/>
    <w:rsid w:val="001D7CFF"/>
    <w:rsid w:val="001E5C3E"/>
    <w:rsid w:val="001E6490"/>
    <w:rsid w:val="001E6C61"/>
    <w:rsid w:val="001F0349"/>
    <w:rsid w:val="001F05C3"/>
    <w:rsid w:val="001F0B51"/>
    <w:rsid w:val="001F3056"/>
    <w:rsid w:val="001F3A0D"/>
    <w:rsid w:val="001F3CDF"/>
    <w:rsid w:val="001F4368"/>
    <w:rsid w:val="001F43DE"/>
    <w:rsid w:val="001F4F64"/>
    <w:rsid w:val="001F5F2C"/>
    <w:rsid w:val="001F65F2"/>
    <w:rsid w:val="00200859"/>
    <w:rsid w:val="00202247"/>
    <w:rsid w:val="00202496"/>
    <w:rsid w:val="00202F4D"/>
    <w:rsid w:val="0020590E"/>
    <w:rsid w:val="00207EEC"/>
    <w:rsid w:val="002112A1"/>
    <w:rsid w:val="00212453"/>
    <w:rsid w:val="002135D5"/>
    <w:rsid w:val="00214CE5"/>
    <w:rsid w:val="00215919"/>
    <w:rsid w:val="00215C2C"/>
    <w:rsid w:val="00216D2C"/>
    <w:rsid w:val="00217D1A"/>
    <w:rsid w:val="00221646"/>
    <w:rsid w:val="00222EB5"/>
    <w:rsid w:val="002230ED"/>
    <w:rsid w:val="00223DA6"/>
    <w:rsid w:val="00224533"/>
    <w:rsid w:val="00224A4E"/>
    <w:rsid w:val="00224B1F"/>
    <w:rsid w:val="00225701"/>
    <w:rsid w:val="00225F54"/>
    <w:rsid w:val="002264D5"/>
    <w:rsid w:val="0022682E"/>
    <w:rsid w:val="00226DA3"/>
    <w:rsid w:val="002273CD"/>
    <w:rsid w:val="00227574"/>
    <w:rsid w:val="00231B52"/>
    <w:rsid w:val="002337A5"/>
    <w:rsid w:val="00235067"/>
    <w:rsid w:val="00235955"/>
    <w:rsid w:val="00236F43"/>
    <w:rsid w:val="002405A8"/>
    <w:rsid w:val="00244BE8"/>
    <w:rsid w:val="00245AE7"/>
    <w:rsid w:val="0024706F"/>
    <w:rsid w:val="00252249"/>
    <w:rsid w:val="00252884"/>
    <w:rsid w:val="00252C8E"/>
    <w:rsid w:val="00252F77"/>
    <w:rsid w:val="0025395E"/>
    <w:rsid w:val="0025537C"/>
    <w:rsid w:val="00257E60"/>
    <w:rsid w:val="0026239F"/>
    <w:rsid w:val="00264617"/>
    <w:rsid w:val="00264954"/>
    <w:rsid w:val="00264EE1"/>
    <w:rsid w:val="002661D9"/>
    <w:rsid w:val="002665D0"/>
    <w:rsid w:val="00266D67"/>
    <w:rsid w:val="0027047E"/>
    <w:rsid w:val="00270A41"/>
    <w:rsid w:val="0027222A"/>
    <w:rsid w:val="00272262"/>
    <w:rsid w:val="00272880"/>
    <w:rsid w:val="002740E6"/>
    <w:rsid w:val="00274F08"/>
    <w:rsid w:val="00275930"/>
    <w:rsid w:val="00276562"/>
    <w:rsid w:val="002765D7"/>
    <w:rsid w:val="00280614"/>
    <w:rsid w:val="00280C61"/>
    <w:rsid w:val="00282BE9"/>
    <w:rsid w:val="00282C45"/>
    <w:rsid w:val="00283127"/>
    <w:rsid w:val="00283530"/>
    <w:rsid w:val="00283E18"/>
    <w:rsid w:val="00285AEA"/>
    <w:rsid w:val="00285DB3"/>
    <w:rsid w:val="002876B4"/>
    <w:rsid w:val="00287A58"/>
    <w:rsid w:val="002906A9"/>
    <w:rsid w:val="0029177C"/>
    <w:rsid w:val="00292B5A"/>
    <w:rsid w:val="00292D9A"/>
    <w:rsid w:val="002946DC"/>
    <w:rsid w:val="002952BE"/>
    <w:rsid w:val="00295D74"/>
    <w:rsid w:val="00297EC4"/>
    <w:rsid w:val="002A0621"/>
    <w:rsid w:val="002A365C"/>
    <w:rsid w:val="002A38D2"/>
    <w:rsid w:val="002A4380"/>
    <w:rsid w:val="002A6C0B"/>
    <w:rsid w:val="002A7918"/>
    <w:rsid w:val="002B04A3"/>
    <w:rsid w:val="002B2132"/>
    <w:rsid w:val="002B4BE1"/>
    <w:rsid w:val="002B5148"/>
    <w:rsid w:val="002B5B33"/>
    <w:rsid w:val="002B5D7C"/>
    <w:rsid w:val="002B6FBF"/>
    <w:rsid w:val="002C072D"/>
    <w:rsid w:val="002C20E5"/>
    <w:rsid w:val="002C7EAE"/>
    <w:rsid w:val="002D353F"/>
    <w:rsid w:val="002D4135"/>
    <w:rsid w:val="002D49B3"/>
    <w:rsid w:val="002D5186"/>
    <w:rsid w:val="002D5DE7"/>
    <w:rsid w:val="002D660D"/>
    <w:rsid w:val="002D6FFE"/>
    <w:rsid w:val="002D7FA5"/>
    <w:rsid w:val="002E0028"/>
    <w:rsid w:val="002E1D00"/>
    <w:rsid w:val="002E5AFC"/>
    <w:rsid w:val="002E5FA2"/>
    <w:rsid w:val="002E6E6B"/>
    <w:rsid w:val="002F0C44"/>
    <w:rsid w:val="002F0CF2"/>
    <w:rsid w:val="002F0F05"/>
    <w:rsid w:val="002F1E47"/>
    <w:rsid w:val="002F1FBC"/>
    <w:rsid w:val="002F2AA8"/>
    <w:rsid w:val="002F44CC"/>
    <w:rsid w:val="002F4A53"/>
    <w:rsid w:val="002F4BAF"/>
    <w:rsid w:val="002F675F"/>
    <w:rsid w:val="002F6F53"/>
    <w:rsid w:val="002F7471"/>
    <w:rsid w:val="003014AB"/>
    <w:rsid w:val="00303D79"/>
    <w:rsid w:val="00307372"/>
    <w:rsid w:val="0031026D"/>
    <w:rsid w:val="00310F17"/>
    <w:rsid w:val="00311780"/>
    <w:rsid w:val="00311D24"/>
    <w:rsid w:val="00311D80"/>
    <w:rsid w:val="00314B0A"/>
    <w:rsid w:val="00315842"/>
    <w:rsid w:val="00315DBE"/>
    <w:rsid w:val="003166FF"/>
    <w:rsid w:val="00316C4F"/>
    <w:rsid w:val="003175E8"/>
    <w:rsid w:val="00320DD5"/>
    <w:rsid w:val="0032287F"/>
    <w:rsid w:val="003233E1"/>
    <w:rsid w:val="00327326"/>
    <w:rsid w:val="00330B3C"/>
    <w:rsid w:val="00331DE0"/>
    <w:rsid w:val="00333514"/>
    <w:rsid w:val="00333526"/>
    <w:rsid w:val="00333753"/>
    <w:rsid w:val="00333CAC"/>
    <w:rsid w:val="00336608"/>
    <w:rsid w:val="00336C90"/>
    <w:rsid w:val="003419F4"/>
    <w:rsid w:val="00342ECA"/>
    <w:rsid w:val="00343F8E"/>
    <w:rsid w:val="003444D6"/>
    <w:rsid w:val="00344C75"/>
    <w:rsid w:val="00352246"/>
    <w:rsid w:val="003541DF"/>
    <w:rsid w:val="003552DB"/>
    <w:rsid w:val="0035547D"/>
    <w:rsid w:val="0035613A"/>
    <w:rsid w:val="00356BA9"/>
    <w:rsid w:val="00360FE6"/>
    <w:rsid w:val="003660FC"/>
    <w:rsid w:val="00366307"/>
    <w:rsid w:val="0037070D"/>
    <w:rsid w:val="00370805"/>
    <w:rsid w:val="003710E5"/>
    <w:rsid w:val="00371525"/>
    <w:rsid w:val="00371A85"/>
    <w:rsid w:val="00371C56"/>
    <w:rsid w:val="00371D2E"/>
    <w:rsid w:val="00371FF0"/>
    <w:rsid w:val="0037268F"/>
    <w:rsid w:val="00373815"/>
    <w:rsid w:val="00374500"/>
    <w:rsid w:val="00375D69"/>
    <w:rsid w:val="00376845"/>
    <w:rsid w:val="00376DAE"/>
    <w:rsid w:val="003771FB"/>
    <w:rsid w:val="00381C1A"/>
    <w:rsid w:val="0038594E"/>
    <w:rsid w:val="00385C31"/>
    <w:rsid w:val="00390033"/>
    <w:rsid w:val="0039142F"/>
    <w:rsid w:val="003949CC"/>
    <w:rsid w:val="00394A5D"/>
    <w:rsid w:val="003A2044"/>
    <w:rsid w:val="003A4729"/>
    <w:rsid w:val="003A5EA2"/>
    <w:rsid w:val="003A642D"/>
    <w:rsid w:val="003B1D0B"/>
    <w:rsid w:val="003B33FC"/>
    <w:rsid w:val="003B56A8"/>
    <w:rsid w:val="003B5CCB"/>
    <w:rsid w:val="003B6110"/>
    <w:rsid w:val="003B6441"/>
    <w:rsid w:val="003C1DC0"/>
    <w:rsid w:val="003C59EE"/>
    <w:rsid w:val="003C5ACB"/>
    <w:rsid w:val="003C6212"/>
    <w:rsid w:val="003C7BB1"/>
    <w:rsid w:val="003C7E14"/>
    <w:rsid w:val="003D19FF"/>
    <w:rsid w:val="003D1B68"/>
    <w:rsid w:val="003D67D9"/>
    <w:rsid w:val="003E4695"/>
    <w:rsid w:val="003E4E03"/>
    <w:rsid w:val="003E6310"/>
    <w:rsid w:val="003F0835"/>
    <w:rsid w:val="003F1C25"/>
    <w:rsid w:val="003F2761"/>
    <w:rsid w:val="003F3FF5"/>
    <w:rsid w:val="003F5EB5"/>
    <w:rsid w:val="00401940"/>
    <w:rsid w:val="00402A52"/>
    <w:rsid w:val="00403587"/>
    <w:rsid w:val="00404131"/>
    <w:rsid w:val="00404139"/>
    <w:rsid w:val="00404C72"/>
    <w:rsid w:val="00404FD0"/>
    <w:rsid w:val="00406585"/>
    <w:rsid w:val="00407262"/>
    <w:rsid w:val="00410A16"/>
    <w:rsid w:val="00410DC2"/>
    <w:rsid w:val="00411CF2"/>
    <w:rsid w:val="00411DBA"/>
    <w:rsid w:val="004123F7"/>
    <w:rsid w:val="00412C7B"/>
    <w:rsid w:val="00414BFC"/>
    <w:rsid w:val="00417720"/>
    <w:rsid w:val="004207AE"/>
    <w:rsid w:val="004214C6"/>
    <w:rsid w:val="004225B4"/>
    <w:rsid w:val="004265C2"/>
    <w:rsid w:val="00427CFB"/>
    <w:rsid w:val="00430DE2"/>
    <w:rsid w:val="004319DF"/>
    <w:rsid w:val="00432327"/>
    <w:rsid w:val="0043281B"/>
    <w:rsid w:val="00433C41"/>
    <w:rsid w:val="00434DAB"/>
    <w:rsid w:val="004354DD"/>
    <w:rsid w:val="004355C6"/>
    <w:rsid w:val="004355F7"/>
    <w:rsid w:val="00436062"/>
    <w:rsid w:val="00436DA1"/>
    <w:rsid w:val="00437C28"/>
    <w:rsid w:val="00441439"/>
    <w:rsid w:val="004424C4"/>
    <w:rsid w:val="004427AF"/>
    <w:rsid w:val="00443A20"/>
    <w:rsid w:val="00446016"/>
    <w:rsid w:val="00447AF6"/>
    <w:rsid w:val="00447B28"/>
    <w:rsid w:val="00454152"/>
    <w:rsid w:val="00454262"/>
    <w:rsid w:val="00454E12"/>
    <w:rsid w:val="00457340"/>
    <w:rsid w:val="00457D7E"/>
    <w:rsid w:val="00460189"/>
    <w:rsid w:val="0046229F"/>
    <w:rsid w:val="004623A7"/>
    <w:rsid w:val="0046295D"/>
    <w:rsid w:val="00470FC8"/>
    <w:rsid w:val="004719A8"/>
    <w:rsid w:val="00471E8D"/>
    <w:rsid w:val="00472D2D"/>
    <w:rsid w:val="004738BA"/>
    <w:rsid w:val="00474B13"/>
    <w:rsid w:val="00476C14"/>
    <w:rsid w:val="00476D82"/>
    <w:rsid w:val="00476D91"/>
    <w:rsid w:val="00481F59"/>
    <w:rsid w:val="00482325"/>
    <w:rsid w:val="0048352F"/>
    <w:rsid w:val="00483754"/>
    <w:rsid w:val="00483E10"/>
    <w:rsid w:val="004856C1"/>
    <w:rsid w:val="00485979"/>
    <w:rsid w:val="0048720E"/>
    <w:rsid w:val="00490B88"/>
    <w:rsid w:val="00490F18"/>
    <w:rsid w:val="0049131E"/>
    <w:rsid w:val="00493EA8"/>
    <w:rsid w:val="00493FDB"/>
    <w:rsid w:val="004949FC"/>
    <w:rsid w:val="00496B43"/>
    <w:rsid w:val="00497847"/>
    <w:rsid w:val="00497E9F"/>
    <w:rsid w:val="004A0F08"/>
    <w:rsid w:val="004A1FDB"/>
    <w:rsid w:val="004A24E0"/>
    <w:rsid w:val="004A45FA"/>
    <w:rsid w:val="004A6C12"/>
    <w:rsid w:val="004B341D"/>
    <w:rsid w:val="004B4569"/>
    <w:rsid w:val="004B4F22"/>
    <w:rsid w:val="004B6574"/>
    <w:rsid w:val="004C0541"/>
    <w:rsid w:val="004C1C2E"/>
    <w:rsid w:val="004C1FB6"/>
    <w:rsid w:val="004C3C60"/>
    <w:rsid w:val="004C5A78"/>
    <w:rsid w:val="004C5FD6"/>
    <w:rsid w:val="004C7BA7"/>
    <w:rsid w:val="004D4D1C"/>
    <w:rsid w:val="004D57BE"/>
    <w:rsid w:val="004D637B"/>
    <w:rsid w:val="004E1766"/>
    <w:rsid w:val="004E2FA9"/>
    <w:rsid w:val="004E48D7"/>
    <w:rsid w:val="004E5012"/>
    <w:rsid w:val="004E518B"/>
    <w:rsid w:val="004E5225"/>
    <w:rsid w:val="004E5C84"/>
    <w:rsid w:val="004E7FC9"/>
    <w:rsid w:val="004F0DC3"/>
    <w:rsid w:val="004F2084"/>
    <w:rsid w:val="004F2BC1"/>
    <w:rsid w:val="004F44B6"/>
    <w:rsid w:val="004F5028"/>
    <w:rsid w:val="004F7CD1"/>
    <w:rsid w:val="004F7FB9"/>
    <w:rsid w:val="0050135B"/>
    <w:rsid w:val="005028BE"/>
    <w:rsid w:val="00503FD5"/>
    <w:rsid w:val="00504247"/>
    <w:rsid w:val="00506F13"/>
    <w:rsid w:val="005071D8"/>
    <w:rsid w:val="00510A93"/>
    <w:rsid w:val="00510E81"/>
    <w:rsid w:val="00510EE7"/>
    <w:rsid w:val="00512ED3"/>
    <w:rsid w:val="00515AC4"/>
    <w:rsid w:val="005171CE"/>
    <w:rsid w:val="005201ED"/>
    <w:rsid w:val="00523429"/>
    <w:rsid w:val="00523B50"/>
    <w:rsid w:val="00527549"/>
    <w:rsid w:val="005348B4"/>
    <w:rsid w:val="00536EFB"/>
    <w:rsid w:val="00537227"/>
    <w:rsid w:val="00540671"/>
    <w:rsid w:val="005412D6"/>
    <w:rsid w:val="00541DC0"/>
    <w:rsid w:val="00542CA3"/>
    <w:rsid w:val="00543180"/>
    <w:rsid w:val="005453D3"/>
    <w:rsid w:val="005461E1"/>
    <w:rsid w:val="005466F8"/>
    <w:rsid w:val="00546D24"/>
    <w:rsid w:val="00547761"/>
    <w:rsid w:val="0055382B"/>
    <w:rsid w:val="005546EB"/>
    <w:rsid w:val="0055565D"/>
    <w:rsid w:val="00557826"/>
    <w:rsid w:val="005607DB"/>
    <w:rsid w:val="005618E1"/>
    <w:rsid w:val="00561F1E"/>
    <w:rsid w:val="00565762"/>
    <w:rsid w:val="00566615"/>
    <w:rsid w:val="005672DF"/>
    <w:rsid w:val="005675EF"/>
    <w:rsid w:val="00574273"/>
    <w:rsid w:val="00574971"/>
    <w:rsid w:val="0057705C"/>
    <w:rsid w:val="00577C04"/>
    <w:rsid w:val="005816FF"/>
    <w:rsid w:val="00581AE3"/>
    <w:rsid w:val="0058391D"/>
    <w:rsid w:val="00583D7D"/>
    <w:rsid w:val="00583E56"/>
    <w:rsid w:val="00587339"/>
    <w:rsid w:val="00590802"/>
    <w:rsid w:val="00590928"/>
    <w:rsid w:val="00591B40"/>
    <w:rsid w:val="00591D3F"/>
    <w:rsid w:val="00592678"/>
    <w:rsid w:val="00594335"/>
    <w:rsid w:val="00595543"/>
    <w:rsid w:val="005955D1"/>
    <w:rsid w:val="00595E63"/>
    <w:rsid w:val="00597D9A"/>
    <w:rsid w:val="005A078A"/>
    <w:rsid w:val="005A1EAB"/>
    <w:rsid w:val="005A2190"/>
    <w:rsid w:val="005A329A"/>
    <w:rsid w:val="005A4186"/>
    <w:rsid w:val="005A5D88"/>
    <w:rsid w:val="005A72EC"/>
    <w:rsid w:val="005A7BB2"/>
    <w:rsid w:val="005A7CE0"/>
    <w:rsid w:val="005B0BA9"/>
    <w:rsid w:val="005B14C7"/>
    <w:rsid w:val="005B1B13"/>
    <w:rsid w:val="005B2025"/>
    <w:rsid w:val="005B32D0"/>
    <w:rsid w:val="005B4586"/>
    <w:rsid w:val="005B535C"/>
    <w:rsid w:val="005B5D63"/>
    <w:rsid w:val="005B7BB0"/>
    <w:rsid w:val="005C20FB"/>
    <w:rsid w:val="005C2E61"/>
    <w:rsid w:val="005C3462"/>
    <w:rsid w:val="005C4A3C"/>
    <w:rsid w:val="005C5D3A"/>
    <w:rsid w:val="005C5FD8"/>
    <w:rsid w:val="005D14A5"/>
    <w:rsid w:val="005D23F4"/>
    <w:rsid w:val="005D32BC"/>
    <w:rsid w:val="005D40B4"/>
    <w:rsid w:val="005D4A93"/>
    <w:rsid w:val="005D55E8"/>
    <w:rsid w:val="005D6413"/>
    <w:rsid w:val="005D6779"/>
    <w:rsid w:val="005D6ADC"/>
    <w:rsid w:val="005D7328"/>
    <w:rsid w:val="005D78FC"/>
    <w:rsid w:val="005E0197"/>
    <w:rsid w:val="005E077F"/>
    <w:rsid w:val="005E182B"/>
    <w:rsid w:val="005E1886"/>
    <w:rsid w:val="005E2905"/>
    <w:rsid w:val="005E3A87"/>
    <w:rsid w:val="005E3E54"/>
    <w:rsid w:val="005E6630"/>
    <w:rsid w:val="005E6D19"/>
    <w:rsid w:val="005E79DF"/>
    <w:rsid w:val="005E7AC8"/>
    <w:rsid w:val="005F1873"/>
    <w:rsid w:val="005F29AF"/>
    <w:rsid w:val="005F396D"/>
    <w:rsid w:val="005F4073"/>
    <w:rsid w:val="005F4ECA"/>
    <w:rsid w:val="005F5382"/>
    <w:rsid w:val="005F5BC3"/>
    <w:rsid w:val="005F6158"/>
    <w:rsid w:val="005F68A3"/>
    <w:rsid w:val="005F78E9"/>
    <w:rsid w:val="005F7CF1"/>
    <w:rsid w:val="006003F2"/>
    <w:rsid w:val="006016BB"/>
    <w:rsid w:val="006034DA"/>
    <w:rsid w:val="0060398C"/>
    <w:rsid w:val="00603B60"/>
    <w:rsid w:val="00604244"/>
    <w:rsid w:val="006065D8"/>
    <w:rsid w:val="00606757"/>
    <w:rsid w:val="00606B05"/>
    <w:rsid w:val="00606D68"/>
    <w:rsid w:val="006115FB"/>
    <w:rsid w:val="00611A40"/>
    <w:rsid w:val="0061641F"/>
    <w:rsid w:val="006209D8"/>
    <w:rsid w:val="00621114"/>
    <w:rsid w:val="0062268B"/>
    <w:rsid w:val="006236D4"/>
    <w:rsid w:val="006245CB"/>
    <w:rsid w:val="00624673"/>
    <w:rsid w:val="0062530C"/>
    <w:rsid w:val="00625CF5"/>
    <w:rsid w:val="00625DD9"/>
    <w:rsid w:val="006279FA"/>
    <w:rsid w:val="006339BA"/>
    <w:rsid w:val="00633DDF"/>
    <w:rsid w:val="00635B64"/>
    <w:rsid w:val="0063608D"/>
    <w:rsid w:val="006360A8"/>
    <w:rsid w:val="00637030"/>
    <w:rsid w:val="006378EF"/>
    <w:rsid w:val="00640108"/>
    <w:rsid w:val="006408E5"/>
    <w:rsid w:val="00640B8B"/>
    <w:rsid w:val="006431CF"/>
    <w:rsid w:val="00643254"/>
    <w:rsid w:val="00646B12"/>
    <w:rsid w:val="00647206"/>
    <w:rsid w:val="006472DE"/>
    <w:rsid w:val="00647D3E"/>
    <w:rsid w:val="00647E3B"/>
    <w:rsid w:val="00650AEE"/>
    <w:rsid w:val="0065340E"/>
    <w:rsid w:val="00653BD0"/>
    <w:rsid w:val="00654ABC"/>
    <w:rsid w:val="00656384"/>
    <w:rsid w:val="00656514"/>
    <w:rsid w:val="00656DCE"/>
    <w:rsid w:val="0065706F"/>
    <w:rsid w:val="00660B96"/>
    <w:rsid w:val="00661694"/>
    <w:rsid w:val="00662C55"/>
    <w:rsid w:val="00663E01"/>
    <w:rsid w:val="00666B4B"/>
    <w:rsid w:val="00666B9E"/>
    <w:rsid w:val="00667C74"/>
    <w:rsid w:val="00670B99"/>
    <w:rsid w:val="00671189"/>
    <w:rsid w:val="00672F78"/>
    <w:rsid w:val="00673268"/>
    <w:rsid w:val="0067451B"/>
    <w:rsid w:val="0067497A"/>
    <w:rsid w:val="006759DB"/>
    <w:rsid w:val="0067686F"/>
    <w:rsid w:val="006769C1"/>
    <w:rsid w:val="00676D3F"/>
    <w:rsid w:val="00676DE7"/>
    <w:rsid w:val="00677ABC"/>
    <w:rsid w:val="00677DAB"/>
    <w:rsid w:val="006839DD"/>
    <w:rsid w:val="00684FFE"/>
    <w:rsid w:val="00685127"/>
    <w:rsid w:val="0068696C"/>
    <w:rsid w:val="006871D9"/>
    <w:rsid w:val="00692B70"/>
    <w:rsid w:val="00693893"/>
    <w:rsid w:val="00693CD4"/>
    <w:rsid w:val="00694A75"/>
    <w:rsid w:val="00695E69"/>
    <w:rsid w:val="00695E6A"/>
    <w:rsid w:val="006A00DF"/>
    <w:rsid w:val="006A2DA7"/>
    <w:rsid w:val="006A32CE"/>
    <w:rsid w:val="006A72C2"/>
    <w:rsid w:val="006A7489"/>
    <w:rsid w:val="006B096E"/>
    <w:rsid w:val="006B10EC"/>
    <w:rsid w:val="006B1B77"/>
    <w:rsid w:val="006B2912"/>
    <w:rsid w:val="006B39C6"/>
    <w:rsid w:val="006C06CF"/>
    <w:rsid w:val="006C3C73"/>
    <w:rsid w:val="006C42F4"/>
    <w:rsid w:val="006C49DC"/>
    <w:rsid w:val="006C55A5"/>
    <w:rsid w:val="006C6BA2"/>
    <w:rsid w:val="006C710E"/>
    <w:rsid w:val="006C74C4"/>
    <w:rsid w:val="006D1D24"/>
    <w:rsid w:val="006D2F17"/>
    <w:rsid w:val="006D3969"/>
    <w:rsid w:val="006D56D6"/>
    <w:rsid w:val="006D58FC"/>
    <w:rsid w:val="006E5EFA"/>
    <w:rsid w:val="006F112B"/>
    <w:rsid w:val="006F2D5D"/>
    <w:rsid w:val="006F2F64"/>
    <w:rsid w:val="006F3E30"/>
    <w:rsid w:val="006F3F8D"/>
    <w:rsid w:val="006F506F"/>
    <w:rsid w:val="006F75EE"/>
    <w:rsid w:val="00700C82"/>
    <w:rsid w:val="007020FA"/>
    <w:rsid w:val="00702469"/>
    <w:rsid w:val="00702A65"/>
    <w:rsid w:val="0070399E"/>
    <w:rsid w:val="00705F97"/>
    <w:rsid w:val="00707808"/>
    <w:rsid w:val="007111DE"/>
    <w:rsid w:val="007111FE"/>
    <w:rsid w:val="007117DC"/>
    <w:rsid w:val="00711C7C"/>
    <w:rsid w:val="00712E4A"/>
    <w:rsid w:val="00713E8C"/>
    <w:rsid w:val="007157C5"/>
    <w:rsid w:val="007160DE"/>
    <w:rsid w:val="00716F77"/>
    <w:rsid w:val="00717640"/>
    <w:rsid w:val="00717DE1"/>
    <w:rsid w:val="00722795"/>
    <w:rsid w:val="007247E0"/>
    <w:rsid w:val="007251AA"/>
    <w:rsid w:val="007268FC"/>
    <w:rsid w:val="007279ED"/>
    <w:rsid w:val="007329A0"/>
    <w:rsid w:val="007340BE"/>
    <w:rsid w:val="007349B9"/>
    <w:rsid w:val="00735792"/>
    <w:rsid w:val="0073682C"/>
    <w:rsid w:val="00737085"/>
    <w:rsid w:val="007417A0"/>
    <w:rsid w:val="00741C69"/>
    <w:rsid w:val="00745D12"/>
    <w:rsid w:val="00746F74"/>
    <w:rsid w:val="00747E43"/>
    <w:rsid w:val="00750D65"/>
    <w:rsid w:val="0075272E"/>
    <w:rsid w:val="007535F1"/>
    <w:rsid w:val="007536CA"/>
    <w:rsid w:val="007572E0"/>
    <w:rsid w:val="007574A8"/>
    <w:rsid w:val="00760791"/>
    <w:rsid w:val="007616DF"/>
    <w:rsid w:val="00763412"/>
    <w:rsid w:val="00765492"/>
    <w:rsid w:val="00766D89"/>
    <w:rsid w:val="00767AEE"/>
    <w:rsid w:val="00770620"/>
    <w:rsid w:val="00771C4C"/>
    <w:rsid w:val="00772A7A"/>
    <w:rsid w:val="007734A9"/>
    <w:rsid w:val="007738EA"/>
    <w:rsid w:val="007745BE"/>
    <w:rsid w:val="007753F8"/>
    <w:rsid w:val="00775952"/>
    <w:rsid w:val="00775E77"/>
    <w:rsid w:val="00776A98"/>
    <w:rsid w:val="00776C90"/>
    <w:rsid w:val="00780AD9"/>
    <w:rsid w:val="007829C8"/>
    <w:rsid w:val="0078403E"/>
    <w:rsid w:val="007866C9"/>
    <w:rsid w:val="00791C92"/>
    <w:rsid w:val="00795718"/>
    <w:rsid w:val="00796436"/>
    <w:rsid w:val="007A213A"/>
    <w:rsid w:val="007A4E26"/>
    <w:rsid w:val="007A50C2"/>
    <w:rsid w:val="007A7E03"/>
    <w:rsid w:val="007B1225"/>
    <w:rsid w:val="007B3FFC"/>
    <w:rsid w:val="007B53B0"/>
    <w:rsid w:val="007B6EEA"/>
    <w:rsid w:val="007C0A68"/>
    <w:rsid w:val="007C285C"/>
    <w:rsid w:val="007C4B9C"/>
    <w:rsid w:val="007D1716"/>
    <w:rsid w:val="007D203B"/>
    <w:rsid w:val="007D2831"/>
    <w:rsid w:val="007D40D0"/>
    <w:rsid w:val="007D410B"/>
    <w:rsid w:val="007D53AE"/>
    <w:rsid w:val="007D758E"/>
    <w:rsid w:val="007E05BA"/>
    <w:rsid w:val="007E1010"/>
    <w:rsid w:val="007E1967"/>
    <w:rsid w:val="007E1DF5"/>
    <w:rsid w:val="007E20ED"/>
    <w:rsid w:val="007E4AC8"/>
    <w:rsid w:val="007E696D"/>
    <w:rsid w:val="007E7CB4"/>
    <w:rsid w:val="007F1634"/>
    <w:rsid w:val="007F1B6B"/>
    <w:rsid w:val="007F1E5F"/>
    <w:rsid w:val="007F32D4"/>
    <w:rsid w:val="007F39F2"/>
    <w:rsid w:val="007F5995"/>
    <w:rsid w:val="007F60C1"/>
    <w:rsid w:val="007F6246"/>
    <w:rsid w:val="007F678C"/>
    <w:rsid w:val="007F75E4"/>
    <w:rsid w:val="007F7A98"/>
    <w:rsid w:val="0080211B"/>
    <w:rsid w:val="00802C88"/>
    <w:rsid w:val="00802F8F"/>
    <w:rsid w:val="00804260"/>
    <w:rsid w:val="00804271"/>
    <w:rsid w:val="008066CC"/>
    <w:rsid w:val="00811451"/>
    <w:rsid w:val="0081217D"/>
    <w:rsid w:val="0081283E"/>
    <w:rsid w:val="00812956"/>
    <w:rsid w:val="00813E96"/>
    <w:rsid w:val="00815379"/>
    <w:rsid w:val="00815ADF"/>
    <w:rsid w:val="00815E8D"/>
    <w:rsid w:val="00817B5D"/>
    <w:rsid w:val="0082006D"/>
    <w:rsid w:val="00821D2F"/>
    <w:rsid w:val="00824353"/>
    <w:rsid w:val="00826134"/>
    <w:rsid w:val="00827CF9"/>
    <w:rsid w:val="00830034"/>
    <w:rsid w:val="00831813"/>
    <w:rsid w:val="00831B2F"/>
    <w:rsid w:val="00831CA9"/>
    <w:rsid w:val="00834AEF"/>
    <w:rsid w:val="00837AE3"/>
    <w:rsid w:val="00840E38"/>
    <w:rsid w:val="00841D91"/>
    <w:rsid w:val="00842341"/>
    <w:rsid w:val="00842CBD"/>
    <w:rsid w:val="00843F77"/>
    <w:rsid w:val="008442BB"/>
    <w:rsid w:val="00845A17"/>
    <w:rsid w:val="00847EF4"/>
    <w:rsid w:val="008504BB"/>
    <w:rsid w:val="00851599"/>
    <w:rsid w:val="00855406"/>
    <w:rsid w:val="008627CA"/>
    <w:rsid w:val="008628A1"/>
    <w:rsid w:val="0086295B"/>
    <w:rsid w:val="00870C6B"/>
    <w:rsid w:val="00871E3D"/>
    <w:rsid w:val="00872DFA"/>
    <w:rsid w:val="0087310E"/>
    <w:rsid w:val="008756FE"/>
    <w:rsid w:val="008772A1"/>
    <w:rsid w:val="008777BD"/>
    <w:rsid w:val="0088067A"/>
    <w:rsid w:val="0088166D"/>
    <w:rsid w:val="00881AC4"/>
    <w:rsid w:val="0088222C"/>
    <w:rsid w:val="008822EC"/>
    <w:rsid w:val="008836EC"/>
    <w:rsid w:val="00886BD1"/>
    <w:rsid w:val="008878B5"/>
    <w:rsid w:val="00891956"/>
    <w:rsid w:val="00892F27"/>
    <w:rsid w:val="00893EF6"/>
    <w:rsid w:val="00894524"/>
    <w:rsid w:val="008961E5"/>
    <w:rsid w:val="008963FC"/>
    <w:rsid w:val="008976D9"/>
    <w:rsid w:val="008A08F8"/>
    <w:rsid w:val="008A1444"/>
    <w:rsid w:val="008A19CF"/>
    <w:rsid w:val="008A1CDC"/>
    <w:rsid w:val="008A2439"/>
    <w:rsid w:val="008A26CD"/>
    <w:rsid w:val="008A3681"/>
    <w:rsid w:val="008A42BF"/>
    <w:rsid w:val="008A66E9"/>
    <w:rsid w:val="008A76E7"/>
    <w:rsid w:val="008B0308"/>
    <w:rsid w:val="008B483F"/>
    <w:rsid w:val="008B536E"/>
    <w:rsid w:val="008B5444"/>
    <w:rsid w:val="008B59C0"/>
    <w:rsid w:val="008B6B1F"/>
    <w:rsid w:val="008B7025"/>
    <w:rsid w:val="008C02A4"/>
    <w:rsid w:val="008C1F58"/>
    <w:rsid w:val="008D066B"/>
    <w:rsid w:val="008D2ADC"/>
    <w:rsid w:val="008D37A4"/>
    <w:rsid w:val="008D4C0F"/>
    <w:rsid w:val="008D6FA0"/>
    <w:rsid w:val="008E036B"/>
    <w:rsid w:val="008E06AC"/>
    <w:rsid w:val="008E1154"/>
    <w:rsid w:val="008E1A87"/>
    <w:rsid w:val="008E33B9"/>
    <w:rsid w:val="008E4605"/>
    <w:rsid w:val="008E46C9"/>
    <w:rsid w:val="008E5A13"/>
    <w:rsid w:val="008F1FAC"/>
    <w:rsid w:val="008F20DB"/>
    <w:rsid w:val="008F2A13"/>
    <w:rsid w:val="008F338E"/>
    <w:rsid w:val="008F4723"/>
    <w:rsid w:val="008F4CED"/>
    <w:rsid w:val="009006AF"/>
    <w:rsid w:val="00901520"/>
    <w:rsid w:val="009021DE"/>
    <w:rsid w:val="00904869"/>
    <w:rsid w:val="009052CE"/>
    <w:rsid w:val="00905E0E"/>
    <w:rsid w:val="009121A6"/>
    <w:rsid w:val="0091286D"/>
    <w:rsid w:val="00912FB3"/>
    <w:rsid w:val="0091314C"/>
    <w:rsid w:val="0091437A"/>
    <w:rsid w:val="009144E8"/>
    <w:rsid w:val="009145EB"/>
    <w:rsid w:val="009152DB"/>
    <w:rsid w:val="00915FD9"/>
    <w:rsid w:val="00916211"/>
    <w:rsid w:val="00916F0C"/>
    <w:rsid w:val="009211D0"/>
    <w:rsid w:val="0092614E"/>
    <w:rsid w:val="009265C5"/>
    <w:rsid w:val="00927F36"/>
    <w:rsid w:val="009309A5"/>
    <w:rsid w:val="00930FD0"/>
    <w:rsid w:val="009311C9"/>
    <w:rsid w:val="00933C92"/>
    <w:rsid w:val="00934413"/>
    <w:rsid w:val="00934771"/>
    <w:rsid w:val="00936663"/>
    <w:rsid w:val="009373EE"/>
    <w:rsid w:val="00937C70"/>
    <w:rsid w:val="00940BA4"/>
    <w:rsid w:val="009437E7"/>
    <w:rsid w:val="00944D40"/>
    <w:rsid w:val="00944F72"/>
    <w:rsid w:val="009457CF"/>
    <w:rsid w:val="00945F4E"/>
    <w:rsid w:val="009503E4"/>
    <w:rsid w:val="0095285C"/>
    <w:rsid w:val="00952D91"/>
    <w:rsid w:val="00955170"/>
    <w:rsid w:val="009571C7"/>
    <w:rsid w:val="009601F4"/>
    <w:rsid w:val="00960823"/>
    <w:rsid w:val="00960D10"/>
    <w:rsid w:val="0096289E"/>
    <w:rsid w:val="0096516C"/>
    <w:rsid w:val="00965BBA"/>
    <w:rsid w:val="009669E4"/>
    <w:rsid w:val="00967403"/>
    <w:rsid w:val="00967602"/>
    <w:rsid w:val="00967FDA"/>
    <w:rsid w:val="0097110F"/>
    <w:rsid w:val="00975962"/>
    <w:rsid w:val="00976307"/>
    <w:rsid w:val="0098100F"/>
    <w:rsid w:val="009825B0"/>
    <w:rsid w:val="00984FF8"/>
    <w:rsid w:val="00985079"/>
    <w:rsid w:val="00985C04"/>
    <w:rsid w:val="0098674A"/>
    <w:rsid w:val="00987474"/>
    <w:rsid w:val="009916D6"/>
    <w:rsid w:val="00993F1D"/>
    <w:rsid w:val="009945E0"/>
    <w:rsid w:val="00994626"/>
    <w:rsid w:val="00995C53"/>
    <w:rsid w:val="00995CB6"/>
    <w:rsid w:val="00996020"/>
    <w:rsid w:val="00996B64"/>
    <w:rsid w:val="009A0539"/>
    <w:rsid w:val="009A2B32"/>
    <w:rsid w:val="009A311C"/>
    <w:rsid w:val="009B03AB"/>
    <w:rsid w:val="009B1E51"/>
    <w:rsid w:val="009B4506"/>
    <w:rsid w:val="009B5EB3"/>
    <w:rsid w:val="009B6524"/>
    <w:rsid w:val="009B6C92"/>
    <w:rsid w:val="009C01EF"/>
    <w:rsid w:val="009C1300"/>
    <w:rsid w:val="009C20D0"/>
    <w:rsid w:val="009C2961"/>
    <w:rsid w:val="009C40A0"/>
    <w:rsid w:val="009C4F40"/>
    <w:rsid w:val="009C75EB"/>
    <w:rsid w:val="009D12CD"/>
    <w:rsid w:val="009D1F70"/>
    <w:rsid w:val="009D32C9"/>
    <w:rsid w:val="009D7F7F"/>
    <w:rsid w:val="009E2C30"/>
    <w:rsid w:val="009E4AD4"/>
    <w:rsid w:val="009F170F"/>
    <w:rsid w:val="009F2577"/>
    <w:rsid w:val="009F266D"/>
    <w:rsid w:val="009F3572"/>
    <w:rsid w:val="009F52EE"/>
    <w:rsid w:val="00A00F56"/>
    <w:rsid w:val="00A03496"/>
    <w:rsid w:val="00A034FF"/>
    <w:rsid w:val="00A04155"/>
    <w:rsid w:val="00A05279"/>
    <w:rsid w:val="00A065EF"/>
    <w:rsid w:val="00A06F49"/>
    <w:rsid w:val="00A06FB3"/>
    <w:rsid w:val="00A079A8"/>
    <w:rsid w:val="00A1034C"/>
    <w:rsid w:val="00A1088F"/>
    <w:rsid w:val="00A115B0"/>
    <w:rsid w:val="00A11F93"/>
    <w:rsid w:val="00A13F05"/>
    <w:rsid w:val="00A1433E"/>
    <w:rsid w:val="00A156AF"/>
    <w:rsid w:val="00A1694D"/>
    <w:rsid w:val="00A16982"/>
    <w:rsid w:val="00A2054E"/>
    <w:rsid w:val="00A23686"/>
    <w:rsid w:val="00A24056"/>
    <w:rsid w:val="00A26B5E"/>
    <w:rsid w:val="00A31E31"/>
    <w:rsid w:val="00A3382E"/>
    <w:rsid w:val="00A35096"/>
    <w:rsid w:val="00A3533E"/>
    <w:rsid w:val="00A3535B"/>
    <w:rsid w:val="00A3688F"/>
    <w:rsid w:val="00A37CA7"/>
    <w:rsid w:val="00A40E53"/>
    <w:rsid w:val="00A41418"/>
    <w:rsid w:val="00A43ABF"/>
    <w:rsid w:val="00A43BC5"/>
    <w:rsid w:val="00A4619D"/>
    <w:rsid w:val="00A47704"/>
    <w:rsid w:val="00A50B66"/>
    <w:rsid w:val="00A51828"/>
    <w:rsid w:val="00A51C40"/>
    <w:rsid w:val="00A51D23"/>
    <w:rsid w:val="00A52040"/>
    <w:rsid w:val="00A5641D"/>
    <w:rsid w:val="00A56747"/>
    <w:rsid w:val="00A600D8"/>
    <w:rsid w:val="00A618CB"/>
    <w:rsid w:val="00A61BBF"/>
    <w:rsid w:val="00A6586D"/>
    <w:rsid w:val="00A66929"/>
    <w:rsid w:val="00A71665"/>
    <w:rsid w:val="00A81AF3"/>
    <w:rsid w:val="00A85EFD"/>
    <w:rsid w:val="00A85F17"/>
    <w:rsid w:val="00A86049"/>
    <w:rsid w:val="00A8669A"/>
    <w:rsid w:val="00A86A0E"/>
    <w:rsid w:val="00A91196"/>
    <w:rsid w:val="00A95BD8"/>
    <w:rsid w:val="00A95F2F"/>
    <w:rsid w:val="00A97089"/>
    <w:rsid w:val="00AA256D"/>
    <w:rsid w:val="00AA2746"/>
    <w:rsid w:val="00AA3331"/>
    <w:rsid w:val="00AA35FE"/>
    <w:rsid w:val="00AA4CC0"/>
    <w:rsid w:val="00AA4E11"/>
    <w:rsid w:val="00AA64B6"/>
    <w:rsid w:val="00AB0F7C"/>
    <w:rsid w:val="00AB1844"/>
    <w:rsid w:val="00AB27E3"/>
    <w:rsid w:val="00AB2E71"/>
    <w:rsid w:val="00AB3177"/>
    <w:rsid w:val="00AB366B"/>
    <w:rsid w:val="00AB39A6"/>
    <w:rsid w:val="00AB7FE8"/>
    <w:rsid w:val="00AC07BD"/>
    <w:rsid w:val="00AC0E2E"/>
    <w:rsid w:val="00AC13E9"/>
    <w:rsid w:val="00AC19F2"/>
    <w:rsid w:val="00AC2DA4"/>
    <w:rsid w:val="00AC2E99"/>
    <w:rsid w:val="00AC784B"/>
    <w:rsid w:val="00AC7F07"/>
    <w:rsid w:val="00AD0BA9"/>
    <w:rsid w:val="00AD12ED"/>
    <w:rsid w:val="00AD2A9C"/>
    <w:rsid w:val="00AD4190"/>
    <w:rsid w:val="00AD41F4"/>
    <w:rsid w:val="00AD53B2"/>
    <w:rsid w:val="00AE249E"/>
    <w:rsid w:val="00AE3373"/>
    <w:rsid w:val="00AE3DA5"/>
    <w:rsid w:val="00AE59AB"/>
    <w:rsid w:val="00AE7659"/>
    <w:rsid w:val="00AF0B90"/>
    <w:rsid w:val="00AF292E"/>
    <w:rsid w:val="00AF2FC7"/>
    <w:rsid w:val="00AF3427"/>
    <w:rsid w:val="00AF40D3"/>
    <w:rsid w:val="00AF6D5D"/>
    <w:rsid w:val="00AF707A"/>
    <w:rsid w:val="00B008BE"/>
    <w:rsid w:val="00B00D9E"/>
    <w:rsid w:val="00B01486"/>
    <w:rsid w:val="00B06461"/>
    <w:rsid w:val="00B12370"/>
    <w:rsid w:val="00B13E16"/>
    <w:rsid w:val="00B14DD0"/>
    <w:rsid w:val="00B15797"/>
    <w:rsid w:val="00B160C4"/>
    <w:rsid w:val="00B169E7"/>
    <w:rsid w:val="00B17CCB"/>
    <w:rsid w:val="00B20701"/>
    <w:rsid w:val="00B224ED"/>
    <w:rsid w:val="00B236CD"/>
    <w:rsid w:val="00B251A7"/>
    <w:rsid w:val="00B26100"/>
    <w:rsid w:val="00B26C28"/>
    <w:rsid w:val="00B276B4"/>
    <w:rsid w:val="00B27B4D"/>
    <w:rsid w:val="00B30CB9"/>
    <w:rsid w:val="00B33D61"/>
    <w:rsid w:val="00B33D98"/>
    <w:rsid w:val="00B3563A"/>
    <w:rsid w:val="00B40AAE"/>
    <w:rsid w:val="00B41AED"/>
    <w:rsid w:val="00B41DE9"/>
    <w:rsid w:val="00B426E6"/>
    <w:rsid w:val="00B4316E"/>
    <w:rsid w:val="00B4373F"/>
    <w:rsid w:val="00B57410"/>
    <w:rsid w:val="00B610D0"/>
    <w:rsid w:val="00B61C7D"/>
    <w:rsid w:val="00B672FE"/>
    <w:rsid w:val="00B6765B"/>
    <w:rsid w:val="00B705A5"/>
    <w:rsid w:val="00B70CF9"/>
    <w:rsid w:val="00B70F21"/>
    <w:rsid w:val="00B7184F"/>
    <w:rsid w:val="00B73446"/>
    <w:rsid w:val="00B7606A"/>
    <w:rsid w:val="00B771E6"/>
    <w:rsid w:val="00B81554"/>
    <w:rsid w:val="00B82315"/>
    <w:rsid w:val="00B8331F"/>
    <w:rsid w:val="00B83FEA"/>
    <w:rsid w:val="00B84105"/>
    <w:rsid w:val="00B85A01"/>
    <w:rsid w:val="00B8680F"/>
    <w:rsid w:val="00B86D29"/>
    <w:rsid w:val="00B87ECB"/>
    <w:rsid w:val="00B90388"/>
    <w:rsid w:val="00B945F1"/>
    <w:rsid w:val="00B9695D"/>
    <w:rsid w:val="00B96BDF"/>
    <w:rsid w:val="00BA0185"/>
    <w:rsid w:val="00BA0E0E"/>
    <w:rsid w:val="00BA0EEE"/>
    <w:rsid w:val="00BA0F1A"/>
    <w:rsid w:val="00BA122C"/>
    <w:rsid w:val="00BA18A3"/>
    <w:rsid w:val="00BA385B"/>
    <w:rsid w:val="00BA3CD8"/>
    <w:rsid w:val="00BA3EF5"/>
    <w:rsid w:val="00BA4BA8"/>
    <w:rsid w:val="00BA53A7"/>
    <w:rsid w:val="00BA5A44"/>
    <w:rsid w:val="00BA7B0D"/>
    <w:rsid w:val="00BB18D4"/>
    <w:rsid w:val="00BB2F38"/>
    <w:rsid w:val="00BB342C"/>
    <w:rsid w:val="00BB3C2B"/>
    <w:rsid w:val="00BB5F2C"/>
    <w:rsid w:val="00BB6EDE"/>
    <w:rsid w:val="00BB7192"/>
    <w:rsid w:val="00BC00BD"/>
    <w:rsid w:val="00BC2D3F"/>
    <w:rsid w:val="00BC37E6"/>
    <w:rsid w:val="00BC531A"/>
    <w:rsid w:val="00BC5B7F"/>
    <w:rsid w:val="00BD12A6"/>
    <w:rsid w:val="00BD1758"/>
    <w:rsid w:val="00BD1CA8"/>
    <w:rsid w:val="00BD25C5"/>
    <w:rsid w:val="00BD2716"/>
    <w:rsid w:val="00BD297D"/>
    <w:rsid w:val="00BD2E2F"/>
    <w:rsid w:val="00BE046C"/>
    <w:rsid w:val="00BE1533"/>
    <w:rsid w:val="00BE1B02"/>
    <w:rsid w:val="00BE230C"/>
    <w:rsid w:val="00BE26B1"/>
    <w:rsid w:val="00BE2B2E"/>
    <w:rsid w:val="00BE37DE"/>
    <w:rsid w:val="00BE47D4"/>
    <w:rsid w:val="00BE51BC"/>
    <w:rsid w:val="00BF30D5"/>
    <w:rsid w:val="00BF4146"/>
    <w:rsid w:val="00BF65D5"/>
    <w:rsid w:val="00BF79C7"/>
    <w:rsid w:val="00C00122"/>
    <w:rsid w:val="00C04E34"/>
    <w:rsid w:val="00C06A1D"/>
    <w:rsid w:val="00C11AB2"/>
    <w:rsid w:val="00C125F6"/>
    <w:rsid w:val="00C135CA"/>
    <w:rsid w:val="00C139B8"/>
    <w:rsid w:val="00C14E26"/>
    <w:rsid w:val="00C16ECD"/>
    <w:rsid w:val="00C17987"/>
    <w:rsid w:val="00C20838"/>
    <w:rsid w:val="00C20CBC"/>
    <w:rsid w:val="00C21E28"/>
    <w:rsid w:val="00C227A2"/>
    <w:rsid w:val="00C253AD"/>
    <w:rsid w:val="00C31D32"/>
    <w:rsid w:val="00C35779"/>
    <w:rsid w:val="00C36430"/>
    <w:rsid w:val="00C40160"/>
    <w:rsid w:val="00C416DA"/>
    <w:rsid w:val="00C41ECA"/>
    <w:rsid w:val="00C46E08"/>
    <w:rsid w:val="00C507A4"/>
    <w:rsid w:val="00C508A1"/>
    <w:rsid w:val="00C50B79"/>
    <w:rsid w:val="00C50E38"/>
    <w:rsid w:val="00C510A8"/>
    <w:rsid w:val="00C51F3B"/>
    <w:rsid w:val="00C5229D"/>
    <w:rsid w:val="00C52686"/>
    <w:rsid w:val="00C53F4A"/>
    <w:rsid w:val="00C55B64"/>
    <w:rsid w:val="00C56AAB"/>
    <w:rsid w:val="00C56DFF"/>
    <w:rsid w:val="00C57FF4"/>
    <w:rsid w:val="00C61D50"/>
    <w:rsid w:val="00C62A14"/>
    <w:rsid w:val="00C630B3"/>
    <w:rsid w:val="00C6469E"/>
    <w:rsid w:val="00C64B13"/>
    <w:rsid w:val="00C66527"/>
    <w:rsid w:val="00C66D64"/>
    <w:rsid w:val="00C708A4"/>
    <w:rsid w:val="00C719AC"/>
    <w:rsid w:val="00C7429C"/>
    <w:rsid w:val="00C80034"/>
    <w:rsid w:val="00C80480"/>
    <w:rsid w:val="00C81239"/>
    <w:rsid w:val="00C83098"/>
    <w:rsid w:val="00C83E03"/>
    <w:rsid w:val="00C870EE"/>
    <w:rsid w:val="00C91680"/>
    <w:rsid w:val="00C91851"/>
    <w:rsid w:val="00C91EAA"/>
    <w:rsid w:val="00C92853"/>
    <w:rsid w:val="00C94A33"/>
    <w:rsid w:val="00C95521"/>
    <w:rsid w:val="00C95E5C"/>
    <w:rsid w:val="00C95EE3"/>
    <w:rsid w:val="00C960DB"/>
    <w:rsid w:val="00C976AB"/>
    <w:rsid w:val="00C977A7"/>
    <w:rsid w:val="00CA2F7F"/>
    <w:rsid w:val="00CA3C76"/>
    <w:rsid w:val="00CA4738"/>
    <w:rsid w:val="00CA5B11"/>
    <w:rsid w:val="00CA5E6E"/>
    <w:rsid w:val="00CA6B4F"/>
    <w:rsid w:val="00CB17FA"/>
    <w:rsid w:val="00CB1E5B"/>
    <w:rsid w:val="00CB20BB"/>
    <w:rsid w:val="00CB226E"/>
    <w:rsid w:val="00CB2CCB"/>
    <w:rsid w:val="00CB534A"/>
    <w:rsid w:val="00CC0192"/>
    <w:rsid w:val="00CC066C"/>
    <w:rsid w:val="00CC177D"/>
    <w:rsid w:val="00CC21EC"/>
    <w:rsid w:val="00CC652D"/>
    <w:rsid w:val="00CC7573"/>
    <w:rsid w:val="00CD5908"/>
    <w:rsid w:val="00CD60AE"/>
    <w:rsid w:val="00CD60B2"/>
    <w:rsid w:val="00CD6FBF"/>
    <w:rsid w:val="00CE0367"/>
    <w:rsid w:val="00CE31E9"/>
    <w:rsid w:val="00CE3352"/>
    <w:rsid w:val="00CE3BE3"/>
    <w:rsid w:val="00CE5C29"/>
    <w:rsid w:val="00CE6866"/>
    <w:rsid w:val="00CF2C43"/>
    <w:rsid w:val="00CF5B67"/>
    <w:rsid w:val="00CF66EE"/>
    <w:rsid w:val="00CF7355"/>
    <w:rsid w:val="00D0194E"/>
    <w:rsid w:val="00D0196E"/>
    <w:rsid w:val="00D01B9A"/>
    <w:rsid w:val="00D02191"/>
    <w:rsid w:val="00D039EF"/>
    <w:rsid w:val="00D059E1"/>
    <w:rsid w:val="00D06847"/>
    <w:rsid w:val="00D0711B"/>
    <w:rsid w:val="00D07CF0"/>
    <w:rsid w:val="00D10E8C"/>
    <w:rsid w:val="00D129AC"/>
    <w:rsid w:val="00D14A81"/>
    <w:rsid w:val="00D17D50"/>
    <w:rsid w:val="00D21939"/>
    <w:rsid w:val="00D21DB6"/>
    <w:rsid w:val="00D23169"/>
    <w:rsid w:val="00D246AE"/>
    <w:rsid w:val="00D267A0"/>
    <w:rsid w:val="00D26A9B"/>
    <w:rsid w:val="00D30430"/>
    <w:rsid w:val="00D31651"/>
    <w:rsid w:val="00D3431F"/>
    <w:rsid w:val="00D34C55"/>
    <w:rsid w:val="00D3548E"/>
    <w:rsid w:val="00D363E9"/>
    <w:rsid w:val="00D40CEB"/>
    <w:rsid w:val="00D41729"/>
    <w:rsid w:val="00D41746"/>
    <w:rsid w:val="00D4185C"/>
    <w:rsid w:val="00D427D0"/>
    <w:rsid w:val="00D42AFC"/>
    <w:rsid w:val="00D46EC4"/>
    <w:rsid w:val="00D470B5"/>
    <w:rsid w:val="00D4757F"/>
    <w:rsid w:val="00D509EF"/>
    <w:rsid w:val="00D529AB"/>
    <w:rsid w:val="00D537AA"/>
    <w:rsid w:val="00D5795C"/>
    <w:rsid w:val="00D57F04"/>
    <w:rsid w:val="00D62A48"/>
    <w:rsid w:val="00D62DBE"/>
    <w:rsid w:val="00D62F51"/>
    <w:rsid w:val="00D63066"/>
    <w:rsid w:val="00D63214"/>
    <w:rsid w:val="00D637DC"/>
    <w:rsid w:val="00D63950"/>
    <w:rsid w:val="00D6498D"/>
    <w:rsid w:val="00D66581"/>
    <w:rsid w:val="00D675FF"/>
    <w:rsid w:val="00D67630"/>
    <w:rsid w:val="00D73CC0"/>
    <w:rsid w:val="00D818A1"/>
    <w:rsid w:val="00D84140"/>
    <w:rsid w:val="00D8445E"/>
    <w:rsid w:val="00D84E9F"/>
    <w:rsid w:val="00D868C7"/>
    <w:rsid w:val="00D871C6"/>
    <w:rsid w:val="00D90A13"/>
    <w:rsid w:val="00D90E08"/>
    <w:rsid w:val="00D92C5F"/>
    <w:rsid w:val="00D92E6B"/>
    <w:rsid w:val="00D938FC"/>
    <w:rsid w:val="00D9451E"/>
    <w:rsid w:val="00D94A0D"/>
    <w:rsid w:val="00D960E7"/>
    <w:rsid w:val="00D96225"/>
    <w:rsid w:val="00D974C8"/>
    <w:rsid w:val="00D97B7B"/>
    <w:rsid w:val="00DA20CD"/>
    <w:rsid w:val="00DA4E76"/>
    <w:rsid w:val="00DB0BC0"/>
    <w:rsid w:val="00DB112A"/>
    <w:rsid w:val="00DB170B"/>
    <w:rsid w:val="00DB24D6"/>
    <w:rsid w:val="00DB4E46"/>
    <w:rsid w:val="00DB5A01"/>
    <w:rsid w:val="00DB62BA"/>
    <w:rsid w:val="00DB66AA"/>
    <w:rsid w:val="00DB6F62"/>
    <w:rsid w:val="00DB7CBF"/>
    <w:rsid w:val="00DC09A3"/>
    <w:rsid w:val="00DC19D6"/>
    <w:rsid w:val="00DC5FB0"/>
    <w:rsid w:val="00DC712F"/>
    <w:rsid w:val="00DD0626"/>
    <w:rsid w:val="00DD0E6B"/>
    <w:rsid w:val="00DD1BBF"/>
    <w:rsid w:val="00DD1F58"/>
    <w:rsid w:val="00DD2F21"/>
    <w:rsid w:val="00DD41B0"/>
    <w:rsid w:val="00DD436D"/>
    <w:rsid w:val="00DD53C6"/>
    <w:rsid w:val="00DD5D72"/>
    <w:rsid w:val="00DD6680"/>
    <w:rsid w:val="00DD7937"/>
    <w:rsid w:val="00DE5612"/>
    <w:rsid w:val="00DE6D4A"/>
    <w:rsid w:val="00DF032C"/>
    <w:rsid w:val="00DF105B"/>
    <w:rsid w:val="00DF11CA"/>
    <w:rsid w:val="00DF154A"/>
    <w:rsid w:val="00DF3371"/>
    <w:rsid w:val="00DF4D57"/>
    <w:rsid w:val="00E001C4"/>
    <w:rsid w:val="00E00D33"/>
    <w:rsid w:val="00E03931"/>
    <w:rsid w:val="00E05140"/>
    <w:rsid w:val="00E05B4A"/>
    <w:rsid w:val="00E06667"/>
    <w:rsid w:val="00E07A5D"/>
    <w:rsid w:val="00E07E5F"/>
    <w:rsid w:val="00E10055"/>
    <w:rsid w:val="00E1036A"/>
    <w:rsid w:val="00E128CF"/>
    <w:rsid w:val="00E14C2F"/>
    <w:rsid w:val="00E14EFF"/>
    <w:rsid w:val="00E175A3"/>
    <w:rsid w:val="00E177F3"/>
    <w:rsid w:val="00E17FF1"/>
    <w:rsid w:val="00E20710"/>
    <w:rsid w:val="00E232A1"/>
    <w:rsid w:val="00E27292"/>
    <w:rsid w:val="00E27BCD"/>
    <w:rsid w:val="00E30158"/>
    <w:rsid w:val="00E321F2"/>
    <w:rsid w:val="00E33012"/>
    <w:rsid w:val="00E34F50"/>
    <w:rsid w:val="00E36971"/>
    <w:rsid w:val="00E377BE"/>
    <w:rsid w:val="00E4263E"/>
    <w:rsid w:val="00E47728"/>
    <w:rsid w:val="00E47DAB"/>
    <w:rsid w:val="00E5029C"/>
    <w:rsid w:val="00E5219E"/>
    <w:rsid w:val="00E52F31"/>
    <w:rsid w:val="00E56466"/>
    <w:rsid w:val="00E57219"/>
    <w:rsid w:val="00E5729D"/>
    <w:rsid w:val="00E57D18"/>
    <w:rsid w:val="00E62100"/>
    <w:rsid w:val="00E62736"/>
    <w:rsid w:val="00E63005"/>
    <w:rsid w:val="00E6570E"/>
    <w:rsid w:val="00E6719B"/>
    <w:rsid w:val="00E672DF"/>
    <w:rsid w:val="00E71D59"/>
    <w:rsid w:val="00E7356E"/>
    <w:rsid w:val="00E74886"/>
    <w:rsid w:val="00E75256"/>
    <w:rsid w:val="00E77543"/>
    <w:rsid w:val="00E80A1E"/>
    <w:rsid w:val="00E82607"/>
    <w:rsid w:val="00E83214"/>
    <w:rsid w:val="00E83469"/>
    <w:rsid w:val="00E83A11"/>
    <w:rsid w:val="00E83DC4"/>
    <w:rsid w:val="00E862C9"/>
    <w:rsid w:val="00E879EF"/>
    <w:rsid w:val="00E87F3F"/>
    <w:rsid w:val="00E9122E"/>
    <w:rsid w:val="00E917B2"/>
    <w:rsid w:val="00E933A2"/>
    <w:rsid w:val="00E95733"/>
    <w:rsid w:val="00E957B6"/>
    <w:rsid w:val="00E95C0F"/>
    <w:rsid w:val="00E95DF8"/>
    <w:rsid w:val="00E9614A"/>
    <w:rsid w:val="00E96744"/>
    <w:rsid w:val="00EA184B"/>
    <w:rsid w:val="00EA189A"/>
    <w:rsid w:val="00EA1F04"/>
    <w:rsid w:val="00EA2EC4"/>
    <w:rsid w:val="00EA4C04"/>
    <w:rsid w:val="00EA4D4A"/>
    <w:rsid w:val="00EA50B0"/>
    <w:rsid w:val="00EA5777"/>
    <w:rsid w:val="00EA5AA3"/>
    <w:rsid w:val="00EA6487"/>
    <w:rsid w:val="00EA76F8"/>
    <w:rsid w:val="00EA7A63"/>
    <w:rsid w:val="00EA7F76"/>
    <w:rsid w:val="00EB13C4"/>
    <w:rsid w:val="00EB24E1"/>
    <w:rsid w:val="00EB2D9F"/>
    <w:rsid w:val="00EB3821"/>
    <w:rsid w:val="00EB684C"/>
    <w:rsid w:val="00EC025D"/>
    <w:rsid w:val="00EC3388"/>
    <w:rsid w:val="00EC4241"/>
    <w:rsid w:val="00EC4517"/>
    <w:rsid w:val="00EC5A5B"/>
    <w:rsid w:val="00EC5D61"/>
    <w:rsid w:val="00EC785B"/>
    <w:rsid w:val="00EC7AA3"/>
    <w:rsid w:val="00EC7B99"/>
    <w:rsid w:val="00ED22AC"/>
    <w:rsid w:val="00ED3731"/>
    <w:rsid w:val="00ED3928"/>
    <w:rsid w:val="00ED3BC0"/>
    <w:rsid w:val="00ED566B"/>
    <w:rsid w:val="00EE0031"/>
    <w:rsid w:val="00EE0167"/>
    <w:rsid w:val="00EE24C1"/>
    <w:rsid w:val="00EE280B"/>
    <w:rsid w:val="00EF00D2"/>
    <w:rsid w:val="00EF0150"/>
    <w:rsid w:val="00EF0B28"/>
    <w:rsid w:val="00EF19A3"/>
    <w:rsid w:val="00EF340D"/>
    <w:rsid w:val="00EF4A9C"/>
    <w:rsid w:val="00EF5637"/>
    <w:rsid w:val="00EF6069"/>
    <w:rsid w:val="00EF64E4"/>
    <w:rsid w:val="00F01C51"/>
    <w:rsid w:val="00F03C8B"/>
    <w:rsid w:val="00F05D4B"/>
    <w:rsid w:val="00F125AC"/>
    <w:rsid w:val="00F12CD1"/>
    <w:rsid w:val="00F1583B"/>
    <w:rsid w:val="00F1664C"/>
    <w:rsid w:val="00F169D9"/>
    <w:rsid w:val="00F172B5"/>
    <w:rsid w:val="00F218BC"/>
    <w:rsid w:val="00F2264D"/>
    <w:rsid w:val="00F24A52"/>
    <w:rsid w:val="00F24AE8"/>
    <w:rsid w:val="00F25B59"/>
    <w:rsid w:val="00F27E14"/>
    <w:rsid w:val="00F27EAA"/>
    <w:rsid w:val="00F31708"/>
    <w:rsid w:val="00F32320"/>
    <w:rsid w:val="00F331BA"/>
    <w:rsid w:val="00F33DB8"/>
    <w:rsid w:val="00F35BD1"/>
    <w:rsid w:val="00F3612A"/>
    <w:rsid w:val="00F36513"/>
    <w:rsid w:val="00F37C05"/>
    <w:rsid w:val="00F4076F"/>
    <w:rsid w:val="00F40E2E"/>
    <w:rsid w:val="00F4325F"/>
    <w:rsid w:val="00F432CE"/>
    <w:rsid w:val="00F4348C"/>
    <w:rsid w:val="00F45371"/>
    <w:rsid w:val="00F45880"/>
    <w:rsid w:val="00F46132"/>
    <w:rsid w:val="00F47226"/>
    <w:rsid w:val="00F47F3F"/>
    <w:rsid w:val="00F50F71"/>
    <w:rsid w:val="00F51DE3"/>
    <w:rsid w:val="00F51F8D"/>
    <w:rsid w:val="00F536CA"/>
    <w:rsid w:val="00F54450"/>
    <w:rsid w:val="00F54552"/>
    <w:rsid w:val="00F5635C"/>
    <w:rsid w:val="00F56EFE"/>
    <w:rsid w:val="00F57D90"/>
    <w:rsid w:val="00F6206B"/>
    <w:rsid w:val="00F622C6"/>
    <w:rsid w:val="00F63985"/>
    <w:rsid w:val="00F6429C"/>
    <w:rsid w:val="00F678B5"/>
    <w:rsid w:val="00F7180F"/>
    <w:rsid w:val="00F7278C"/>
    <w:rsid w:val="00F7346F"/>
    <w:rsid w:val="00F77E0B"/>
    <w:rsid w:val="00F80124"/>
    <w:rsid w:val="00F82172"/>
    <w:rsid w:val="00F90F7C"/>
    <w:rsid w:val="00F93378"/>
    <w:rsid w:val="00F93B45"/>
    <w:rsid w:val="00F93BB6"/>
    <w:rsid w:val="00F9568E"/>
    <w:rsid w:val="00FA00A9"/>
    <w:rsid w:val="00FA0B7F"/>
    <w:rsid w:val="00FA47D3"/>
    <w:rsid w:val="00FA48C2"/>
    <w:rsid w:val="00FA5B1A"/>
    <w:rsid w:val="00FB07C8"/>
    <w:rsid w:val="00FB0A81"/>
    <w:rsid w:val="00FB2417"/>
    <w:rsid w:val="00FB3784"/>
    <w:rsid w:val="00FB54EC"/>
    <w:rsid w:val="00FB5D8D"/>
    <w:rsid w:val="00FC196C"/>
    <w:rsid w:val="00FC1F34"/>
    <w:rsid w:val="00FC27E4"/>
    <w:rsid w:val="00FC2D80"/>
    <w:rsid w:val="00FC3FB0"/>
    <w:rsid w:val="00FC46B7"/>
    <w:rsid w:val="00FC4950"/>
    <w:rsid w:val="00FC5399"/>
    <w:rsid w:val="00FC6045"/>
    <w:rsid w:val="00FC7741"/>
    <w:rsid w:val="00FC7E65"/>
    <w:rsid w:val="00FD06D4"/>
    <w:rsid w:val="00FD13EB"/>
    <w:rsid w:val="00FD38AB"/>
    <w:rsid w:val="00FD3D7C"/>
    <w:rsid w:val="00FD6986"/>
    <w:rsid w:val="00FE1CD4"/>
    <w:rsid w:val="00FE1F7F"/>
    <w:rsid w:val="00FE2398"/>
    <w:rsid w:val="00FE383A"/>
    <w:rsid w:val="00FE430D"/>
    <w:rsid w:val="00FE4552"/>
    <w:rsid w:val="00FE62BC"/>
    <w:rsid w:val="00FE77CA"/>
    <w:rsid w:val="00FE7842"/>
    <w:rsid w:val="00FF09B4"/>
    <w:rsid w:val="00FF1046"/>
    <w:rsid w:val="00FF201C"/>
    <w:rsid w:val="00FF2362"/>
    <w:rsid w:val="00FF4743"/>
    <w:rsid w:val="00FF4E99"/>
    <w:rsid w:val="00FF666F"/>
    <w:rsid w:val="00FF6E53"/>
    <w:rsid w:val="00FF708D"/>
    <w:rsid w:val="00FF7A7E"/>
    <w:rsid w:val="01F14160"/>
    <w:rsid w:val="0288147C"/>
    <w:rsid w:val="029F6B92"/>
    <w:rsid w:val="032B61C4"/>
    <w:rsid w:val="03AD58A1"/>
    <w:rsid w:val="040E0520"/>
    <w:rsid w:val="043C30AA"/>
    <w:rsid w:val="04CE0936"/>
    <w:rsid w:val="056F215F"/>
    <w:rsid w:val="074858B6"/>
    <w:rsid w:val="07B76705"/>
    <w:rsid w:val="080F176C"/>
    <w:rsid w:val="08A54163"/>
    <w:rsid w:val="08AC1382"/>
    <w:rsid w:val="09D26061"/>
    <w:rsid w:val="0A322005"/>
    <w:rsid w:val="0A6D7B38"/>
    <w:rsid w:val="0A9F3ADE"/>
    <w:rsid w:val="0ADD4CBE"/>
    <w:rsid w:val="0B9A670B"/>
    <w:rsid w:val="0C7B478E"/>
    <w:rsid w:val="0C864790"/>
    <w:rsid w:val="0D5F012C"/>
    <w:rsid w:val="0D8646AE"/>
    <w:rsid w:val="0E123F91"/>
    <w:rsid w:val="0EE12DB0"/>
    <w:rsid w:val="0F661C2C"/>
    <w:rsid w:val="10401F77"/>
    <w:rsid w:val="104430E9"/>
    <w:rsid w:val="1048541E"/>
    <w:rsid w:val="10A51DDA"/>
    <w:rsid w:val="12975A8E"/>
    <w:rsid w:val="135D0F36"/>
    <w:rsid w:val="13F51386"/>
    <w:rsid w:val="14B410A5"/>
    <w:rsid w:val="15237771"/>
    <w:rsid w:val="1559559E"/>
    <w:rsid w:val="15D555AC"/>
    <w:rsid w:val="16655066"/>
    <w:rsid w:val="16DB47A7"/>
    <w:rsid w:val="16F91FB3"/>
    <w:rsid w:val="1726732E"/>
    <w:rsid w:val="174A66F7"/>
    <w:rsid w:val="17B9214E"/>
    <w:rsid w:val="18043CCE"/>
    <w:rsid w:val="18335F1D"/>
    <w:rsid w:val="183B1399"/>
    <w:rsid w:val="18D41FB5"/>
    <w:rsid w:val="19280C0F"/>
    <w:rsid w:val="19BA1F88"/>
    <w:rsid w:val="19E6738C"/>
    <w:rsid w:val="1A834C80"/>
    <w:rsid w:val="1A964612"/>
    <w:rsid w:val="1AEA6623"/>
    <w:rsid w:val="1B3B24D6"/>
    <w:rsid w:val="1B612DA1"/>
    <w:rsid w:val="1B85063B"/>
    <w:rsid w:val="1BD87E92"/>
    <w:rsid w:val="1C143BA2"/>
    <w:rsid w:val="1C473BC6"/>
    <w:rsid w:val="1CA57F98"/>
    <w:rsid w:val="1D1257C5"/>
    <w:rsid w:val="1D434419"/>
    <w:rsid w:val="1D6F3E9B"/>
    <w:rsid w:val="1E5E7D88"/>
    <w:rsid w:val="1E7A085D"/>
    <w:rsid w:val="1E8E4165"/>
    <w:rsid w:val="1E8F5E77"/>
    <w:rsid w:val="1E9445B9"/>
    <w:rsid w:val="1EE6504E"/>
    <w:rsid w:val="1EEB6A69"/>
    <w:rsid w:val="1F016E12"/>
    <w:rsid w:val="1F4F69B8"/>
    <w:rsid w:val="1F9279CD"/>
    <w:rsid w:val="1FAA11BB"/>
    <w:rsid w:val="1FBF7FA1"/>
    <w:rsid w:val="1FF04855"/>
    <w:rsid w:val="1FF70178"/>
    <w:rsid w:val="20D6050C"/>
    <w:rsid w:val="20DA7E59"/>
    <w:rsid w:val="20F61C0E"/>
    <w:rsid w:val="212E5E1B"/>
    <w:rsid w:val="215D25EB"/>
    <w:rsid w:val="21B26104"/>
    <w:rsid w:val="21FF50C2"/>
    <w:rsid w:val="2223324A"/>
    <w:rsid w:val="223B29F7"/>
    <w:rsid w:val="22923800"/>
    <w:rsid w:val="230F2541"/>
    <w:rsid w:val="231921B3"/>
    <w:rsid w:val="23586819"/>
    <w:rsid w:val="23906919"/>
    <w:rsid w:val="23F71CB8"/>
    <w:rsid w:val="241D7704"/>
    <w:rsid w:val="246851A0"/>
    <w:rsid w:val="248C16B4"/>
    <w:rsid w:val="24DB1E16"/>
    <w:rsid w:val="25920290"/>
    <w:rsid w:val="25B552A3"/>
    <w:rsid w:val="265E4A26"/>
    <w:rsid w:val="26F62120"/>
    <w:rsid w:val="26F947D6"/>
    <w:rsid w:val="274F41F3"/>
    <w:rsid w:val="27644345"/>
    <w:rsid w:val="27A66E6A"/>
    <w:rsid w:val="280A6221"/>
    <w:rsid w:val="281D1CA2"/>
    <w:rsid w:val="282C5A6C"/>
    <w:rsid w:val="285C3C07"/>
    <w:rsid w:val="28B5472C"/>
    <w:rsid w:val="290B31B1"/>
    <w:rsid w:val="298E38FB"/>
    <w:rsid w:val="298F1D7F"/>
    <w:rsid w:val="2AED0E21"/>
    <w:rsid w:val="2B262BFA"/>
    <w:rsid w:val="2B417309"/>
    <w:rsid w:val="2B6F519C"/>
    <w:rsid w:val="2B7E52A9"/>
    <w:rsid w:val="2B87454A"/>
    <w:rsid w:val="2B88721F"/>
    <w:rsid w:val="2BC270C8"/>
    <w:rsid w:val="2C2A4EAB"/>
    <w:rsid w:val="2D221478"/>
    <w:rsid w:val="2D4D6733"/>
    <w:rsid w:val="2DCA22E2"/>
    <w:rsid w:val="2E0159E5"/>
    <w:rsid w:val="2E1525B4"/>
    <w:rsid w:val="2E886ABB"/>
    <w:rsid w:val="2EF75A9F"/>
    <w:rsid w:val="300D52FB"/>
    <w:rsid w:val="304E7940"/>
    <w:rsid w:val="306360A5"/>
    <w:rsid w:val="318225E3"/>
    <w:rsid w:val="319445F5"/>
    <w:rsid w:val="31EA35E4"/>
    <w:rsid w:val="325E57DA"/>
    <w:rsid w:val="32BB7189"/>
    <w:rsid w:val="32D7231C"/>
    <w:rsid w:val="32EC272D"/>
    <w:rsid w:val="33336464"/>
    <w:rsid w:val="334679B5"/>
    <w:rsid w:val="33523681"/>
    <w:rsid w:val="3384665B"/>
    <w:rsid w:val="33930387"/>
    <w:rsid w:val="34724F8A"/>
    <w:rsid w:val="34AA741B"/>
    <w:rsid w:val="34C727A4"/>
    <w:rsid w:val="34C74165"/>
    <w:rsid w:val="3511718E"/>
    <w:rsid w:val="3574602B"/>
    <w:rsid w:val="35C85643"/>
    <w:rsid w:val="364D7F6A"/>
    <w:rsid w:val="36952518"/>
    <w:rsid w:val="373D070E"/>
    <w:rsid w:val="37991DE9"/>
    <w:rsid w:val="37BA62B9"/>
    <w:rsid w:val="38243804"/>
    <w:rsid w:val="384D74F8"/>
    <w:rsid w:val="38CE22A4"/>
    <w:rsid w:val="390F5834"/>
    <w:rsid w:val="39DB3A4B"/>
    <w:rsid w:val="3A100674"/>
    <w:rsid w:val="3A60061A"/>
    <w:rsid w:val="3AEF7F72"/>
    <w:rsid w:val="3BB61A2D"/>
    <w:rsid w:val="3BBE20DB"/>
    <w:rsid w:val="3BD643B8"/>
    <w:rsid w:val="3C4555B8"/>
    <w:rsid w:val="3C5132CA"/>
    <w:rsid w:val="3C81109D"/>
    <w:rsid w:val="3D22384B"/>
    <w:rsid w:val="3D961B67"/>
    <w:rsid w:val="3E216694"/>
    <w:rsid w:val="3FA0055D"/>
    <w:rsid w:val="3FE90CA9"/>
    <w:rsid w:val="3FF77E45"/>
    <w:rsid w:val="4041301D"/>
    <w:rsid w:val="40827192"/>
    <w:rsid w:val="40D35C34"/>
    <w:rsid w:val="41216052"/>
    <w:rsid w:val="4130498B"/>
    <w:rsid w:val="41D766CE"/>
    <w:rsid w:val="42395F2D"/>
    <w:rsid w:val="425C74CE"/>
    <w:rsid w:val="4266258B"/>
    <w:rsid w:val="42C27D1A"/>
    <w:rsid w:val="43160791"/>
    <w:rsid w:val="43530ACB"/>
    <w:rsid w:val="43766B6F"/>
    <w:rsid w:val="43B353B9"/>
    <w:rsid w:val="4450382F"/>
    <w:rsid w:val="44B71B00"/>
    <w:rsid w:val="44DC50C3"/>
    <w:rsid w:val="451F1453"/>
    <w:rsid w:val="454B2213"/>
    <w:rsid w:val="4655791E"/>
    <w:rsid w:val="46A42756"/>
    <w:rsid w:val="46CF79B0"/>
    <w:rsid w:val="46F661E4"/>
    <w:rsid w:val="4704472E"/>
    <w:rsid w:val="47347438"/>
    <w:rsid w:val="47FB61A8"/>
    <w:rsid w:val="480A7E5F"/>
    <w:rsid w:val="483E71A4"/>
    <w:rsid w:val="485D29BF"/>
    <w:rsid w:val="48ED3AE2"/>
    <w:rsid w:val="48F0738F"/>
    <w:rsid w:val="4945324C"/>
    <w:rsid w:val="49B32931"/>
    <w:rsid w:val="4A8259E4"/>
    <w:rsid w:val="4AE843AA"/>
    <w:rsid w:val="4AEF24F5"/>
    <w:rsid w:val="4B450BE9"/>
    <w:rsid w:val="4B6F67D8"/>
    <w:rsid w:val="4BCE64D9"/>
    <w:rsid w:val="4C1C7EB3"/>
    <w:rsid w:val="4C4579F1"/>
    <w:rsid w:val="4E027C90"/>
    <w:rsid w:val="4E5D14C0"/>
    <w:rsid w:val="4F0F7CC3"/>
    <w:rsid w:val="4F624F37"/>
    <w:rsid w:val="50BB64D4"/>
    <w:rsid w:val="51856AE2"/>
    <w:rsid w:val="51941599"/>
    <w:rsid w:val="51D86BA0"/>
    <w:rsid w:val="51DE61DA"/>
    <w:rsid w:val="51E46EE6"/>
    <w:rsid w:val="525578FC"/>
    <w:rsid w:val="52FC2DD4"/>
    <w:rsid w:val="53210B8B"/>
    <w:rsid w:val="5393159C"/>
    <w:rsid w:val="53A25729"/>
    <w:rsid w:val="53C27B7A"/>
    <w:rsid w:val="541C0D51"/>
    <w:rsid w:val="546A545E"/>
    <w:rsid w:val="54962323"/>
    <w:rsid w:val="54CD4A28"/>
    <w:rsid w:val="55365CBE"/>
    <w:rsid w:val="55833C39"/>
    <w:rsid w:val="55DD1A43"/>
    <w:rsid w:val="56847370"/>
    <w:rsid w:val="56C1261F"/>
    <w:rsid w:val="5719262C"/>
    <w:rsid w:val="5805272B"/>
    <w:rsid w:val="58A17663"/>
    <w:rsid w:val="59A75706"/>
    <w:rsid w:val="59C93375"/>
    <w:rsid w:val="5A2F3A8F"/>
    <w:rsid w:val="5A6775C9"/>
    <w:rsid w:val="5AD652AD"/>
    <w:rsid w:val="5AFC08D2"/>
    <w:rsid w:val="5B3373DB"/>
    <w:rsid w:val="5C8005D2"/>
    <w:rsid w:val="5CE57F9C"/>
    <w:rsid w:val="5D4B34D1"/>
    <w:rsid w:val="5DB273C1"/>
    <w:rsid w:val="5DB66052"/>
    <w:rsid w:val="5DED1C97"/>
    <w:rsid w:val="5E043C0F"/>
    <w:rsid w:val="5E433D88"/>
    <w:rsid w:val="5E8E6161"/>
    <w:rsid w:val="5E96232F"/>
    <w:rsid w:val="5F0159A0"/>
    <w:rsid w:val="5F622BB4"/>
    <w:rsid w:val="5F7C02ED"/>
    <w:rsid w:val="601B3A7B"/>
    <w:rsid w:val="60206354"/>
    <w:rsid w:val="609A735D"/>
    <w:rsid w:val="60F14929"/>
    <w:rsid w:val="6100340B"/>
    <w:rsid w:val="615F5085"/>
    <w:rsid w:val="616404C2"/>
    <w:rsid w:val="61A508A1"/>
    <w:rsid w:val="61F1747A"/>
    <w:rsid w:val="63362D37"/>
    <w:rsid w:val="63B53775"/>
    <w:rsid w:val="64746FAD"/>
    <w:rsid w:val="647F1822"/>
    <w:rsid w:val="649C3071"/>
    <w:rsid w:val="64A60676"/>
    <w:rsid w:val="64A83F50"/>
    <w:rsid w:val="64B27796"/>
    <w:rsid w:val="64C319A4"/>
    <w:rsid w:val="64F2773A"/>
    <w:rsid w:val="650C50F9"/>
    <w:rsid w:val="6735657C"/>
    <w:rsid w:val="68270BF4"/>
    <w:rsid w:val="686174B0"/>
    <w:rsid w:val="69076303"/>
    <w:rsid w:val="691C0CBD"/>
    <w:rsid w:val="697A2A1A"/>
    <w:rsid w:val="6981124B"/>
    <w:rsid w:val="698533CB"/>
    <w:rsid w:val="6A236A43"/>
    <w:rsid w:val="6A615EE7"/>
    <w:rsid w:val="6A7C5CBA"/>
    <w:rsid w:val="6AB72494"/>
    <w:rsid w:val="6AF61FBB"/>
    <w:rsid w:val="6AFA53C9"/>
    <w:rsid w:val="6B723109"/>
    <w:rsid w:val="6B9B71D6"/>
    <w:rsid w:val="6BC51ADD"/>
    <w:rsid w:val="6C903641"/>
    <w:rsid w:val="6CF81DF3"/>
    <w:rsid w:val="6D1A412B"/>
    <w:rsid w:val="6DB30165"/>
    <w:rsid w:val="6DF27B1A"/>
    <w:rsid w:val="6E860F2E"/>
    <w:rsid w:val="6EC87E1A"/>
    <w:rsid w:val="6F3854AA"/>
    <w:rsid w:val="70325487"/>
    <w:rsid w:val="70333FA1"/>
    <w:rsid w:val="706D3841"/>
    <w:rsid w:val="718C6FBC"/>
    <w:rsid w:val="71C130F2"/>
    <w:rsid w:val="71F0207C"/>
    <w:rsid w:val="71FA5C5D"/>
    <w:rsid w:val="73700F48"/>
    <w:rsid w:val="737427E7"/>
    <w:rsid w:val="73990466"/>
    <w:rsid w:val="74EC2208"/>
    <w:rsid w:val="75762E49"/>
    <w:rsid w:val="768C42EB"/>
    <w:rsid w:val="76E47C83"/>
    <w:rsid w:val="76F459A7"/>
    <w:rsid w:val="7728588D"/>
    <w:rsid w:val="77A44CBE"/>
    <w:rsid w:val="77ED700C"/>
    <w:rsid w:val="77F4482F"/>
    <w:rsid w:val="783734AC"/>
    <w:rsid w:val="78FB5758"/>
    <w:rsid w:val="78FE6120"/>
    <w:rsid w:val="79341899"/>
    <w:rsid w:val="798B088A"/>
    <w:rsid w:val="79B37DE1"/>
    <w:rsid w:val="79CF1C3D"/>
    <w:rsid w:val="79F43D9B"/>
    <w:rsid w:val="7A1017D4"/>
    <w:rsid w:val="7A2C67D1"/>
    <w:rsid w:val="7A7908B5"/>
    <w:rsid w:val="7AA8546C"/>
    <w:rsid w:val="7ABF71F4"/>
    <w:rsid w:val="7AE42F62"/>
    <w:rsid w:val="7B4C246F"/>
    <w:rsid w:val="7B777075"/>
    <w:rsid w:val="7BF0711A"/>
    <w:rsid w:val="7C602961"/>
    <w:rsid w:val="7C81743B"/>
    <w:rsid w:val="7D3B6123"/>
    <w:rsid w:val="7D444CE4"/>
    <w:rsid w:val="7D9C5142"/>
    <w:rsid w:val="7EBA0E8A"/>
    <w:rsid w:val="7EEC3551"/>
    <w:rsid w:val="7F0461A9"/>
    <w:rsid w:val="7F2E23E3"/>
    <w:rsid w:val="7FAE53D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qFormat="1" w:unhideWhenUsed="0" w:uiPriority="0" w:semiHidden="0" w:name="index 4" w:locked="1"/>
    <w:lsdException w:qFormat="1" w:unhideWhenUsed="0" w:uiPriority="0" w:semiHidden="0"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0" w:semiHidden="0" w:name="page number"/>
    <w:lsdException w:qFormat="1" w:unhideWhenUsed="0" w:uiPriority="0" w:semiHidden="0" w:name="endnote reference" w:locked="1"/>
    <w:lsdException w:qFormat="1" w:unhideWhenUsed="0" w:uiPriority="0" w:semiHidden="0" w:name="endnote text" w:locked="1"/>
    <w:lsdException w:uiPriority="99" w:name="table of authorities" w:locked="1"/>
    <w:lsdException w:uiPriority="99" w:name="macro" w:locked="1"/>
    <w:lsdException w:qFormat="1" w:unhideWhenUsed="0" w:uiPriority="0" w:semiHidden="0" w:name="toa heading"/>
    <w:lsdException w:qFormat="1" w:unhideWhenUsed="0" w:uiPriority="0" w:semiHidden="0"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ocked="1"/>
    <w:lsdException w:uiPriority="99" w:name="Note Heading" w:locked="1"/>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ocked="1"/>
    <w:lsdException w:qFormat="1" w:unhideWhenUsed="0" w:uiPriority="99" w:semiHidden="0" w:name="Normal (Web)"/>
    <w:lsdException w:qFormat="1" w:unhideWhenUsed="0" w:uiPriority="0" w:semiHidden="0" w:name="HTML Acronym" w:locked="1"/>
    <w:lsdException w:uiPriority="99"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sdException w:qFormat="1" w:unhideWhenUsed="0" w:uiPriority="0" w:semiHidden="0" w:name="HTML Sample" w:locked="1"/>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0"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1"/>
    <w:next w:val="1"/>
    <w:link w:val="70"/>
    <w:qFormat/>
    <w:uiPriority w:val="0"/>
    <w:pPr>
      <w:keepNext/>
      <w:keepLines/>
      <w:spacing w:before="340" w:after="330" w:line="578" w:lineRule="auto"/>
      <w:outlineLvl w:val="0"/>
    </w:pPr>
    <w:rPr>
      <w:rFonts w:ascii="Tahoma" w:hAnsi="Tahoma" w:cs="Tahoma"/>
      <w:b/>
      <w:bCs/>
      <w:kern w:val="44"/>
      <w:sz w:val="44"/>
      <w:szCs w:val="44"/>
    </w:rPr>
  </w:style>
  <w:style w:type="paragraph" w:styleId="6">
    <w:name w:val="heading 2"/>
    <w:basedOn w:val="1"/>
    <w:next w:val="1"/>
    <w:link w:val="71"/>
    <w:qFormat/>
    <w:uiPriority w:val="0"/>
    <w:pPr>
      <w:keepNext/>
      <w:keepLines/>
      <w:spacing w:before="260" w:after="260" w:line="415" w:lineRule="auto"/>
      <w:outlineLvl w:val="1"/>
    </w:pPr>
    <w:rPr>
      <w:rFonts w:ascii="Arial" w:hAnsi="Arial" w:eastAsia="黑体" w:cs="Arial"/>
      <w:b/>
      <w:bCs/>
      <w:sz w:val="32"/>
      <w:szCs w:val="32"/>
    </w:rPr>
  </w:style>
  <w:style w:type="paragraph" w:styleId="7">
    <w:name w:val="heading 3"/>
    <w:basedOn w:val="1"/>
    <w:next w:val="1"/>
    <w:link w:val="72"/>
    <w:qFormat/>
    <w:uiPriority w:val="0"/>
    <w:pPr>
      <w:keepNext/>
      <w:keepLines/>
      <w:spacing w:before="260" w:after="260" w:line="416" w:lineRule="auto"/>
      <w:outlineLvl w:val="2"/>
    </w:pPr>
    <w:rPr>
      <w:rFonts w:ascii="Tahoma" w:hAnsi="Tahoma" w:cs="Tahoma"/>
      <w:b/>
      <w:bCs/>
      <w:sz w:val="32"/>
      <w:szCs w:val="32"/>
    </w:rPr>
  </w:style>
  <w:style w:type="paragraph" w:styleId="8">
    <w:name w:val="heading 4"/>
    <w:basedOn w:val="1"/>
    <w:next w:val="1"/>
    <w:link w:val="73"/>
    <w:qFormat/>
    <w:uiPriority w:val="0"/>
    <w:pPr>
      <w:keepNext/>
      <w:keepLines/>
      <w:spacing w:before="280" w:after="290" w:line="374" w:lineRule="auto"/>
      <w:outlineLvl w:val="3"/>
    </w:pPr>
    <w:rPr>
      <w:rFonts w:ascii="Arial" w:hAnsi="Arial" w:eastAsia="黑体" w:cs="Arial"/>
      <w:b/>
      <w:bCs/>
      <w:sz w:val="28"/>
      <w:szCs w:val="28"/>
    </w:rPr>
  </w:style>
  <w:style w:type="paragraph" w:styleId="9">
    <w:name w:val="heading 5"/>
    <w:basedOn w:val="1"/>
    <w:next w:val="1"/>
    <w:link w:val="74"/>
    <w:qFormat/>
    <w:uiPriority w:val="0"/>
    <w:pPr>
      <w:keepNext/>
      <w:keepLines/>
      <w:widowControl/>
      <w:spacing w:before="280" w:after="290" w:line="372" w:lineRule="auto"/>
      <w:jc w:val="left"/>
      <w:outlineLvl w:val="4"/>
    </w:pPr>
    <w:rPr>
      <w:rFonts w:ascii="Tahoma" w:hAnsi="Tahoma" w:eastAsia="等线" w:cs="Tahoma"/>
      <w:sz w:val="28"/>
      <w:szCs w:val="28"/>
    </w:rPr>
  </w:style>
  <w:style w:type="paragraph" w:styleId="10">
    <w:name w:val="heading 6"/>
    <w:basedOn w:val="1"/>
    <w:next w:val="1"/>
    <w:link w:val="75"/>
    <w:qFormat/>
    <w:uiPriority w:val="0"/>
    <w:pPr>
      <w:keepNext/>
      <w:keepLines/>
      <w:spacing w:before="240" w:after="64" w:line="317" w:lineRule="auto"/>
      <w:outlineLvl w:val="5"/>
    </w:pPr>
    <w:rPr>
      <w:rFonts w:ascii="Arial" w:hAnsi="Arial" w:eastAsia="黑体" w:cs="Arial"/>
      <w:b/>
      <w:bCs/>
      <w:sz w:val="20"/>
      <w:szCs w:val="20"/>
    </w:rPr>
  </w:style>
  <w:style w:type="paragraph" w:styleId="11">
    <w:name w:val="heading 7"/>
    <w:basedOn w:val="1"/>
    <w:next w:val="1"/>
    <w:link w:val="76"/>
    <w:qFormat/>
    <w:uiPriority w:val="0"/>
    <w:pPr>
      <w:keepNext/>
      <w:keepLines/>
      <w:spacing w:before="240" w:after="64" w:line="317" w:lineRule="auto"/>
      <w:outlineLvl w:val="6"/>
    </w:pPr>
    <w:rPr>
      <w:rFonts w:ascii="Tahoma" w:hAnsi="Tahoma" w:cs="Tahoma"/>
      <w:b/>
      <w:bCs/>
      <w:sz w:val="20"/>
      <w:szCs w:val="20"/>
    </w:rPr>
  </w:style>
  <w:style w:type="paragraph" w:styleId="12">
    <w:name w:val="heading 8"/>
    <w:basedOn w:val="1"/>
    <w:next w:val="1"/>
    <w:link w:val="77"/>
    <w:qFormat/>
    <w:uiPriority w:val="0"/>
    <w:pPr>
      <w:keepNext/>
      <w:keepLines/>
      <w:spacing w:before="240" w:after="64" w:line="317" w:lineRule="auto"/>
      <w:outlineLvl w:val="7"/>
    </w:pPr>
    <w:rPr>
      <w:rFonts w:ascii="Arial" w:hAnsi="Arial" w:eastAsia="黑体" w:cs="Arial"/>
      <w:sz w:val="20"/>
      <w:szCs w:val="20"/>
    </w:rPr>
  </w:style>
  <w:style w:type="paragraph" w:styleId="13">
    <w:name w:val="heading 9"/>
    <w:basedOn w:val="1"/>
    <w:next w:val="1"/>
    <w:link w:val="78"/>
    <w:qFormat/>
    <w:uiPriority w:val="0"/>
    <w:pPr>
      <w:keepNext/>
      <w:keepLines/>
      <w:spacing w:before="240" w:after="64" w:line="317" w:lineRule="auto"/>
      <w:outlineLvl w:val="8"/>
    </w:pPr>
    <w:rPr>
      <w:rFonts w:ascii="Arial" w:hAnsi="Arial" w:eastAsia="黑体" w:cs="Arial"/>
      <w:sz w:val="20"/>
      <w:szCs w:val="20"/>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98"/>
    <w:qFormat/>
    <w:locked/>
    <w:uiPriority w:val="99"/>
    <w:pPr>
      <w:spacing w:after="120" w:line="240" w:lineRule="auto"/>
      <w:ind w:left="420" w:leftChars="200" w:firstLine="420"/>
    </w:pPr>
    <w:rPr>
      <w:sz w:val="21"/>
      <w:szCs w:val="21"/>
    </w:rPr>
  </w:style>
  <w:style w:type="paragraph" w:styleId="3">
    <w:name w:val="Body Text Indent"/>
    <w:basedOn w:val="1"/>
    <w:next w:val="4"/>
    <w:link w:val="84"/>
    <w:qFormat/>
    <w:uiPriority w:val="0"/>
    <w:pPr>
      <w:spacing w:line="360" w:lineRule="auto"/>
      <w:ind w:firstLine="500" w:firstLineChars="200"/>
    </w:pPr>
    <w:rPr>
      <w:rFonts w:ascii="Tahoma" w:hAnsi="Tahoma" w:eastAsia="仿宋_GB2312" w:cs="Tahoma"/>
      <w:sz w:val="24"/>
      <w:szCs w:val="24"/>
    </w:rPr>
  </w:style>
  <w:style w:type="paragraph" w:styleId="4">
    <w:name w:val="envelope return"/>
    <w:basedOn w:val="1"/>
    <w:qFormat/>
    <w:locked/>
    <w:uiPriority w:val="0"/>
    <w:pPr>
      <w:snapToGrid w:val="0"/>
    </w:pPr>
    <w:rPr>
      <w:rFonts w:ascii="Arial" w:hAnsi="Arial"/>
    </w:rPr>
  </w:style>
  <w:style w:type="paragraph" w:styleId="14">
    <w:name w:val="toc 7"/>
    <w:basedOn w:val="1"/>
    <w:next w:val="1"/>
    <w:qFormat/>
    <w:locked/>
    <w:uiPriority w:val="39"/>
    <w:pPr>
      <w:ind w:left="2520" w:leftChars="1200"/>
    </w:pPr>
    <w:rPr>
      <w:rFonts w:ascii="Calibri" w:hAnsi="Calibri" w:cs="宋体"/>
      <w:kern w:val="0"/>
      <w:sz w:val="24"/>
      <w:szCs w:val="22"/>
    </w:rPr>
  </w:style>
  <w:style w:type="paragraph" w:styleId="15">
    <w:name w:val="Normal Indent"/>
    <w:basedOn w:val="1"/>
    <w:link w:val="102"/>
    <w:qFormat/>
    <w:uiPriority w:val="0"/>
    <w:pPr>
      <w:adjustRightInd w:val="0"/>
      <w:spacing w:line="360" w:lineRule="atLeast"/>
      <w:ind w:firstLine="482"/>
      <w:textAlignment w:val="baseline"/>
    </w:pPr>
    <w:rPr>
      <w:rFonts w:ascii="等线" w:hAnsi="等线"/>
      <w:kern w:val="0"/>
      <w:sz w:val="24"/>
      <w:szCs w:val="20"/>
    </w:rPr>
  </w:style>
  <w:style w:type="paragraph" w:styleId="16">
    <w:name w:val="caption"/>
    <w:basedOn w:val="1"/>
    <w:next w:val="1"/>
    <w:qFormat/>
    <w:uiPriority w:val="0"/>
    <w:pPr>
      <w:keepLines/>
      <w:tabs>
        <w:tab w:val="left" w:pos="0"/>
      </w:tabs>
      <w:spacing w:before="152" w:after="160" w:line="240" w:lineRule="atLeast"/>
      <w:jc w:val="left"/>
    </w:pPr>
    <w:rPr>
      <w:rFonts w:ascii="Arial" w:hAnsi="Arial" w:eastAsia="黑体" w:cs="Arial"/>
      <w:kern w:val="0"/>
      <w:sz w:val="20"/>
      <w:szCs w:val="20"/>
    </w:rPr>
  </w:style>
  <w:style w:type="paragraph" w:styleId="17">
    <w:name w:val="index 5"/>
    <w:basedOn w:val="1"/>
    <w:next w:val="1"/>
    <w:qFormat/>
    <w:locked/>
    <w:uiPriority w:val="0"/>
    <w:pPr>
      <w:ind w:left="800" w:leftChars="800"/>
    </w:pPr>
    <w:rPr>
      <w:rFonts w:ascii="Calibri" w:hAnsi="Calibri"/>
    </w:rPr>
  </w:style>
  <w:style w:type="paragraph" w:styleId="18">
    <w:name w:val="Document Map"/>
    <w:basedOn w:val="1"/>
    <w:link w:val="79"/>
    <w:qFormat/>
    <w:uiPriority w:val="0"/>
    <w:pPr>
      <w:shd w:val="clear" w:color="auto" w:fill="000080"/>
    </w:pPr>
    <w:rPr>
      <w:rFonts w:ascii="等线" w:hAnsi="等线" w:cs="等线"/>
      <w:sz w:val="24"/>
      <w:szCs w:val="24"/>
    </w:rPr>
  </w:style>
  <w:style w:type="paragraph" w:styleId="19">
    <w:name w:val="toa heading"/>
    <w:basedOn w:val="1"/>
    <w:next w:val="1"/>
    <w:qFormat/>
    <w:uiPriority w:val="0"/>
    <w:pPr>
      <w:adjustRightInd w:val="0"/>
      <w:spacing w:line="360" w:lineRule="atLeast"/>
      <w:jc w:val="center"/>
      <w:textAlignment w:val="baseline"/>
    </w:pPr>
    <w:rPr>
      <w:rFonts w:ascii="Arial" w:hAnsi="Arial" w:eastAsia="黑体" w:cs="Arial"/>
      <w:kern w:val="0"/>
      <w:sz w:val="36"/>
      <w:szCs w:val="36"/>
    </w:rPr>
  </w:style>
  <w:style w:type="paragraph" w:styleId="20">
    <w:name w:val="annotation text"/>
    <w:basedOn w:val="1"/>
    <w:link w:val="80"/>
    <w:qFormat/>
    <w:uiPriority w:val="0"/>
    <w:pPr>
      <w:jc w:val="left"/>
    </w:pPr>
    <w:rPr>
      <w:rFonts w:ascii="等线" w:hAnsi="等线" w:cs="等线"/>
      <w:sz w:val="24"/>
      <w:szCs w:val="24"/>
    </w:rPr>
  </w:style>
  <w:style w:type="paragraph" w:styleId="21">
    <w:name w:val="Salutation"/>
    <w:basedOn w:val="1"/>
    <w:next w:val="1"/>
    <w:link w:val="81"/>
    <w:qFormat/>
    <w:uiPriority w:val="0"/>
    <w:pPr>
      <w:widowControl/>
      <w:jc w:val="left"/>
    </w:pPr>
    <w:rPr>
      <w:rFonts w:ascii="Tahoma" w:hAnsi="Tahoma" w:cs="Tahoma"/>
      <w:kern w:val="0"/>
      <w:sz w:val="20"/>
      <w:szCs w:val="20"/>
    </w:rPr>
  </w:style>
  <w:style w:type="paragraph" w:styleId="22">
    <w:name w:val="Body Text 3"/>
    <w:basedOn w:val="1"/>
    <w:link w:val="82"/>
    <w:qFormat/>
    <w:uiPriority w:val="0"/>
    <w:pPr>
      <w:spacing w:line="500" w:lineRule="exact"/>
    </w:pPr>
    <w:rPr>
      <w:rFonts w:ascii="等线" w:hAnsi="等线" w:eastAsia="等线" w:cs="等线"/>
      <w:sz w:val="16"/>
      <w:szCs w:val="16"/>
    </w:rPr>
  </w:style>
  <w:style w:type="paragraph" w:styleId="23">
    <w:name w:val="Body Text"/>
    <w:basedOn w:val="1"/>
    <w:next w:val="1"/>
    <w:link w:val="83"/>
    <w:qFormat/>
    <w:uiPriority w:val="0"/>
    <w:pPr>
      <w:spacing w:line="360" w:lineRule="auto"/>
    </w:pPr>
    <w:rPr>
      <w:rFonts w:ascii="等线" w:hAnsi="等线" w:eastAsia="仿宋_GB2312" w:cs="等线"/>
      <w:sz w:val="24"/>
      <w:szCs w:val="24"/>
    </w:rPr>
  </w:style>
  <w:style w:type="paragraph" w:styleId="24">
    <w:name w:val="Block Text"/>
    <w:basedOn w:val="1"/>
    <w:qFormat/>
    <w:uiPriority w:val="0"/>
    <w:pPr>
      <w:spacing w:line="360" w:lineRule="auto"/>
      <w:ind w:right="210" w:rightChars="100" w:firstLine="560" w:firstLineChars="200"/>
    </w:pPr>
    <w:rPr>
      <w:rFonts w:ascii="宋体" w:hAnsi="宋体" w:cs="宋体"/>
      <w:color w:val="000000"/>
      <w:spacing w:val="20"/>
      <w:kern w:val="24"/>
      <w:sz w:val="24"/>
      <w:szCs w:val="24"/>
    </w:rPr>
  </w:style>
  <w:style w:type="paragraph" w:styleId="25">
    <w:name w:val="index 4"/>
    <w:basedOn w:val="1"/>
    <w:next w:val="1"/>
    <w:qFormat/>
    <w:locked/>
    <w:uiPriority w:val="0"/>
    <w:pPr>
      <w:ind w:left="600" w:leftChars="600"/>
    </w:pPr>
    <w:rPr>
      <w:rFonts w:ascii="宋体" w:hAnsi="宋体" w:cs="宋体"/>
      <w:kern w:val="0"/>
      <w:sz w:val="24"/>
      <w:szCs w:val="20"/>
    </w:rPr>
  </w:style>
  <w:style w:type="paragraph" w:styleId="26">
    <w:name w:val="toc 5"/>
    <w:basedOn w:val="1"/>
    <w:next w:val="1"/>
    <w:qFormat/>
    <w:locked/>
    <w:uiPriority w:val="39"/>
    <w:pPr>
      <w:ind w:left="1680" w:leftChars="800"/>
    </w:pPr>
    <w:rPr>
      <w:rFonts w:ascii="Calibri" w:hAnsi="Calibri" w:cs="宋体"/>
      <w:kern w:val="0"/>
      <w:sz w:val="24"/>
      <w:szCs w:val="22"/>
    </w:rPr>
  </w:style>
  <w:style w:type="paragraph" w:styleId="27">
    <w:name w:val="toc 3"/>
    <w:basedOn w:val="1"/>
    <w:next w:val="1"/>
    <w:qFormat/>
    <w:uiPriority w:val="39"/>
    <w:pPr>
      <w:ind w:left="840" w:leftChars="400"/>
    </w:pPr>
    <w:rPr>
      <w:rFonts w:eastAsia="仿宋_GB2312"/>
      <w:sz w:val="28"/>
      <w:szCs w:val="28"/>
    </w:rPr>
  </w:style>
  <w:style w:type="paragraph" w:styleId="28">
    <w:name w:val="Plain Text"/>
    <w:basedOn w:val="1"/>
    <w:link w:val="85"/>
    <w:qFormat/>
    <w:uiPriority w:val="0"/>
    <w:rPr>
      <w:rFonts w:ascii="宋体" w:hAnsi="Courier New" w:cs="宋体"/>
    </w:rPr>
  </w:style>
  <w:style w:type="paragraph" w:styleId="29">
    <w:name w:val="toc 8"/>
    <w:basedOn w:val="1"/>
    <w:next w:val="1"/>
    <w:qFormat/>
    <w:locked/>
    <w:uiPriority w:val="39"/>
    <w:pPr>
      <w:ind w:left="2940" w:leftChars="1400"/>
    </w:pPr>
    <w:rPr>
      <w:rFonts w:ascii="Calibri" w:hAnsi="Calibri" w:cs="宋体"/>
      <w:kern w:val="0"/>
      <w:sz w:val="24"/>
      <w:szCs w:val="22"/>
    </w:rPr>
  </w:style>
  <w:style w:type="paragraph" w:styleId="30">
    <w:name w:val="Date"/>
    <w:basedOn w:val="1"/>
    <w:next w:val="1"/>
    <w:link w:val="86"/>
    <w:qFormat/>
    <w:uiPriority w:val="0"/>
    <w:pPr>
      <w:ind w:left="100" w:leftChars="2500"/>
    </w:pPr>
    <w:rPr>
      <w:rFonts w:ascii="Tahoma" w:hAnsi="Tahoma" w:cs="Tahoma"/>
      <w:sz w:val="24"/>
      <w:szCs w:val="24"/>
    </w:rPr>
  </w:style>
  <w:style w:type="paragraph" w:styleId="31">
    <w:name w:val="Body Text Indent 2"/>
    <w:basedOn w:val="1"/>
    <w:link w:val="87"/>
    <w:qFormat/>
    <w:uiPriority w:val="0"/>
    <w:pPr>
      <w:widowControl/>
      <w:tabs>
        <w:tab w:val="left" w:pos="0"/>
        <w:tab w:val="left" w:pos="993"/>
        <w:tab w:val="left" w:pos="1134"/>
      </w:tabs>
      <w:spacing w:line="500" w:lineRule="exact"/>
      <w:ind w:firstLine="851"/>
    </w:pPr>
    <w:rPr>
      <w:rFonts w:ascii="楷体_GB2312" w:hAnsi="Tahoma" w:eastAsia="楷体_GB2312" w:cs="楷体_GB2312"/>
      <w:b/>
      <w:bCs/>
      <w:spacing w:val="-24"/>
      <w:kern w:val="0"/>
      <w:sz w:val="20"/>
      <w:szCs w:val="20"/>
    </w:rPr>
  </w:style>
  <w:style w:type="paragraph" w:styleId="32">
    <w:name w:val="endnote text"/>
    <w:basedOn w:val="1"/>
    <w:link w:val="288"/>
    <w:qFormat/>
    <w:locked/>
    <w:uiPriority w:val="0"/>
    <w:pPr>
      <w:snapToGrid w:val="0"/>
      <w:jc w:val="left"/>
    </w:pPr>
    <w:rPr>
      <w:szCs w:val="24"/>
      <w:lang w:val="zh-CN"/>
    </w:rPr>
  </w:style>
  <w:style w:type="paragraph" w:styleId="33">
    <w:name w:val="Balloon Text"/>
    <w:basedOn w:val="1"/>
    <w:link w:val="88"/>
    <w:qFormat/>
    <w:uiPriority w:val="0"/>
    <w:rPr>
      <w:rFonts w:ascii="等线" w:hAnsi="等线" w:cs="等线"/>
      <w:sz w:val="18"/>
      <w:szCs w:val="18"/>
    </w:rPr>
  </w:style>
  <w:style w:type="paragraph" w:styleId="34">
    <w:name w:val="footer"/>
    <w:basedOn w:val="1"/>
    <w:link w:val="89"/>
    <w:qFormat/>
    <w:uiPriority w:val="99"/>
    <w:pPr>
      <w:tabs>
        <w:tab w:val="center" w:pos="4153"/>
        <w:tab w:val="right" w:pos="8306"/>
      </w:tabs>
      <w:snapToGrid w:val="0"/>
      <w:jc w:val="left"/>
    </w:pPr>
    <w:rPr>
      <w:rFonts w:ascii="等线" w:hAnsi="等线" w:cs="等线"/>
      <w:sz w:val="24"/>
      <w:szCs w:val="24"/>
    </w:rPr>
  </w:style>
  <w:style w:type="paragraph" w:styleId="35">
    <w:name w:val="header"/>
    <w:basedOn w:val="1"/>
    <w:link w:val="90"/>
    <w:qFormat/>
    <w:uiPriority w:val="0"/>
    <w:pPr>
      <w:pBdr>
        <w:bottom w:val="single" w:color="auto" w:sz="6" w:space="1"/>
      </w:pBdr>
      <w:tabs>
        <w:tab w:val="center" w:pos="4153"/>
        <w:tab w:val="right" w:pos="8306"/>
      </w:tabs>
      <w:snapToGrid w:val="0"/>
      <w:jc w:val="center"/>
    </w:pPr>
    <w:rPr>
      <w:rFonts w:ascii="等线" w:hAnsi="等线" w:cs="等线"/>
      <w:sz w:val="18"/>
      <w:szCs w:val="18"/>
    </w:rPr>
  </w:style>
  <w:style w:type="paragraph" w:styleId="36">
    <w:name w:val="toc 1"/>
    <w:basedOn w:val="1"/>
    <w:next w:val="1"/>
    <w:qFormat/>
    <w:uiPriority w:val="39"/>
    <w:pPr>
      <w:tabs>
        <w:tab w:val="right" w:leader="dot" w:pos="9530"/>
      </w:tabs>
      <w:spacing w:line="1080" w:lineRule="atLeast"/>
    </w:pPr>
    <w:rPr>
      <w:sz w:val="24"/>
      <w:szCs w:val="24"/>
    </w:rPr>
  </w:style>
  <w:style w:type="paragraph" w:styleId="37">
    <w:name w:val="toc 4"/>
    <w:basedOn w:val="1"/>
    <w:next w:val="1"/>
    <w:qFormat/>
    <w:locked/>
    <w:uiPriority w:val="39"/>
    <w:pPr>
      <w:ind w:left="1260" w:leftChars="600"/>
    </w:pPr>
    <w:rPr>
      <w:rFonts w:ascii="Calibri" w:hAnsi="Calibri" w:cs="宋体"/>
      <w:kern w:val="0"/>
      <w:sz w:val="24"/>
      <w:szCs w:val="22"/>
    </w:rPr>
  </w:style>
  <w:style w:type="paragraph" w:styleId="38">
    <w:name w:val="Subtitle"/>
    <w:basedOn w:val="1"/>
    <w:next w:val="1"/>
    <w:link w:val="91"/>
    <w:qFormat/>
    <w:uiPriority w:val="0"/>
    <w:pPr>
      <w:spacing w:before="240" w:after="60" w:line="312" w:lineRule="auto"/>
      <w:jc w:val="center"/>
      <w:outlineLvl w:val="1"/>
    </w:pPr>
    <w:rPr>
      <w:rFonts w:ascii="Cambria" w:hAnsi="Cambria" w:eastAsia="等线" w:cs="Cambria"/>
      <w:b/>
      <w:bCs/>
      <w:kern w:val="28"/>
      <w:sz w:val="32"/>
      <w:szCs w:val="32"/>
    </w:rPr>
  </w:style>
  <w:style w:type="paragraph" w:styleId="39">
    <w:name w:val="List"/>
    <w:basedOn w:val="1"/>
    <w:next w:val="1"/>
    <w:qFormat/>
    <w:locked/>
    <w:uiPriority w:val="0"/>
    <w:pPr>
      <w:ind w:left="200" w:hanging="200"/>
    </w:pPr>
    <w:rPr>
      <w:rFonts w:ascii="宋体" w:hAnsi="宋体" w:cs="宋体"/>
      <w:kern w:val="0"/>
      <w:sz w:val="24"/>
      <w:szCs w:val="20"/>
    </w:rPr>
  </w:style>
  <w:style w:type="paragraph" w:styleId="40">
    <w:name w:val="footnote text"/>
    <w:basedOn w:val="1"/>
    <w:next w:val="2"/>
    <w:link w:val="289"/>
    <w:qFormat/>
    <w:locked/>
    <w:uiPriority w:val="0"/>
    <w:pPr>
      <w:adjustRightInd w:val="0"/>
      <w:spacing w:line="312" w:lineRule="atLeast"/>
      <w:jc w:val="left"/>
      <w:textAlignment w:val="baseline"/>
    </w:pPr>
    <w:rPr>
      <w:kern w:val="0"/>
      <w:sz w:val="18"/>
      <w:szCs w:val="20"/>
      <w:lang w:val="zh-CN"/>
    </w:rPr>
  </w:style>
  <w:style w:type="paragraph" w:styleId="41">
    <w:name w:val="toc 6"/>
    <w:basedOn w:val="1"/>
    <w:next w:val="1"/>
    <w:qFormat/>
    <w:locked/>
    <w:uiPriority w:val="39"/>
    <w:pPr>
      <w:ind w:left="2100" w:leftChars="1000"/>
    </w:pPr>
    <w:rPr>
      <w:rFonts w:ascii="Calibri" w:hAnsi="Calibri" w:cs="宋体"/>
      <w:kern w:val="0"/>
      <w:sz w:val="24"/>
      <w:szCs w:val="22"/>
    </w:rPr>
  </w:style>
  <w:style w:type="paragraph" w:styleId="42">
    <w:name w:val="Body Text Indent 3"/>
    <w:basedOn w:val="1"/>
    <w:link w:val="92"/>
    <w:qFormat/>
    <w:uiPriority w:val="0"/>
    <w:pPr>
      <w:spacing w:line="620" w:lineRule="exact"/>
      <w:ind w:firstLine="570"/>
    </w:pPr>
    <w:rPr>
      <w:rFonts w:ascii="宋体" w:hAnsi="Tahoma" w:cs="宋体"/>
      <w:sz w:val="20"/>
      <w:szCs w:val="20"/>
    </w:rPr>
  </w:style>
  <w:style w:type="paragraph" w:styleId="43">
    <w:name w:val="toc 2"/>
    <w:basedOn w:val="1"/>
    <w:next w:val="1"/>
    <w:qFormat/>
    <w:uiPriority w:val="39"/>
    <w:pPr>
      <w:tabs>
        <w:tab w:val="right" w:leader="dot" w:pos="9187"/>
      </w:tabs>
      <w:ind w:left="420" w:leftChars="200"/>
    </w:pPr>
    <w:rPr>
      <w:rFonts w:eastAsia="仿宋_GB2312"/>
      <w:sz w:val="28"/>
      <w:szCs w:val="28"/>
    </w:rPr>
  </w:style>
  <w:style w:type="paragraph" w:styleId="44">
    <w:name w:val="toc 9"/>
    <w:basedOn w:val="1"/>
    <w:next w:val="1"/>
    <w:qFormat/>
    <w:locked/>
    <w:uiPriority w:val="39"/>
    <w:pPr>
      <w:ind w:left="3360" w:leftChars="1600"/>
    </w:pPr>
    <w:rPr>
      <w:rFonts w:ascii="Calibri" w:hAnsi="Calibri" w:cs="宋体"/>
      <w:kern w:val="0"/>
      <w:sz w:val="24"/>
      <w:szCs w:val="22"/>
    </w:rPr>
  </w:style>
  <w:style w:type="paragraph" w:styleId="45">
    <w:name w:val="Body Text 2"/>
    <w:basedOn w:val="1"/>
    <w:link w:val="93"/>
    <w:qFormat/>
    <w:uiPriority w:val="0"/>
    <w:pPr>
      <w:tabs>
        <w:tab w:val="left" w:pos="851"/>
      </w:tabs>
      <w:spacing w:line="320" w:lineRule="exact"/>
      <w:ind w:right="-108"/>
      <w:jc w:val="center"/>
    </w:pPr>
    <w:rPr>
      <w:rFonts w:ascii="等线" w:hAnsi="等线" w:eastAsia="等线" w:cs="等线"/>
      <w:sz w:val="24"/>
      <w:szCs w:val="24"/>
    </w:rPr>
  </w:style>
  <w:style w:type="paragraph" w:styleId="46">
    <w:name w:val="HTML Preformatted"/>
    <w:basedOn w:val="1"/>
    <w:link w:val="9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eastAsia="等线" w:cs="Courier New"/>
      <w:sz w:val="20"/>
      <w:szCs w:val="20"/>
    </w:rPr>
  </w:style>
  <w:style w:type="paragraph" w:styleId="4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8">
    <w:name w:val="Title"/>
    <w:basedOn w:val="1"/>
    <w:next w:val="1"/>
    <w:link w:val="95"/>
    <w:qFormat/>
    <w:uiPriority w:val="0"/>
    <w:pPr>
      <w:spacing w:before="240" w:after="60"/>
      <w:jc w:val="center"/>
      <w:outlineLvl w:val="0"/>
    </w:pPr>
    <w:rPr>
      <w:rFonts w:ascii="Cambria" w:hAnsi="Cambria" w:cs="Cambria"/>
      <w:b/>
      <w:bCs/>
      <w:sz w:val="20"/>
      <w:szCs w:val="20"/>
    </w:rPr>
  </w:style>
  <w:style w:type="paragraph" w:styleId="49">
    <w:name w:val="annotation subject"/>
    <w:basedOn w:val="20"/>
    <w:next w:val="20"/>
    <w:link w:val="96"/>
    <w:qFormat/>
    <w:uiPriority w:val="0"/>
    <w:rPr>
      <w:b/>
      <w:bCs/>
    </w:rPr>
  </w:style>
  <w:style w:type="paragraph" w:styleId="50">
    <w:name w:val="Body Text First Indent"/>
    <w:basedOn w:val="23"/>
    <w:link w:val="97"/>
    <w:qFormat/>
    <w:uiPriority w:val="0"/>
    <w:pPr>
      <w:spacing w:after="120" w:line="240" w:lineRule="auto"/>
      <w:ind w:firstLine="420" w:firstLineChars="100"/>
    </w:pPr>
  </w:style>
  <w:style w:type="table" w:styleId="52">
    <w:name w:val="Table Grid"/>
    <w:basedOn w:val="51"/>
    <w:qFormat/>
    <w:uiPriority w:val="0"/>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4">
    <w:name w:val="Strong"/>
    <w:qFormat/>
    <w:uiPriority w:val="0"/>
    <w:rPr>
      <w:rFonts w:cs="Times New Roman"/>
      <w:b/>
      <w:bCs/>
    </w:rPr>
  </w:style>
  <w:style w:type="character" w:styleId="55">
    <w:name w:val="endnote reference"/>
    <w:qFormat/>
    <w:locked/>
    <w:uiPriority w:val="0"/>
    <w:rPr>
      <w:vertAlign w:val="superscript"/>
    </w:rPr>
  </w:style>
  <w:style w:type="character" w:styleId="56">
    <w:name w:val="page number"/>
    <w:qFormat/>
    <w:uiPriority w:val="0"/>
    <w:rPr>
      <w:rFonts w:ascii="Tahoma" w:hAnsi="Tahoma" w:cs="Tahoma"/>
      <w:sz w:val="20"/>
      <w:szCs w:val="20"/>
    </w:rPr>
  </w:style>
  <w:style w:type="character" w:styleId="57">
    <w:name w:val="FollowedHyperlink"/>
    <w:qFormat/>
    <w:uiPriority w:val="0"/>
    <w:rPr>
      <w:rFonts w:cs="Times New Roman"/>
      <w:color w:val="800080"/>
      <w:u w:val="single"/>
    </w:rPr>
  </w:style>
  <w:style w:type="character" w:styleId="58">
    <w:name w:val="Emphasis"/>
    <w:qFormat/>
    <w:locked/>
    <w:uiPriority w:val="0"/>
    <w:rPr>
      <w:i/>
      <w:iCs/>
    </w:rPr>
  </w:style>
  <w:style w:type="character" w:styleId="59">
    <w:name w:val="HTML Definition"/>
    <w:qFormat/>
    <w:locked/>
    <w:uiPriority w:val="0"/>
  </w:style>
  <w:style w:type="character" w:styleId="60">
    <w:name w:val="HTML Typewriter"/>
    <w:qFormat/>
    <w:locked/>
    <w:uiPriority w:val="0"/>
    <w:rPr>
      <w:rFonts w:ascii="monospace" w:hAnsi="monospace" w:eastAsia="monospace" w:cs="monospace"/>
      <w:sz w:val="20"/>
    </w:rPr>
  </w:style>
  <w:style w:type="character" w:styleId="61">
    <w:name w:val="HTML Acronym"/>
    <w:qFormat/>
    <w:locked/>
    <w:uiPriority w:val="0"/>
    <w:rPr>
      <w:vanish/>
    </w:rPr>
  </w:style>
  <w:style w:type="character" w:styleId="62">
    <w:name w:val="HTML Variable"/>
    <w:qFormat/>
    <w:locked/>
    <w:uiPriority w:val="0"/>
  </w:style>
  <w:style w:type="character" w:styleId="63">
    <w:name w:val="Hyperlink"/>
    <w:qFormat/>
    <w:uiPriority w:val="99"/>
    <w:rPr>
      <w:rFonts w:cs="Times New Roman"/>
      <w:color w:val="0000FF"/>
      <w:u w:val="single"/>
    </w:rPr>
  </w:style>
  <w:style w:type="character" w:styleId="64">
    <w:name w:val="HTML Code"/>
    <w:qFormat/>
    <w:locked/>
    <w:uiPriority w:val="0"/>
    <w:rPr>
      <w:rFonts w:hint="default" w:ascii="monospace" w:hAnsi="monospace" w:eastAsia="monospace" w:cs="monospace"/>
      <w:sz w:val="20"/>
    </w:rPr>
  </w:style>
  <w:style w:type="character" w:styleId="65">
    <w:name w:val="annotation reference"/>
    <w:qFormat/>
    <w:uiPriority w:val="0"/>
    <w:rPr>
      <w:rFonts w:cs="Times New Roman"/>
      <w:sz w:val="21"/>
      <w:szCs w:val="21"/>
    </w:rPr>
  </w:style>
  <w:style w:type="character" w:styleId="66">
    <w:name w:val="HTML Cite"/>
    <w:qFormat/>
    <w:locked/>
    <w:uiPriority w:val="0"/>
  </w:style>
  <w:style w:type="character" w:styleId="67">
    <w:name w:val="HTML Keyboard"/>
    <w:qFormat/>
    <w:locked/>
    <w:uiPriority w:val="0"/>
    <w:rPr>
      <w:rFonts w:hint="default" w:ascii="monospace" w:hAnsi="monospace" w:eastAsia="monospace" w:cs="monospace"/>
      <w:sz w:val="20"/>
    </w:rPr>
  </w:style>
  <w:style w:type="character" w:styleId="68">
    <w:name w:val="HTML Sample"/>
    <w:qFormat/>
    <w:locked/>
    <w:uiPriority w:val="0"/>
    <w:rPr>
      <w:rFonts w:hint="default" w:ascii="monospace" w:hAnsi="monospace" w:eastAsia="monospace" w:cs="monospace"/>
    </w:rPr>
  </w:style>
  <w:style w:type="paragraph" w:customStyle="1" w:styleId="69">
    <w:name w:val="目录 82"/>
    <w:next w:val="1"/>
    <w:unhideWhenUsed/>
    <w:qFormat/>
    <w:uiPriority w:val="0"/>
    <w:pPr>
      <w:wordWrap w:val="0"/>
      <w:ind w:left="2550"/>
      <w:jc w:val="both"/>
    </w:pPr>
    <w:rPr>
      <w:rFonts w:ascii="Calibri" w:hAnsi="Calibri" w:eastAsia="宋体" w:cs="Times New Roman"/>
      <w:sz w:val="21"/>
      <w:szCs w:val="24"/>
      <w:lang w:val="en-US" w:eastAsia="zh-CN" w:bidi="ar-SA"/>
    </w:rPr>
  </w:style>
  <w:style w:type="character" w:customStyle="1" w:styleId="70">
    <w:name w:val="标题 1 Char"/>
    <w:link w:val="5"/>
    <w:qFormat/>
    <w:locked/>
    <w:uiPriority w:val="0"/>
    <w:rPr>
      <w:rFonts w:ascii="Tahoma" w:hAnsi="Tahoma" w:eastAsia="宋体" w:cs="Tahoma"/>
      <w:b/>
      <w:bCs/>
      <w:kern w:val="44"/>
      <w:sz w:val="44"/>
      <w:szCs w:val="44"/>
      <w:lang w:val="en-US" w:eastAsia="zh-CN"/>
    </w:rPr>
  </w:style>
  <w:style w:type="character" w:customStyle="1" w:styleId="71">
    <w:name w:val="标题 2 Char"/>
    <w:link w:val="6"/>
    <w:qFormat/>
    <w:locked/>
    <w:uiPriority w:val="0"/>
    <w:rPr>
      <w:rFonts w:ascii="Arial" w:hAnsi="Arial" w:eastAsia="黑体" w:cs="Arial"/>
      <w:b/>
      <w:bCs/>
      <w:kern w:val="2"/>
      <w:sz w:val="32"/>
      <w:szCs w:val="32"/>
      <w:lang w:val="en-US" w:eastAsia="zh-CN"/>
    </w:rPr>
  </w:style>
  <w:style w:type="character" w:customStyle="1" w:styleId="72">
    <w:name w:val="标题 3 Char"/>
    <w:link w:val="7"/>
    <w:qFormat/>
    <w:locked/>
    <w:uiPriority w:val="0"/>
    <w:rPr>
      <w:rFonts w:ascii="Tahoma" w:hAnsi="Tahoma" w:eastAsia="宋体" w:cs="Tahoma"/>
      <w:b/>
      <w:bCs/>
      <w:kern w:val="2"/>
      <w:sz w:val="32"/>
      <w:szCs w:val="32"/>
      <w:lang w:val="en-US" w:eastAsia="zh-CN"/>
    </w:rPr>
  </w:style>
  <w:style w:type="character" w:customStyle="1" w:styleId="73">
    <w:name w:val="标题 4 Char"/>
    <w:link w:val="8"/>
    <w:qFormat/>
    <w:locked/>
    <w:uiPriority w:val="0"/>
    <w:rPr>
      <w:rFonts w:ascii="Arial" w:hAnsi="Arial" w:eastAsia="黑体" w:cs="Arial"/>
      <w:b/>
      <w:bCs/>
      <w:kern w:val="2"/>
      <w:sz w:val="28"/>
      <w:szCs w:val="28"/>
      <w:lang w:val="en-US" w:eastAsia="zh-CN"/>
    </w:rPr>
  </w:style>
  <w:style w:type="character" w:customStyle="1" w:styleId="74">
    <w:name w:val="标题 5 Char"/>
    <w:link w:val="9"/>
    <w:qFormat/>
    <w:locked/>
    <w:uiPriority w:val="0"/>
    <w:rPr>
      <w:rFonts w:ascii="Tahoma" w:hAnsi="Tahoma" w:cs="Tahoma"/>
      <w:kern w:val="2"/>
      <w:sz w:val="28"/>
      <w:szCs w:val="28"/>
      <w:lang w:val="en-US" w:eastAsia="zh-CN"/>
    </w:rPr>
  </w:style>
  <w:style w:type="character" w:customStyle="1" w:styleId="75">
    <w:name w:val="标题 6 Char"/>
    <w:link w:val="10"/>
    <w:qFormat/>
    <w:locked/>
    <w:uiPriority w:val="0"/>
    <w:rPr>
      <w:rFonts w:ascii="Arial" w:hAnsi="Arial" w:eastAsia="黑体" w:cs="Arial"/>
      <w:b/>
      <w:bCs/>
      <w:kern w:val="2"/>
      <w:sz w:val="20"/>
      <w:szCs w:val="20"/>
      <w:lang w:val="en-US" w:eastAsia="zh-CN"/>
    </w:rPr>
  </w:style>
  <w:style w:type="character" w:customStyle="1" w:styleId="76">
    <w:name w:val="标题 7 Char"/>
    <w:link w:val="11"/>
    <w:qFormat/>
    <w:locked/>
    <w:uiPriority w:val="0"/>
    <w:rPr>
      <w:rFonts w:ascii="Tahoma" w:hAnsi="Tahoma" w:eastAsia="宋体" w:cs="Tahoma"/>
      <w:b/>
      <w:bCs/>
      <w:kern w:val="2"/>
      <w:sz w:val="20"/>
      <w:szCs w:val="20"/>
      <w:lang w:val="en-US" w:eastAsia="zh-CN"/>
    </w:rPr>
  </w:style>
  <w:style w:type="character" w:customStyle="1" w:styleId="77">
    <w:name w:val="标题 8 Char"/>
    <w:link w:val="12"/>
    <w:qFormat/>
    <w:locked/>
    <w:uiPriority w:val="0"/>
    <w:rPr>
      <w:rFonts w:ascii="Arial" w:hAnsi="Arial" w:eastAsia="黑体" w:cs="Arial"/>
      <w:kern w:val="2"/>
      <w:sz w:val="20"/>
      <w:szCs w:val="20"/>
      <w:lang w:val="en-US" w:eastAsia="zh-CN"/>
    </w:rPr>
  </w:style>
  <w:style w:type="character" w:customStyle="1" w:styleId="78">
    <w:name w:val="标题 9 Char"/>
    <w:link w:val="13"/>
    <w:qFormat/>
    <w:locked/>
    <w:uiPriority w:val="0"/>
    <w:rPr>
      <w:rFonts w:ascii="Arial" w:hAnsi="Arial" w:eastAsia="黑体" w:cs="Arial"/>
      <w:kern w:val="2"/>
      <w:sz w:val="20"/>
      <w:szCs w:val="20"/>
      <w:lang w:val="en-US" w:eastAsia="zh-CN"/>
    </w:rPr>
  </w:style>
  <w:style w:type="character" w:customStyle="1" w:styleId="79">
    <w:name w:val="文档结构图 Char"/>
    <w:link w:val="18"/>
    <w:qFormat/>
    <w:locked/>
    <w:uiPriority w:val="0"/>
    <w:rPr>
      <w:rFonts w:eastAsia="宋体" w:cs="Times New Roman"/>
      <w:kern w:val="2"/>
      <w:sz w:val="24"/>
      <w:szCs w:val="24"/>
      <w:lang w:val="en-US" w:eastAsia="zh-CN"/>
    </w:rPr>
  </w:style>
  <w:style w:type="character" w:customStyle="1" w:styleId="80">
    <w:name w:val="批注文字 Char"/>
    <w:link w:val="20"/>
    <w:qFormat/>
    <w:locked/>
    <w:uiPriority w:val="0"/>
    <w:rPr>
      <w:rFonts w:eastAsia="宋体" w:cs="Times New Roman"/>
      <w:kern w:val="2"/>
      <w:sz w:val="24"/>
      <w:szCs w:val="24"/>
      <w:lang w:val="en-US" w:eastAsia="zh-CN"/>
    </w:rPr>
  </w:style>
  <w:style w:type="character" w:customStyle="1" w:styleId="81">
    <w:name w:val="称呼 Char"/>
    <w:link w:val="21"/>
    <w:qFormat/>
    <w:locked/>
    <w:uiPriority w:val="0"/>
    <w:rPr>
      <w:rFonts w:ascii="Tahoma" w:hAnsi="Tahoma" w:eastAsia="宋体" w:cs="Tahoma"/>
      <w:sz w:val="20"/>
      <w:szCs w:val="20"/>
      <w:lang w:val="en-US" w:eastAsia="zh-CN"/>
    </w:rPr>
  </w:style>
  <w:style w:type="character" w:customStyle="1" w:styleId="82">
    <w:name w:val="正文文本 3 Char"/>
    <w:link w:val="22"/>
    <w:qFormat/>
    <w:locked/>
    <w:uiPriority w:val="0"/>
    <w:rPr>
      <w:rFonts w:cs="Times New Roman"/>
      <w:kern w:val="2"/>
      <w:sz w:val="16"/>
      <w:szCs w:val="16"/>
    </w:rPr>
  </w:style>
  <w:style w:type="character" w:customStyle="1" w:styleId="83">
    <w:name w:val="正文文本 Char1"/>
    <w:link w:val="23"/>
    <w:qFormat/>
    <w:locked/>
    <w:uiPriority w:val="0"/>
    <w:rPr>
      <w:rFonts w:eastAsia="仿宋_GB2312" w:cs="Times New Roman"/>
      <w:kern w:val="2"/>
      <w:sz w:val="24"/>
      <w:szCs w:val="24"/>
      <w:lang w:val="en-US" w:eastAsia="zh-CN"/>
    </w:rPr>
  </w:style>
  <w:style w:type="character" w:customStyle="1" w:styleId="84">
    <w:name w:val="正文文本缩进 Char"/>
    <w:link w:val="3"/>
    <w:qFormat/>
    <w:locked/>
    <w:uiPriority w:val="0"/>
    <w:rPr>
      <w:rFonts w:ascii="Tahoma" w:hAnsi="Tahoma" w:eastAsia="仿宋_GB2312" w:cs="Tahoma"/>
      <w:kern w:val="2"/>
      <w:sz w:val="24"/>
      <w:szCs w:val="24"/>
      <w:lang w:val="en-US" w:eastAsia="zh-CN"/>
    </w:rPr>
  </w:style>
  <w:style w:type="character" w:customStyle="1" w:styleId="85">
    <w:name w:val="纯文本 Char"/>
    <w:link w:val="28"/>
    <w:qFormat/>
    <w:locked/>
    <w:uiPriority w:val="0"/>
    <w:rPr>
      <w:rFonts w:ascii="宋体" w:hAnsi="Courier New" w:eastAsia="宋体" w:cs="宋体"/>
      <w:kern w:val="2"/>
      <w:sz w:val="21"/>
      <w:szCs w:val="21"/>
      <w:lang w:val="en-US" w:eastAsia="zh-CN"/>
    </w:rPr>
  </w:style>
  <w:style w:type="character" w:customStyle="1" w:styleId="86">
    <w:name w:val="日期 Char"/>
    <w:link w:val="30"/>
    <w:qFormat/>
    <w:locked/>
    <w:uiPriority w:val="0"/>
    <w:rPr>
      <w:rFonts w:ascii="Tahoma" w:hAnsi="Tahoma" w:eastAsia="宋体" w:cs="Tahoma"/>
      <w:kern w:val="2"/>
      <w:sz w:val="24"/>
      <w:szCs w:val="24"/>
      <w:lang w:val="en-US" w:eastAsia="zh-CN"/>
    </w:rPr>
  </w:style>
  <w:style w:type="character" w:customStyle="1" w:styleId="87">
    <w:name w:val="正文文本缩进 2 Char"/>
    <w:link w:val="31"/>
    <w:qFormat/>
    <w:locked/>
    <w:uiPriority w:val="0"/>
    <w:rPr>
      <w:rFonts w:ascii="楷体_GB2312" w:hAnsi="Tahoma" w:eastAsia="楷体_GB2312" w:cs="楷体_GB2312"/>
      <w:b/>
      <w:bCs/>
      <w:spacing w:val="-24"/>
      <w:sz w:val="20"/>
      <w:szCs w:val="20"/>
      <w:lang w:val="en-US" w:eastAsia="zh-CN"/>
    </w:rPr>
  </w:style>
  <w:style w:type="character" w:customStyle="1" w:styleId="88">
    <w:name w:val="批注框文本 Char"/>
    <w:link w:val="33"/>
    <w:qFormat/>
    <w:locked/>
    <w:uiPriority w:val="0"/>
    <w:rPr>
      <w:rFonts w:eastAsia="宋体" w:cs="Times New Roman"/>
      <w:kern w:val="2"/>
      <w:sz w:val="18"/>
      <w:szCs w:val="18"/>
      <w:lang w:val="en-US" w:eastAsia="zh-CN"/>
    </w:rPr>
  </w:style>
  <w:style w:type="character" w:customStyle="1" w:styleId="89">
    <w:name w:val="页脚 Char"/>
    <w:link w:val="34"/>
    <w:qFormat/>
    <w:locked/>
    <w:uiPriority w:val="99"/>
    <w:rPr>
      <w:rFonts w:eastAsia="宋体" w:cs="Times New Roman"/>
      <w:kern w:val="2"/>
      <w:sz w:val="24"/>
      <w:szCs w:val="24"/>
      <w:lang w:val="en-US" w:eastAsia="zh-CN"/>
    </w:rPr>
  </w:style>
  <w:style w:type="character" w:customStyle="1" w:styleId="90">
    <w:name w:val="页眉 Char"/>
    <w:link w:val="35"/>
    <w:qFormat/>
    <w:locked/>
    <w:uiPriority w:val="0"/>
    <w:rPr>
      <w:rFonts w:eastAsia="宋体" w:cs="Times New Roman"/>
      <w:kern w:val="2"/>
      <w:sz w:val="18"/>
      <w:szCs w:val="18"/>
      <w:lang w:val="en-US" w:eastAsia="zh-CN"/>
    </w:rPr>
  </w:style>
  <w:style w:type="character" w:customStyle="1" w:styleId="91">
    <w:name w:val="副标题 Char1"/>
    <w:link w:val="38"/>
    <w:qFormat/>
    <w:locked/>
    <w:uiPriority w:val="0"/>
    <w:rPr>
      <w:rFonts w:ascii="Cambria" w:hAnsi="Cambria" w:cs="Cambria"/>
      <w:b/>
      <w:bCs/>
      <w:kern w:val="28"/>
      <w:sz w:val="32"/>
      <w:szCs w:val="32"/>
    </w:rPr>
  </w:style>
  <w:style w:type="character" w:customStyle="1" w:styleId="92">
    <w:name w:val="正文文本缩进 3 Char"/>
    <w:link w:val="42"/>
    <w:qFormat/>
    <w:locked/>
    <w:uiPriority w:val="0"/>
    <w:rPr>
      <w:rFonts w:ascii="宋体" w:hAnsi="Tahoma" w:eastAsia="宋体" w:cs="宋体"/>
      <w:kern w:val="2"/>
      <w:sz w:val="20"/>
      <w:szCs w:val="20"/>
      <w:lang w:val="en-US" w:eastAsia="zh-CN"/>
    </w:rPr>
  </w:style>
  <w:style w:type="character" w:customStyle="1" w:styleId="93">
    <w:name w:val="正文文本 2 Char"/>
    <w:link w:val="45"/>
    <w:qFormat/>
    <w:locked/>
    <w:uiPriority w:val="0"/>
    <w:rPr>
      <w:rFonts w:cs="Times New Roman"/>
      <w:kern w:val="2"/>
      <w:sz w:val="24"/>
      <w:szCs w:val="24"/>
    </w:rPr>
  </w:style>
  <w:style w:type="character" w:customStyle="1" w:styleId="94">
    <w:name w:val="HTML 预设格式 Char"/>
    <w:link w:val="46"/>
    <w:qFormat/>
    <w:locked/>
    <w:uiPriority w:val="0"/>
    <w:rPr>
      <w:rFonts w:ascii="Courier New" w:hAnsi="Courier New" w:cs="Courier New"/>
      <w:kern w:val="2"/>
    </w:rPr>
  </w:style>
  <w:style w:type="character" w:customStyle="1" w:styleId="95">
    <w:name w:val="标题 Char"/>
    <w:link w:val="48"/>
    <w:qFormat/>
    <w:locked/>
    <w:uiPriority w:val="0"/>
    <w:rPr>
      <w:rFonts w:ascii="Cambria" w:hAnsi="Cambria" w:eastAsia="宋体" w:cs="Cambria"/>
      <w:b/>
      <w:bCs/>
      <w:kern w:val="2"/>
      <w:sz w:val="20"/>
      <w:szCs w:val="20"/>
    </w:rPr>
  </w:style>
  <w:style w:type="character" w:customStyle="1" w:styleId="96">
    <w:name w:val="批注主题 Char"/>
    <w:link w:val="49"/>
    <w:qFormat/>
    <w:locked/>
    <w:uiPriority w:val="0"/>
    <w:rPr>
      <w:rFonts w:eastAsia="宋体" w:cs="Times New Roman"/>
      <w:b/>
      <w:bCs/>
      <w:kern w:val="2"/>
      <w:sz w:val="24"/>
      <w:szCs w:val="24"/>
      <w:lang w:val="en-US" w:eastAsia="zh-CN"/>
    </w:rPr>
  </w:style>
  <w:style w:type="character" w:customStyle="1" w:styleId="97">
    <w:name w:val="正文首行缩进 Char"/>
    <w:link w:val="50"/>
    <w:qFormat/>
    <w:locked/>
    <w:uiPriority w:val="0"/>
    <w:rPr>
      <w:rFonts w:eastAsia="仿宋_GB2312" w:cs="Times New Roman"/>
      <w:kern w:val="2"/>
      <w:sz w:val="24"/>
      <w:szCs w:val="24"/>
      <w:lang w:val="en-US" w:eastAsia="zh-CN"/>
    </w:rPr>
  </w:style>
  <w:style w:type="character" w:customStyle="1" w:styleId="98">
    <w:name w:val="正文首行缩进 2 Char"/>
    <w:link w:val="2"/>
    <w:qFormat/>
    <w:locked/>
    <w:uiPriority w:val="99"/>
    <w:rPr>
      <w:rFonts w:ascii="Tahoma" w:hAnsi="Tahoma" w:eastAsia="仿宋_GB2312" w:cs="Tahoma"/>
      <w:kern w:val="2"/>
      <w:sz w:val="24"/>
      <w:szCs w:val="24"/>
      <w:lang w:val="en-US" w:eastAsia="zh-CN"/>
    </w:rPr>
  </w:style>
  <w:style w:type="character" w:customStyle="1" w:styleId="99">
    <w:name w:val="样式3 Char Char Char Char"/>
    <w:link w:val="100"/>
    <w:qFormat/>
    <w:locked/>
    <w:uiPriority w:val="0"/>
    <w:rPr>
      <w:rFonts w:eastAsia="黑体"/>
      <w:b/>
      <w:kern w:val="2"/>
      <w:sz w:val="32"/>
      <w:lang w:val="en-US" w:eastAsia="zh-CN"/>
    </w:rPr>
  </w:style>
  <w:style w:type="paragraph" w:customStyle="1" w:styleId="100">
    <w:name w:val="样式3 Char"/>
    <w:basedOn w:val="7"/>
    <w:next w:val="1"/>
    <w:link w:val="99"/>
    <w:qFormat/>
    <w:uiPriority w:val="0"/>
    <w:pPr>
      <w:spacing w:line="240" w:lineRule="auto"/>
      <w:jc w:val="center"/>
    </w:pPr>
    <w:rPr>
      <w:rFonts w:ascii="等线" w:hAnsi="等线" w:eastAsia="黑体" w:cs="Times New Roman"/>
      <w:bCs w:val="0"/>
      <w:szCs w:val="20"/>
    </w:rPr>
  </w:style>
  <w:style w:type="character" w:customStyle="1" w:styleId="101">
    <w:name w:val="Char Char11"/>
    <w:qFormat/>
    <w:uiPriority w:val="99"/>
    <w:rPr>
      <w:rFonts w:eastAsia="宋体"/>
      <w:sz w:val="24"/>
      <w:lang w:val="en-US" w:eastAsia="zh-CN"/>
    </w:rPr>
  </w:style>
  <w:style w:type="character" w:customStyle="1" w:styleId="102">
    <w:name w:val="正文缩进 Char"/>
    <w:link w:val="15"/>
    <w:qFormat/>
    <w:locked/>
    <w:uiPriority w:val="0"/>
    <w:rPr>
      <w:rFonts w:eastAsia="宋体"/>
      <w:sz w:val="24"/>
      <w:lang w:val="en-US" w:eastAsia="zh-CN"/>
    </w:rPr>
  </w:style>
  <w:style w:type="character" w:customStyle="1" w:styleId="103">
    <w:name w:val="textcontents"/>
    <w:qFormat/>
    <w:uiPriority w:val="0"/>
    <w:rPr>
      <w:rFonts w:ascii="Tahoma" w:hAnsi="Tahoma"/>
      <w:sz w:val="20"/>
    </w:rPr>
  </w:style>
  <w:style w:type="character" w:customStyle="1" w:styleId="104">
    <w:name w:val="Variable"/>
    <w:qFormat/>
    <w:uiPriority w:val="0"/>
    <w:rPr>
      <w:i/>
    </w:rPr>
  </w:style>
  <w:style w:type="character" w:customStyle="1" w:styleId="105">
    <w:name w:val="Balloon Text Char1"/>
    <w:semiHidden/>
    <w:qFormat/>
    <w:locked/>
    <w:uiPriority w:val="99"/>
    <w:rPr>
      <w:kern w:val="2"/>
      <w:sz w:val="16"/>
    </w:rPr>
  </w:style>
  <w:style w:type="character" w:customStyle="1" w:styleId="106">
    <w:name w:val="Salutation Char1"/>
    <w:semiHidden/>
    <w:qFormat/>
    <w:locked/>
    <w:uiPriority w:val="99"/>
    <w:rPr>
      <w:kern w:val="2"/>
      <w:sz w:val="24"/>
    </w:rPr>
  </w:style>
  <w:style w:type="character" w:customStyle="1" w:styleId="107">
    <w:name w:val="Date Char1"/>
    <w:semiHidden/>
    <w:qFormat/>
    <w:locked/>
    <w:uiPriority w:val="99"/>
    <w:rPr>
      <w:kern w:val="2"/>
      <w:sz w:val="24"/>
    </w:rPr>
  </w:style>
  <w:style w:type="character" w:customStyle="1" w:styleId="108">
    <w:name w:val="标题5 Char Char"/>
    <w:link w:val="109"/>
    <w:qFormat/>
    <w:locked/>
    <w:uiPriority w:val="0"/>
    <w:rPr>
      <w:rFonts w:ascii="Arial" w:hAnsi="Arial"/>
      <w:b/>
      <w:sz w:val="32"/>
    </w:rPr>
  </w:style>
  <w:style w:type="paragraph" w:customStyle="1" w:styleId="109">
    <w:name w:val="标题5"/>
    <w:basedOn w:val="7"/>
    <w:link w:val="108"/>
    <w:qFormat/>
    <w:uiPriority w:val="0"/>
    <w:pPr>
      <w:spacing w:line="413" w:lineRule="auto"/>
    </w:pPr>
    <w:rPr>
      <w:rFonts w:ascii="Arial" w:hAnsi="Arial" w:eastAsia="等线" w:cs="Times New Roman"/>
      <w:bCs w:val="0"/>
      <w:kern w:val="0"/>
      <w:szCs w:val="20"/>
    </w:rPr>
  </w:style>
  <w:style w:type="character" w:customStyle="1" w:styleId="110">
    <w:name w:val="Body Text Indent Char1"/>
    <w:semiHidden/>
    <w:qFormat/>
    <w:locked/>
    <w:uiPriority w:val="99"/>
    <w:rPr>
      <w:kern w:val="2"/>
      <w:sz w:val="24"/>
    </w:rPr>
  </w:style>
  <w:style w:type="character" w:customStyle="1" w:styleId="111">
    <w:name w:val="Quote Char"/>
    <w:qFormat/>
    <w:locked/>
    <w:uiPriority w:val="99"/>
    <w:rPr>
      <w:i/>
      <w:color w:val="000000"/>
      <w:kern w:val="2"/>
      <w:sz w:val="22"/>
    </w:rPr>
  </w:style>
  <w:style w:type="paragraph" w:styleId="112">
    <w:name w:val="Quote"/>
    <w:basedOn w:val="1"/>
    <w:next w:val="1"/>
    <w:link w:val="113"/>
    <w:qFormat/>
    <w:uiPriority w:val="0"/>
    <w:rPr>
      <w:rFonts w:ascii="等线" w:hAnsi="等线" w:eastAsia="等线"/>
      <w:i/>
      <w:iCs/>
      <w:color w:val="000000"/>
      <w:sz w:val="22"/>
      <w:szCs w:val="22"/>
    </w:rPr>
  </w:style>
  <w:style w:type="character" w:customStyle="1" w:styleId="113">
    <w:name w:val="引用 Char"/>
    <w:link w:val="112"/>
    <w:qFormat/>
    <w:locked/>
    <w:uiPriority w:val="0"/>
    <w:rPr>
      <w:rFonts w:ascii="Times New Roman" w:hAnsi="Times New Roman" w:eastAsia="宋体" w:cs="Times New Roman"/>
      <w:i/>
      <w:iCs/>
      <w:color w:val="000000"/>
      <w:sz w:val="24"/>
      <w:szCs w:val="24"/>
    </w:rPr>
  </w:style>
  <w:style w:type="character" w:customStyle="1" w:styleId="114">
    <w:name w:val="Body Text Indent 3 Char1"/>
    <w:semiHidden/>
    <w:qFormat/>
    <w:locked/>
    <w:uiPriority w:val="99"/>
    <w:rPr>
      <w:kern w:val="2"/>
      <w:sz w:val="16"/>
    </w:rPr>
  </w:style>
  <w:style w:type="character" w:customStyle="1" w:styleId="115">
    <w:name w:val="Comment Text Char1"/>
    <w:qFormat/>
    <w:locked/>
    <w:uiPriority w:val="0"/>
    <w:rPr>
      <w:kern w:val="2"/>
      <w:sz w:val="24"/>
    </w:rPr>
  </w:style>
  <w:style w:type="character" w:customStyle="1" w:styleId="116">
    <w:name w:val="tt21"/>
    <w:qFormat/>
    <w:uiPriority w:val="0"/>
    <w:rPr>
      <w:rFonts w:ascii="宋体" w:eastAsia="宋体"/>
      <w:b/>
      <w:sz w:val="18"/>
    </w:rPr>
  </w:style>
  <w:style w:type="character" w:customStyle="1" w:styleId="117">
    <w:name w:val="样式 标题 3h3section:3Level 3 HeadH3level_3PIM 33rd level3H... Char Char"/>
    <w:link w:val="118"/>
    <w:qFormat/>
    <w:locked/>
    <w:uiPriority w:val="0"/>
    <w:rPr>
      <w:rFonts w:ascii="Arial" w:hAnsi="Arial"/>
      <w:b/>
      <w:kern w:val="2"/>
      <w:sz w:val="28"/>
    </w:rPr>
  </w:style>
  <w:style w:type="paragraph" w:customStyle="1" w:styleId="118">
    <w:name w:val="样式 标题 3h3section:3Level 3 HeadH3level_3PIM 33rd level3H..."/>
    <w:basedOn w:val="7"/>
    <w:link w:val="117"/>
    <w:qFormat/>
    <w:uiPriority w:val="0"/>
    <w:pPr>
      <w:tabs>
        <w:tab w:val="left" w:pos="720"/>
        <w:tab w:val="left" w:pos="1680"/>
      </w:tabs>
      <w:adjustRightInd w:val="0"/>
      <w:spacing w:line="416" w:lineRule="atLeast"/>
      <w:textAlignment w:val="baseline"/>
    </w:pPr>
    <w:rPr>
      <w:rFonts w:ascii="Arial" w:hAnsi="Arial" w:eastAsia="等线" w:cs="Times New Roman"/>
      <w:bCs w:val="0"/>
      <w:sz w:val="28"/>
      <w:szCs w:val="20"/>
    </w:rPr>
  </w:style>
  <w:style w:type="character" w:customStyle="1" w:styleId="119">
    <w:name w:val="Header Char1"/>
    <w:semiHidden/>
    <w:qFormat/>
    <w:locked/>
    <w:uiPriority w:val="99"/>
    <w:rPr>
      <w:kern w:val="2"/>
      <w:sz w:val="18"/>
    </w:rPr>
  </w:style>
  <w:style w:type="character" w:customStyle="1" w:styleId="120">
    <w:name w:val="Document Map Char1"/>
    <w:semiHidden/>
    <w:qFormat/>
    <w:locked/>
    <w:uiPriority w:val="99"/>
    <w:rPr>
      <w:kern w:val="2"/>
      <w:sz w:val="16"/>
    </w:rPr>
  </w:style>
  <w:style w:type="character" w:customStyle="1" w:styleId="121">
    <w:name w:val="Subtitle Char1"/>
    <w:qFormat/>
    <w:locked/>
    <w:uiPriority w:val="99"/>
    <w:rPr>
      <w:rFonts w:ascii="Cambria" w:hAnsi="Cambria"/>
      <w:b/>
      <w:kern w:val="28"/>
      <w:sz w:val="32"/>
    </w:rPr>
  </w:style>
  <w:style w:type="character" w:customStyle="1" w:styleId="122">
    <w:name w:val="title2"/>
    <w:qFormat/>
    <w:uiPriority w:val="0"/>
    <w:rPr>
      <w:rFonts w:ascii="Arial" w:hAnsi="Arial"/>
      <w:b/>
      <w:color w:val="auto"/>
      <w:sz w:val="24"/>
      <w:u w:val="none"/>
    </w:rPr>
  </w:style>
  <w:style w:type="character" w:customStyle="1" w:styleId="123">
    <w:name w:val="Comment Subject Char1"/>
    <w:semiHidden/>
    <w:qFormat/>
    <w:locked/>
    <w:uiPriority w:val="99"/>
    <w:rPr>
      <w:b/>
      <w:kern w:val="2"/>
      <w:sz w:val="24"/>
    </w:rPr>
  </w:style>
  <w:style w:type="character" w:customStyle="1" w:styleId="124">
    <w:name w:val="bigfont"/>
    <w:qFormat/>
    <w:uiPriority w:val="0"/>
    <w:rPr>
      <w:rFonts w:ascii="Tahoma" w:hAnsi="Tahoma"/>
      <w:sz w:val="20"/>
    </w:rPr>
  </w:style>
  <w:style w:type="character" w:customStyle="1" w:styleId="125">
    <w:name w:val="Char Char Char Char Char Char Char Char Char Char Char Char Char Char Char Char"/>
    <w:link w:val="126"/>
    <w:qFormat/>
    <w:locked/>
    <w:uiPriority w:val="99"/>
    <w:rPr>
      <w:rFonts w:ascii="Verdana" w:hAnsi="Verdana"/>
      <w:sz w:val="21"/>
      <w:lang w:eastAsia="en-US"/>
    </w:rPr>
  </w:style>
  <w:style w:type="paragraph" w:customStyle="1" w:styleId="126">
    <w:name w:val="Char Char Char Char Char Char Char Char Char Char Char Char Char Char Char1"/>
    <w:basedOn w:val="1"/>
    <w:link w:val="125"/>
    <w:qFormat/>
    <w:uiPriority w:val="0"/>
    <w:pPr>
      <w:widowControl/>
      <w:spacing w:line="400" w:lineRule="exact"/>
      <w:jc w:val="center"/>
    </w:pPr>
    <w:rPr>
      <w:rFonts w:ascii="Verdana" w:hAnsi="Verdana" w:eastAsia="等线"/>
      <w:kern w:val="0"/>
      <w:szCs w:val="20"/>
      <w:lang w:eastAsia="en-US"/>
    </w:rPr>
  </w:style>
  <w:style w:type="character" w:customStyle="1" w:styleId="127">
    <w:name w:val="Char Char23"/>
    <w:qFormat/>
    <w:uiPriority w:val="0"/>
    <w:rPr>
      <w:rFonts w:ascii="Arial" w:hAnsi="Arial" w:eastAsia="黑体"/>
      <w:b/>
      <w:kern w:val="2"/>
      <w:sz w:val="32"/>
      <w:lang w:val="en-US" w:eastAsia="zh-CN"/>
    </w:rPr>
  </w:style>
  <w:style w:type="character" w:customStyle="1" w:styleId="128">
    <w:name w:val="Intense Quote Char"/>
    <w:qFormat/>
    <w:locked/>
    <w:uiPriority w:val="99"/>
    <w:rPr>
      <w:b/>
      <w:i/>
      <w:color w:val="4F81BD"/>
      <w:kern w:val="2"/>
      <w:sz w:val="22"/>
    </w:rPr>
  </w:style>
  <w:style w:type="paragraph" w:styleId="129">
    <w:name w:val="Intense Quote"/>
    <w:basedOn w:val="1"/>
    <w:next w:val="1"/>
    <w:link w:val="130"/>
    <w:qFormat/>
    <w:uiPriority w:val="0"/>
    <w:pPr>
      <w:pBdr>
        <w:bottom w:val="single" w:color="4F81BD" w:sz="4" w:space="4"/>
      </w:pBdr>
      <w:spacing w:before="200" w:after="280"/>
      <w:ind w:left="936" w:right="936"/>
    </w:pPr>
    <w:rPr>
      <w:rFonts w:ascii="等线" w:hAnsi="等线" w:eastAsia="等线"/>
      <w:b/>
      <w:bCs/>
      <w:i/>
      <w:iCs/>
      <w:color w:val="4F81BD"/>
      <w:sz w:val="22"/>
      <w:szCs w:val="22"/>
    </w:rPr>
  </w:style>
  <w:style w:type="character" w:customStyle="1" w:styleId="130">
    <w:name w:val="明显引用 Char"/>
    <w:link w:val="129"/>
    <w:qFormat/>
    <w:locked/>
    <w:uiPriority w:val="0"/>
    <w:rPr>
      <w:rFonts w:ascii="Times New Roman" w:hAnsi="Times New Roman" w:eastAsia="宋体" w:cs="Times New Roman"/>
      <w:b/>
      <w:bCs/>
      <w:i/>
      <w:iCs/>
      <w:color w:val="4F81BD"/>
      <w:sz w:val="24"/>
      <w:szCs w:val="24"/>
    </w:rPr>
  </w:style>
  <w:style w:type="character" w:customStyle="1" w:styleId="131">
    <w:name w:val="正文文本 Char"/>
    <w:qFormat/>
    <w:uiPriority w:val="0"/>
    <w:rPr>
      <w:rFonts w:ascii="仿宋_GB2312" w:hAnsi="Tahoma" w:eastAsia="仿宋_GB2312"/>
      <w:kern w:val="2"/>
      <w:sz w:val="24"/>
    </w:rPr>
  </w:style>
  <w:style w:type="character" w:customStyle="1" w:styleId="132">
    <w:name w:val="副标题 Char"/>
    <w:link w:val="133"/>
    <w:qFormat/>
    <w:locked/>
    <w:uiPriority w:val="0"/>
    <w:rPr>
      <w:rFonts w:ascii="Arial" w:hAnsi="Arial"/>
      <w:b/>
      <w:color w:val="000000"/>
      <w:kern w:val="44"/>
    </w:rPr>
  </w:style>
  <w:style w:type="paragraph" w:customStyle="1" w:styleId="133">
    <w:name w:val="Subtitle1"/>
    <w:basedOn w:val="1"/>
    <w:next w:val="1"/>
    <w:link w:val="132"/>
    <w:qFormat/>
    <w:uiPriority w:val="99"/>
    <w:pPr>
      <w:spacing w:before="120" w:after="120"/>
      <w:jc w:val="left"/>
    </w:pPr>
    <w:rPr>
      <w:rFonts w:ascii="Arial" w:hAnsi="Arial" w:eastAsia="等线"/>
      <w:b/>
      <w:color w:val="000000"/>
      <w:kern w:val="44"/>
      <w:sz w:val="20"/>
      <w:szCs w:val="20"/>
    </w:rPr>
  </w:style>
  <w:style w:type="character" w:customStyle="1" w:styleId="134">
    <w:name w:val="Title Char1"/>
    <w:qFormat/>
    <w:locked/>
    <w:uiPriority w:val="99"/>
    <w:rPr>
      <w:rFonts w:ascii="Cambria" w:hAnsi="Cambria"/>
      <w:b/>
      <w:kern w:val="2"/>
      <w:sz w:val="32"/>
    </w:rPr>
  </w:style>
  <w:style w:type="character" w:customStyle="1" w:styleId="135">
    <w:name w:val="Footer Char1"/>
    <w:semiHidden/>
    <w:qFormat/>
    <w:locked/>
    <w:uiPriority w:val="99"/>
    <w:rPr>
      <w:kern w:val="2"/>
      <w:sz w:val="18"/>
    </w:rPr>
  </w:style>
  <w:style w:type="character" w:customStyle="1" w:styleId="136">
    <w:name w:val="newsbg1"/>
    <w:qFormat/>
    <w:uiPriority w:val="0"/>
    <w:rPr>
      <w:rFonts w:ascii="Tahoma" w:hAnsi="Tahoma"/>
      <w:sz w:val="20"/>
    </w:rPr>
  </w:style>
  <w:style w:type="character" w:customStyle="1" w:styleId="137">
    <w:name w:val="Char Char Char Char Char Char Char Char Char Char Char Char Char Char Char Char1"/>
    <w:link w:val="138"/>
    <w:qFormat/>
    <w:locked/>
    <w:uiPriority w:val="99"/>
    <w:rPr>
      <w:rFonts w:ascii="Verdana" w:hAnsi="Verdana" w:eastAsia="宋体"/>
      <w:sz w:val="20"/>
      <w:lang w:val="en-US" w:eastAsia="en-US"/>
    </w:rPr>
  </w:style>
  <w:style w:type="paragraph" w:customStyle="1" w:styleId="138">
    <w:name w:val="Char Char Char Char Char Char Char Char Char Char Char Char Char Char Char"/>
    <w:basedOn w:val="1"/>
    <w:link w:val="137"/>
    <w:qFormat/>
    <w:uiPriority w:val="0"/>
    <w:pPr>
      <w:widowControl/>
      <w:spacing w:line="400" w:lineRule="exact"/>
      <w:jc w:val="center"/>
    </w:pPr>
    <w:rPr>
      <w:rFonts w:ascii="Verdana" w:hAnsi="Verdana"/>
      <w:kern w:val="0"/>
      <w:sz w:val="20"/>
      <w:szCs w:val="20"/>
      <w:lang w:eastAsia="en-US"/>
    </w:rPr>
  </w:style>
  <w:style w:type="character" w:customStyle="1" w:styleId="139">
    <w:name w:val="Body Text Indent 2 Char1"/>
    <w:semiHidden/>
    <w:qFormat/>
    <w:locked/>
    <w:uiPriority w:val="99"/>
    <w:rPr>
      <w:kern w:val="2"/>
      <w:sz w:val="24"/>
    </w:rPr>
  </w:style>
  <w:style w:type="character" w:customStyle="1" w:styleId="140">
    <w:name w:val="Char Char111"/>
    <w:qFormat/>
    <w:uiPriority w:val="99"/>
    <w:rPr>
      <w:rFonts w:eastAsia="宋体"/>
      <w:sz w:val="24"/>
      <w:lang w:val="en-US" w:eastAsia="zh-CN"/>
    </w:rPr>
  </w:style>
  <w:style w:type="character" w:customStyle="1" w:styleId="141">
    <w:name w:val="Body Text Char1"/>
    <w:semiHidden/>
    <w:qFormat/>
    <w:locked/>
    <w:uiPriority w:val="99"/>
    <w:rPr>
      <w:kern w:val="2"/>
      <w:sz w:val="24"/>
    </w:rPr>
  </w:style>
  <w:style w:type="character" w:customStyle="1" w:styleId="142">
    <w:name w:val="Char Char231"/>
    <w:qFormat/>
    <w:uiPriority w:val="99"/>
    <w:rPr>
      <w:rFonts w:ascii="Arial" w:hAnsi="Arial" w:eastAsia="黑体"/>
      <w:b/>
      <w:kern w:val="2"/>
      <w:sz w:val="32"/>
      <w:lang w:val="en-US" w:eastAsia="zh-CN"/>
    </w:rPr>
  </w:style>
  <w:style w:type="character" w:customStyle="1" w:styleId="143">
    <w:name w:val="Plain Text Char1"/>
    <w:semiHidden/>
    <w:qFormat/>
    <w:locked/>
    <w:uiPriority w:val="99"/>
    <w:rPr>
      <w:rFonts w:ascii="宋体" w:hAnsi="Courier New"/>
      <w:kern w:val="2"/>
      <w:sz w:val="21"/>
    </w:rPr>
  </w:style>
  <w:style w:type="paragraph" w:customStyle="1" w:styleId="144">
    <w:name w:val="列出段落1"/>
    <w:basedOn w:val="1"/>
    <w:qFormat/>
    <w:uiPriority w:val="0"/>
    <w:pPr>
      <w:ind w:firstLine="420" w:firstLineChars="200"/>
    </w:pPr>
    <w:rPr>
      <w:rFonts w:ascii="Calibri" w:hAnsi="Calibri" w:cs="Calibri"/>
    </w:rPr>
  </w:style>
  <w:style w:type="paragraph" w:customStyle="1" w:styleId="145">
    <w:name w:val="列表1）"/>
    <w:basedOn w:val="15"/>
    <w:qFormat/>
    <w:uiPriority w:val="0"/>
    <w:pPr>
      <w:adjustRightInd/>
      <w:spacing w:before="10" w:line="240" w:lineRule="auto"/>
      <w:ind w:firstLine="0"/>
      <w:textAlignment w:val="auto"/>
    </w:pPr>
    <w:rPr>
      <w:rFonts w:ascii="Verdana" w:hAnsi="Verdana" w:cs="Verdana"/>
      <w:kern w:val="2"/>
      <w:sz w:val="21"/>
      <w:szCs w:val="21"/>
    </w:rPr>
  </w:style>
  <w:style w:type="paragraph" w:customStyle="1" w:styleId="14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7">
    <w:name w:val="xl13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8">
    <w:name w:val="Char Char Char Char Char Char Char Char Char Char Char Char Char"/>
    <w:basedOn w:val="1"/>
    <w:qFormat/>
    <w:uiPriority w:val="0"/>
    <w:pPr>
      <w:tabs>
        <w:tab w:val="left" w:pos="420"/>
      </w:tabs>
      <w:ind w:left="420" w:hanging="420"/>
    </w:pPr>
    <w:rPr>
      <w:rFonts w:ascii="Tahoma" w:hAnsi="Tahoma" w:cs="Tahoma"/>
      <w:sz w:val="24"/>
      <w:szCs w:val="24"/>
    </w:rPr>
  </w:style>
  <w:style w:type="paragraph" w:customStyle="1" w:styleId="149">
    <w:name w:val="样式8"/>
    <w:basedOn w:val="150"/>
    <w:qFormat/>
    <w:uiPriority w:val="0"/>
    <w:rPr>
      <w:sz w:val="72"/>
      <w:szCs w:val="72"/>
    </w:rPr>
  </w:style>
  <w:style w:type="paragraph" w:customStyle="1" w:styleId="150">
    <w:name w:val="样式2"/>
    <w:basedOn w:val="6"/>
    <w:next w:val="1"/>
    <w:qFormat/>
    <w:uiPriority w:val="0"/>
    <w:pPr>
      <w:spacing w:line="240" w:lineRule="auto"/>
      <w:jc w:val="center"/>
    </w:pPr>
    <w:rPr>
      <w:sz w:val="36"/>
      <w:szCs w:val="36"/>
    </w:rPr>
  </w:style>
  <w:style w:type="paragraph" w:customStyle="1" w:styleId="151">
    <w:name w:val="样式 (中文) 黑体 小二 加粗 居中 行距: 1.5 倍行距"/>
    <w:basedOn w:val="5"/>
    <w:qFormat/>
    <w:uiPriority w:val="0"/>
    <w:pPr>
      <w:spacing w:line="240" w:lineRule="auto"/>
      <w:jc w:val="center"/>
    </w:pPr>
    <w:rPr>
      <w:rFonts w:eastAsia="黑体"/>
      <w:b w:val="0"/>
      <w:bCs w:val="0"/>
      <w:spacing w:val="60"/>
      <w:sz w:val="36"/>
      <w:szCs w:val="36"/>
    </w:rPr>
  </w:style>
  <w:style w:type="paragraph" w:customStyle="1" w:styleId="152">
    <w:name w:val="p0"/>
    <w:basedOn w:val="1"/>
    <w:qFormat/>
    <w:uiPriority w:val="0"/>
    <w:pPr>
      <w:widowControl/>
    </w:pPr>
    <w:rPr>
      <w:kern w:val="0"/>
    </w:rPr>
  </w:style>
  <w:style w:type="paragraph" w:customStyle="1" w:styleId="153">
    <w:name w:val="style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4">
    <w:name w:val="Normal1"/>
    <w:qFormat/>
    <w:uiPriority w:val="99"/>
    <w:pPr>
      <w:widowControl w:val="0"/>
      <w:tabs>
        <w:tab w:val="left" w:pos="720"/>
      </w:tabs>
      <w:adjustRightInd w:val="0"/>
      <w:spacing w:line="315" w:lineRule="atLeast"/>
      <w:jc w:val="both"/>
      <w:textAlignment w:val="baseline"/>
    </w:pPr>
    <w:rPr>
      <w:rFonts w:ascii="宋体" w:hAnsi="Times New Roman" w:eastAsia="宋体" w:cs="宋体"/>
      <w:sz w:val="24"/>
      <w:szCs w:val="24"/>
      <w:lang w:val="en-US" w:eastAsia="zh-CN" w:bidi="ar-SA"/>
    </w:rPr>
  </w:style>
  <w:style w:type="paragraph" w:customStyle="1" w:styleId="155">
    <w:name w:val="_Style 17"/>
    <w:basedOn w:val="1"/>
    <w:qFormat/>
    <w:uiPriority w:val="0"/>
    <w:pPr>
      <w:widowControl/>
      <w:spacing w:line="400" w:lineRule="exact"/>
      <w:jc w:val="center"/>
    </w:pPr>
  </w:style>
  <w:style w:type="paragraph" w:customStyle="1" w:styleId="156">
    <w:name w:val="font1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7">
    <w:name w:val="fontsize"/>
    <w:basedOn w:val="1"/>
    <w:qFormat/>
    <w:uiPriority w:val="0"/>
    <w:pPr>
      <w:widowControl/>
      <w:spacing w:before="100" w:beforeAutospacing="1" w:after="100" w:afterAutospacing="1"/>
      <w:ind w:firstLine="180"/>
      <w:jc w:val="left"/>
    </w:pPr>
    <w:rPr>
      <w:rFonts w:ascii="Arial Unicode MS" w:hAnsi="Arial Unicode MS" w:eastAsia="等线" w:cs="Arial Unicode MS"/>
      <w:color w:val="000000"/>
      <w:spacing w:val="20"/>
      <w:kern w:val="0"/>
      <w:sz w:val="24"/>
      <w:szCs w:val="24"/>
      <w:vertAlign w:val="subscript"/>
    </w:rPr>
  </w:style>
  <w:style w:type="paragraph" w:customStyle="1" w:styleId="158">
    <w:name w:val="样式 标题 1 + 居中"/>
    <w:basedOn w:val="5"/>
    <w:qFormat/>
    <w:uiPriority w:val="0"/>
    <w:pPr>
      <w:spacing w:line="576" w:lineRule="auto"/>
      <w:jc w:val="center"/>
    </w:pPr>
    <w:rPr>
      <w:sz w:val="32"/>
      <w:szCs w:val="32"/>
    </w:rPr>
  </w:style>
  <w:style w:type="paragraph" w:customStyle="1" w:styleId="159">
    <w:name w:val="正文1"/>
    <w:qFormat/>
    <w:uiPriority w:val="0"/>
    <w:pPr>
      <w:widowControl w:val="0"/>
      <w:adjustRightInd w:val="0"/>
      <w:spacing w:line="315" w:lineRule="atLeast"/>
      <w:jc w:val="both"/>
      <w:textAlignment w:val="baseline"/>
    </w:pPr>
    <w:rPr>
      <w:rFonts w:ascii="宋体" w:hAnsi="Times New Roman" w:eastAsia="宋体" w:cs="宋体"/>
      <w:sz w:val="24"/>
      <w:szCs w:val="24"/>
      <w:lang w:val="en-US" w:eastAsia="zh-CN" w:bidi="ar-SA"/>
    </w:rPr>
  </w:style>
  <w:style w:type="paragraph" w:customStyle="1" w:styleId="160">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61">
    <w:name w:val="样式3"/>
    <w:basedOn w:val="7"/>
    <w:next w:val="1"/>
    <w:qFormat/>
    <w:uiPriority w:val="0"/>
    <w:pPr>
      <w:spacing w:line="240" w:lineRule="auto"/>
      <w:jc w:val="center"/>
    </w:pPr>
    <w:rPr>
      <w:rFonts w:eastAsia="黑体"/>
    </w:rPr>
  </w:style>
  <w:style w:type="paragraph" w:customStyle="1" w:styleId="162">
    <w:name w:val="Char1"/>
    <w:basedOn w:val="1"/>
    <w:qFormat/>
    <w:uiPriority w:val="0"/>
    <w:rPr>
      <w:rFonts w:ascii="Tahoma" w:hAnsi="Tahoma" w:cs="Tahoma"/>
      <w:sz w:val="24"/>
      <w:szCs w:val="24"/>
    </w:rPr>
  </w:style>
  <w:style w:type="paragraph" w:customStyle="1" w:styleId="163">
    <w:name w:val="样式6"/>
    <w:basedOn w:val="36"/>
    <w:next w:val="1"/>
    <w:qFormat/>
    <w:uiPriority w:val="0"/>
    <w:pPr>
      <w:tabs>
        <w:tab w:val="right" w:leader="dot" w:pos="9200"/>
        <w:tab w:val="clear" w:pos="9530"/>
      </w:tabs>
    </w:pPr>
    <w:rPr>
      <w:rFonts w:eastAsia="仿宋_GB2312"/>
      <w:sz w:val="28"/>
      <w:szCs w:val="28"/>
    </w:rPr>
  </w:style>
  <w:style w:type="paragraph" w:customStyle="1" w:styleId="164">
    <w:name w:val="Char"/>
    <w:basedOn w:val="1"/>
    <w:qFormat/>
    <w:uiPriority w:val="0"/>
  </w:style>
  <w:style w:type="paragraph" w:customStyle="1" w:styleId="165">
    <w:name w:val="xl170"/>
    <w:basedOn w:val="1"/>
    <w:qFormat/>
    <w:uiPriority w:val="0"/>
    <w:pPr>
      <w:widowControl/>
      <w:pBdr>
        <w:left w:val="single" w:color="auto" w:sz="4" w:space="0"/>
        <w:bottom w:val="single" w:color="auto" w:sz="4" w:space="0"/>
        <w:right w:val="single" w:color="auto" w:sz="4" w:space="0"/>
      </w:pBdr>
      <w:shd w:val="clear" w:color="000000" w:fill="0066CC"/>
      <w:spacing w:before="100" w:beforeAutospacing="1" w:after="100" w:afterAutospacing="1"/>
      <w:jc w:val="center"/>
    </w:pPr>
    <w:rPr>
      <w:rFonts w:ascii="宋体" w:hAnsi="宋体" w:cs="宋体"/>
      <w:kern w:val="0"/>
      <w:sz w:val="20"/>
      <w:szCs w:val="20"/>
    </w:rPr>
  </w:style>
  <w:style w:type="paragraph" w:customStyle="1" w:styleId="16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67">
    <w:name w:val="样式 (中文) 黑体 四号 居中 行距: 1.5 倍行距"/>
    <w:basedOn w:val="7"/>
    <w:qFormat/>
    <w:uiPriority w:val="0"/>
    <w:pPr>
      <w:spacing w:line="240" w:lineRule="auto"/>
      <w:jc w:val="center"/>
    </w:pPr>
    <w:rPr>
      <w:rFonts w:eastAsia="黑体"/>
      <w:sz w:val="28"/>
      <w:szCs w:val="28"/>
    </w:rPr>
  </w:style>
  <w:style w:type="paragraph" w:customStyle="1" w:styleId="168">
    <w:name w:val="font1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9">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0">
    <w:name w:val="Char Char Char Char"/>
    <w:basedOn w:val="1"/>
    <w:next w:val="1"/>
    <w:qFormat/>
    <w:uiPriority w:val="0"/>
    <w:pPr>
      <w:widowControl/>
      <w:spacing w:after="160" w:line="240" w:lineRule="exact"/>
      <w:jc w:val="left"/>
    </w:pPr>
  </w:style>
  <w:style w:type="paragraph" w:customStyle="1" w:styleId="171">
    <w:name w:val="Char Char Char Char11"/>
    <w:basedOn w:val="1"/>
    <w:next w:val="1"/>
    <w:qFormat/>
    <w:uiPriority w:val="99"/>
    <w:pPr>
      <w:widowControl/>
      <w:spacing w:after="160" w:line="240" w:lineRule="exact"/>
      <w:jc w:val="left"/>
    </w:pPr>
  </w:style>
  <w:style w:type="paragraph" w:customStyle="1" w:styleId="172">
    <w:name w:val="Char Char Char Char Char Char Char Char Char Char Char Char Char Char Char Char Char Char Char"/>
    <w:basedOn w:val="1"/>
    <w:qFormat/>
    <w:uiPriority w:val="0"/>
    <w:pPr>
      <w:widowControl/>
      <w:spacing w:line="400" w:lineRule="exact"/>
      <w:jc w:val="center"/>
    </w:pPr>
    <w:rPr>
      <w:rFonts w:ascii="Verdana" w:hAnsi="Verdana" w:cs="Verdana"/>
      <w:kern w:val="0"/>
      <w:lang w:eastAsia="en-US"/>
    </w:rPr>
  </w:style>
  <w:style w:type="paragraph" w:customStyle="1" w:styleId="173">
    <w:name w:val="Char Char Char Char Char Char Char Char Char Char Char Char Char1"/>
    <w:basedOn w:val="1"/>
    <w:qFormat/>
    <w:uiPriority w:val="0"/>
    <w:pPr>
      <w:tabs>
        <w:tab w:val="left" w:pos="420"/>
      </w:tabs>
      <w:ind w:left="420" w:hanging="420"/>
    </w:pPr>
    <w:rPr>
      <w:rFonts w:ascii="Tahoma" w:hAnsi="Tahoma" w:cs="Tahoma"/>
      <w:sz w:val="24"/>
      <w:szCs w:val="24"/>
    </w:rPr>
  </w:style>
  <w:style w:type="paragraph" w:customStyle="1" w:styleId="174">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175">
    <w:name w:val="font10"/>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176">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77">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8">
    <w:name w:val="paragraphinden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9">
    <w:name w:val="Char Char Char"/>
    <w:basedOn w:val="1"/>
    <w:qFormat/>
    <w:uiPriority w:val="0"/>
    <w:pPr>
      <w:tabs>
        <w:tab w:val="left" w:pos="420"/>
      </w:tabs>
      <w:ind w:left="420" w:hanging="420"/>
    </w:pPr>
    <w:rPr>
      <w:rFonts w:ascii="Tahoma" w:hAnsi="Tahoma" w:cs="Tahoma"/>
      <w:sz w:val="24"/>
      <w:szCs w:val="24"/>
    </w:rPr>
  </w:style>
  <w:style w:type="paragraph" w:customStyle="1" w:styleId="180">
    <w:name w:val="Table Paragraph"/>
    <w:basedOn w:val="1"/>
    <w:qFormat/>
    <w:uiPriority w:val="0"/>
    <w:pPr>
      <w:jc w:val="left"/>
    </w:pPr>
    <w:rPr>
      <w:rFonts w:ascii="Calibri" w:hAnsi="Calibri" w:cs="Calibri"/>
      <w:kern w:val="0"/>
      <w:sz w:val="22"/>
      <w:szCs w:val="22"/>
      <w:lang w:eastAsia="en-US"/>
    </w:rPr>
  </w:style>
  <w:style w:type="paragraph" w:customStyle="1" w:styleId="181">
    <w:name w:val="_Style 10"/>
    <w:basedOn w:val="1"/>
    <w:qFormat/>
    <w:uiPriority w:val="0"/>
    <w:pPr>
      <w:widowControl/>
      <w:spacing w:line="400" w:lineRule="exact"/>
      <w:jc w:val="center"/>
    </w:pPr>
  </w:style>
  <w:style w:type="paragraph" w:customStyle="1" w:styleId="182">
    <w:name w:val="xl13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83">
    <w:name w:val="德吉标题二"/>
    <w:basedOn w:val="6"/>
    <w:qFormat/>
    <w:uiPriority w:val="0"/>
    <w:pPr>
      <w:tabs>
        <w:tab w:val="left" w:pos="720"/>
        <w:tab w:val="left" w:pos="1320"/>
      </w:tabs>
      <w:spacing w:line="416" w:lineRule="auto"/>
      <w:jc w:val="left"/>
    </w:pPr>
    <w:rPr>
      <w:rFonts w:ascii="仿宋_GB2312" w:eastAsia="仿宋_GB2312" w:cs="仿宋_GB2312"/>
    </w:rPr>
  </w:style>
  <w:style w:type="paragraph" w:customStyle="1" w:styleId="184">
    <w:name w:val="Char Char Char1 Char Char Char Char Char Char Char"/>
    <w:basedOn w:val="1"/>
    <w:qFormat/>
    <w:uiPriority w:val="0"/>
    <w:rPr>
      <w:rFonts w:ascii="Tahoma" w:hAnsi="Tahoma" w:cs="Tahoma"/>
      <w:sz w:val="24"/>
      <w:szCs w:val="24"/>
    </w:rPr>
  </w:style>
  <w:style w:type="paragraph" w:customStyle="1" w:styleId="185">
    <w:name w:val="xl154"/>
    <w:basedOn w:val="1"/>
    <w:qFormat/>
    <w:uiPriority w:val="0"/>
    <w:pPr>
      <w:widowControl/>
      <w:pBdr>
        <w:top w:val="single" w:color="auto" w:sz="4" w:space="0"/>
        <w:left w:val="single" w:color="auto" w:sz="4" w:space="0"/>
        <w:bottom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186">
    <w:name w:val="xl15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18"/>
      <w:szCs w:val="18"/>
    </w:rPr>
  </w:style>
  <w:style w:type="paragraph" w:customStyle="1" w:styleId="187">
    <w:name w:val="样式 标题 3 + (中文) 黑体 小四 非加粗 段前: 7.8 磅 段后: 0 磅 行距: 固定值 20 磅"/>
    <w:basedOn w:val="7"/>
    <w:qFormat/>
    <w:uiPriority w:val="0"/>
    <w:pPr>
      <w:spacing w:before="0" w:after="0" w:line="400" w:lineRule="exact"/>
    </w:pPr>
    <w:rPr>
      <w:rFonts w:eastAsia="黑体"/>
      <w:b w:val="0"/>
      <w:bCs w:val="0"/>
      <w:sz w:val="24"/>
      <w:szCs w:val="24"/>
    </w:rPr>
  </w:style>
  <w:style w:type="paragraph" w:customStyle="1" w:styleId="188">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89">
    <w:name w:val="样式 首行缩进:  2 字符"/>
    <w:basedOn w:val="1"/>
    <w:qFormat/>
    <w:uiPriority w:val="0"/>
    <w:pPr>
      <w:spacing w:line="360" w:lineRule="auto"/>
      <w:ind w:firstLine="480" w:firstLineChars="200"/>
    </w:pPr>
    <w:rPr>
      <w:rFonts w:ascii="Arial" w:hAnsi="Arial" w:cs="Arial"/>
      <w:sz w:val="24"/>
      <w:szCs w:val="24"/>
    </w:rPr>
  </w:style>
  <w:style w:type="paragraph" w:customStyle="1" w:styleId="190">
    <w:name w:val="Address"/>
    <w:basedOn w:val="1"/>
    <w:next w:val="1"/>
    <w:qFormat/>
    <w:uiPriority w:val="0"/>
    <w:pPr>
      <w:autoSpaceDE w:val="0"/>
      <w:autoSpaceDN w:val="0"/>
      <w:adjustRightInd w:val="0"/>
      <w:jc w:val="left"/>
    </w:pPr>
    <w:rPr>
      <w:i/>
      <w:iCs/>
      <w:kern w:val="0"/>
      <w:sz w:val="24"/>
      <w:szCs w:val="24"/>
    </w:rPr>
  </w:style>
  <w:style w:type="paragraph" w:customStyle="1" w:styleId="191">
    <w:name w:val="样式 (中文) 黑体 小二 居中 行距: 1.5 倍行距"/>
    <w:basedOn w:val="1"/>
    <w:next w:val="1"/>
    <w:qFormat/>
    <w:uiPriority w:val="0"/>
    <w:pPr>
      <w:jc w:val="center"/>
    </w:pPr>
    <w:rPr>
      <w:rFonts w:eastAsia="黑体"/>
      <w:sz w:val="36"/>
      <w:szCs w:val="36"/>
    </w:rPr>
  </w:style>
  <w:style w:type="paragraph" w:customStyle="1" w:styleId="192">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3">
    <w:name w:val="Char Char Char1 Char"/>
    <w:basedOn w:val="1"/>
    <w:qFormat/>
    <w:uiPriority w:val="0"/>
  </w:style>
  <w:style w:type="paragraph" w:customStyle="1" w:styleId="194">
    <w:name w:val="Char Char1 Char Char Char Char Char Char Char Char Char Char Char Char Char Char"/>
    <w:basedOn w:val="1"/>
    <w:qFormat/>
    <w:uiPriority w:val="0"/>
    <w:pPr>
      <w:spacing w:after="160" w:line="240" w:lineRule="exact"/>
      <w:jc w:val="left"/>
    </w:pPr>
  </w:style>
  <w:style w:type="paragraph" w:customStyle="1" w:styleId="195">
    <w:name w:val="xl138"/>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6">
    <w:name w:val="样式7"/>
    <w:basedOn w:val="36"/>
    <w:next w:val="1"/>
    <w:qFormat/>
    <w:uiPriority w:val="0"/>
    <w:pPr>
      <w:tabs>
        <w:tab w:val="right" w:leader="dot" w:pos="9200"/>
        <w:tab w:val="clear" w:pos="9530"/>
      </w:tabs>
    </w:pPr>
    <w:rPr>
      <w:rFonts w:eastAsia="仿宋_GB2312"/>
      <w:sz w:val="28"/>
      <w:szCs w:val="28"/>
    </w:rPr>
  </w:style>
  <w:style w:type="paragraph" w:customStyle="1" w:styleId="197">
    <w:name w:val="_Style 19"/>
    <w:basedOn w:val="1"/>
    <w:next w:val="28"/>
    <w:qFormat/>
    <w:uiPriority w:val="99"/>
    <w:rPr>
      <w:rFonts w:ascii="宋体" w:hAnsi="Courier New" w:cs="宋体"/>
    </w:rPr>
  </w:style>
  <w:style w:type="paragraph" w:customStyle="1" w:styleId="198">
    <w:name w:val="样式 (中文) 黑体 小三 加粗 居中 行距: 1.5 倍行距"/>
    <w:basedOn w:val="1"/>
    <w:next w:val="1"/>
    <w:qFormat/>
    <w:uiPriority w:val="0"/>
    <w:pPr>
      <w:spacing w:line="360" w:lineRule="auto"/>
      <w:jc w:val="center"/>
    </w:pPr>
    <w:rPr>
      <w:rFonts w:eastAsia="黑体"/>
      <w:b/>
      <w:bCs/>
      <w:sz w:val="30"/>
      <w:szCs w:val="30"/>
    </w:rPr>
  </w:style>
  <w:style w:type="paragraph" w:customStyle="1" w:styleId="199">
    <w:name w:val="xl155"/>
    <w:basedOn w:val="1"/>
    <w:qFormat/>
    <w:uiPriority w:val="0"/>
    <w:pPr>
      <w:widowControl/>
      <w:pBdr>
        <w:top w:val="single" w:color="auto" w:sz="4" w:space="0"/>
        <w:bottom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200">
    <w:name w:val="xl146"/>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styleId="201">
    <w:name w:val="List Paragraph"/>
    <w:basedOn w:val="1"/>
    <w:qFormat/>
    <w:uiPriority w:val="99"/>
    <w:pPr>
      <w:ind w:firstLine="420" w:firstLineChars="200"/>
    </w:pPr>
    <w:rPr>
      <w:rFonts w:ascii="Calibri" w:hAnsi="Calibri" w:cs="Calibri"/>
    </w:rPr>
  </w:style>
  <w:style w:type="paragraph" w:customStyle="1" w:styleId="202">
    <w:name w:val="xl133"/>
    <w:basedOn w:val="1"/>
    <w:qFormat/>
    <w:uiPriority w:val="0"/>
    <w:pPr>
      <w:widowControl/>
      <w:shd w:val="clear" w:color="000000" w:fill="C0C0C0"/>
      <w:spacing w:before="100" w:beforeAutospacing="1" w:after="100" w:afterAutospacing="1"/>
      <w:jc w:val="left"/>
    </w:pPr>
    <w:rPr>
      <w:rFonts w:ascii="宋体" w:hAnsi="宋体" w:cs="宋体"/>
      <w:kern w:val="0"/>
      <w:sz w:val="20"/>
      <w:szCs w:val="20"/>
    </w:rPr>
  </w:style>
  <w:style w:type="paragraph" w:customStyle="1" w:styleId="203">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华文中宋" w:hAnsi="华文中宋" w:eastAsia="华文中宋" w:cs="华文中宋"/>
      <w:kern w:val="0"/>
      <w:sz w:val="24"/>
      <w:szCs w:val="24"/>
    </w:rPr>
  </w:style>
  <w:style w:type="paragraph" w:customStyle="1" w:styleId="204">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5">
    <w:name w:val="表格文字"/>
    <w:basedOn w:val="1"/>
    <w:next w:val="1"/>
    <w:qFormat/>
    <w:uiPriority w:val="0"/>
    <w:pPr>
      <w:autoSpaceDE w:val="0"/>
      <w:autoSpaceDN w:val="0"/>
      <w:adjustRightInd w:val="0"/>
      <w:spacing w:before="6" w:after="6"/>
      <w:jc w:val="left"/>
    </w:pPr>
    <w:rPr>
      <w:rFonts w:ascii="宋体" w:cs="宋体"/>
      <w:kern w:val="0"/>
      <w:sz w:val="20"/>
      <w:szCs w:val="20"/>
    </w:rPr>
  </w:style>
  <w:style w:type="paragraph" w:customStyle="1" w:styleId="206">
    <w:name w:val="Char2"/>
    <w:basedOn w:val="1"/>
    <w:qFormat/>
    <w:uiPriority w:val="0"/>
    <w:rPr>
      <w:rFonts w:ascii="Tahoma" w:hAnsi="Tahoma" w:cs="Tahoma"/>
      <w:sz w:val="24"/>
      <w:szCs w:val="24"/>
    </w:rPr>
  </w:style>
  <w:style w:type="paragraph" w:customStyle="1" w:styleId="207">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08">
    <w:name w:val="Char Char Char Char Char Char Char Char Char Char"/>
    <w:basedOn w:val="1"/>
    <w:qFormat/>
    <w:uiPriority w:val="0"/>
    <w:pPr>
      <w:widowControl/>
      <w:spacing w:line="400" w:lineRule="exact"/>
      <w:jc w:val="center"/>
    </w:pPr>
    <w:rPr>
      <w:rFonts w:ascii="Verdana" w:hAnsi="Verdana" w:cs="Verdana"/>
      <w:kern w:val="0"/>
      <w:lang w:eastAsia="en-US"/>
    </w:rPr>
  </w:style>
  <w:style w:type="paragraph" w:customStyle="1" w:styleId="209">
    <w:name w:val="Char Char Char1"/>
    <w:basedOn w:val="1"/>
    <w:qFormat/>
    <w:uiPriority w:val="99"/>
    <w:pPr>
      <w:tabs>
        <w:tab w:val="left" w:pos="420"/>
      </w:tabs>
      <w:ind w:left="420" w:hanging="420"/>
    </w:pPr>
    <w:rPr>
      <w:rFonts w:ascii="Tahoma" w:hAnsi="Tahoma" w:cs="Tahoma"/>
      <w:sz w:val="24"/>
      <w:szCs w:val="24"/>
    </w:rPr>
  </w:style>
  <w:style w:type="paragraph" w:customStyle="1" w:styleId="210">
    <w:name w:val="百姓X"/>
    <w:basedOn w:val="1"/>
    <w:qFormat/>
    <w:uiPriority w:val="0"/>
    <w:pPr>
      <w:spacing w:before="120" w:after="120" w:line="360" w:lineRule="auto"/>
      <w:ind w:firstLine="540"/>
    </w:pPr>
    <w:rPr>
      <w:rFonts w:ascii="Arial Narrow" w:hAnsi="Arial Narrow" w:cs="Arial Narrow"/>
      <w:sz w:val="24"/>
      <w:szCs w:val="24"/>
    </w:rPr>
  </w:style>
  <w:style w:type="paragraph" w:customStyle="1" w:styleId="211">
    <w:name w:val="xl16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12">
    <w:name w:val="font8"/>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213">
    <w:name w:val="Heading 41"/>
    <w:basedOn w:val="1"/>
    <w:qFormat/>
    <w:uiPriority w:val="0"/>
    <w:pPr>
      <w:jc w:val="left"/>
      <w:outlineLvl w:val="4"/>
    </w:pPr>
    <w:rPr>
      <w:rFonts w:ascii="宋体" w:hAnsi="宋体" w:cs="宋体"/>
      <w:kern w:val="0"/>
      <w:sz w:val="32"/>
      <w:szCs w:val="32"/>
      <w:lang w:eastAsia="en-US"/>
    </w:rPr>
  </w:style>
  <w:style w:type="paragraph" w:customStyle="1" w:styleId="214">
    <w:name w:val="样式 (中文) 黑体 小三 黑色"/>
    <w:basedOn w:val="6"/>
    <w:qFormat/>
    <w:uiPriority w:val="0"/>
    <w:pPr>
      <w:spacing w:line="240" w:lineRule="auto"/>
      <w:jc w:val="center"/>
    </w:pPr>
    <w:rPr>
      <w:color w:val="000000"/>
      <w:sz w:val="30"/>
      <w:szCs w:val="30"/>
    </w:rPr>
  </w:style>
  <w:style w:type="paragraph" w:customStyle="1" w:styleId="215">
    <w:name w:val="prodsubtitle"/>
    <w:basedOn w:val="1"/>
    <w:qFormat/>
    <w:uiPriority w:val="0"/>
    <w:pPr>
      <w:widowControl/>
      <w:jc w:val="left"/>
    </w:pPr>
    <w:rPr>
      <w:rFonts w:ascii="宋体" w:hAnsi="宋体" w:cs="宋体"/>
      <w:kern w:val="0"/>
      <w:sz w:val="24"/>
      <w:szCs w:val="24"/>
    </w:rPr>
  </w:style>
  <w:style w:type="paragraph" w:customStyle="1" w:styleId="216">
    <w:name w:val="Paragraph P1&amp;2"/>
    <w:basedOn w:val="1"/>
    <w:qFormat/>
    <w:uiPriority w:val="0"/>
    <w:pPr>
      <w:widowControl/>
      <w:tabs>
        <w:tab w:val="left" w:pos="420"/>
      </w:tabs>
      <w:spacing w:before="40" w:after="60" w:line="360" w:lineRule="auto"/>
      <w:ind w:left="720" w:hanging="360"/>
      <w:jc w:val="left"/>
    </w:pPr>
    <w:rPr>
      <w:rFonts w:ascii="宋体" w:hAnsi="宋体" w:cs="宋体"/>
      <w:color w:val="FF0000"/>
      <w:sz w:val="24"/>
      <w:szCs w:val="24"/>
    </w:rPr>
  </w:style>
  <w:style w:type="paragraph" w:customStyle="1" w:styleId="217">
    <w:name w:val="xl162"/>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18">
    <w:name w:val="Char Char1 Char Char Char"/>
    <w:basedOn w:val="18"/>
    <w:qFormat/>
    <w:uiPriority w:val="0"/>
  </w:style>
  <w:style w:type="paragraph" w:customStyle="1" w:styleId="219">
    <w:name w:val="xl156"/>
    <w:basedOn w:val="1"/>
    <w:qFormat/>
    <w:uiPriority w:val="0"/>
    <w:pPr>
      <w:widowControl/>
      <w:pBdr>
        <w:top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220">
    <w:name w:val="TOC 标题1"/>
    <w:basedOn w:val="5"/>
    <w:next w:val="1"/>
    <w:qFormat/>
    <w:uiPriority w:val="39"/>
    <w:pPr>
      <w:widowControl/>
      <w:spacing w:before="480" w:after="0" w:line="276" w:lineRule="auto"/>
      <w:jc w:val="left"/>
      <w:outlineLvl w:val="9"/>
    </w:pPr>
    <w:rPr>
      <w:rFonts w:ascii="Cambria" w:hAnsi="Cambria" w:cs="Cambria"/>
      <w:color w:val="365F91"/>
      <w:kern w:val="0"/>
      <w:sz w:val="28"/>
      <w:szCs w:val="28"/>
    </w:rPr>
  </w:style>
  <w:style w:type="paragraph" w:customStyle="1" w:styleId="221">
    <w:name w:val="Heading 71"/>
    <w:basedOn w:val="1"/>
    <w:qFormat/>
    <w:uiPriority w:val="0"/>
    <w:pPr>
      <w:jc w:val="left"/>
      <w:outlineLvl w:val="7"/>
    </w:pPr>
    <w:rPr>
      <w:rFonts w:ascii="宋体" w:hAnsi="宋体" w:cs="宋体"/>
      <w:kern w:val="0"/>
      <w:sz w:val="28"/>
      <w:szCs w:val="28"/>
      <w:lang w:eastAsia="en-US"/>
    </w:rPr>
  </w:style>
  <w:style w:type="paragraph" w:customStyle="1" w:styleId="222">
    <w:name w:val="Char Char Char Char Char Char Char1"/>
    <w:basedOn w:val="1"/>
    <w:qFormat/>
    <w:uiPriority w:val="0"/>
    <w:pPr>
      <w:widowControl/>
      <w:spacing w:line="400" w:lineRule="exact"/>
      <w:jc w:val="center"/>
    </w:pPr>
    <w:rPr>
      <w:rFonts w:ascii="Verdana" w:hAnsi="Verdana" w:cs="Verdana"/>
      <w:kern w:val="0"/>
      <w:lang w:eastAsia="en-US"/>
    </w:rPr>
  </w:style>
  <w:style w:type="paragraph" w:customStyle="1" w:styleId="223">
    <w:name w:val="xl14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24">
    <w:name w:val="标准正文"/>
    <w:basedOn w:val="1"/>
    <w:qFormat/>
    <w:uiPriority w:val="0"/>
    <w:pPr>
      <w:snapToGrid w:val="0"/>
      <w:spacing w:line="312" w:lineRule="auto"/>
      <w:ind w:firstLine="482"/>
    </w:pPr>
    <w:rPr>
      <w:sz w:val="24"/>
      <w:szCs w:val="24"/>
    </w:rPr>
  </w:style>
  <w:style w:type="paragraph" w:customStyle="1" w:styleId="225">
    <w:name w:val="副标题1"/>
    <w:basedOn w:val="1"/>
    <w:next w:val="1"/>
    <w:qFormat/>
    <w:uiPriority w:val="0"/>
    <w:pPr>
      <w:spacing w:before="120" w:after="120"/>
      <w:jc w:val="left"/>
    </w:pPr>
    <w:rPr>
      <w:rFonts w:ascii="Arial" w:hAnsi="Arial" w:cs="Arial"/>
      <w:b/>
      <w:bCs/>
      <w:color w:val="000000"/>
      <w:kern w:val="44"/>
      <w:sz w:val="20"/>
      <w:szCs w:val="20"/>
    </w:rPr>
  </w:style>
  <w:style w:type="paragraph" w:customStyle="1" w:styleId="226">
    <w:name w:val="默认段落字体 Para Char"/>
    <w:basedOn w:val="1"/>
    <w:qFormat/>
    <w:uiPriority w:val="0"/>
  </w:style>
  <w:style w:type="paragraph" w:customStyle="1" w:styleId="227">
    <w:name w:val="Char Char Char Char1"/>
    <w:basedOn w:val="1"/>
    <w:next w:val="1"/>
    <w:qFormat/>
    <w:uiPriority w:val="0"/>
    <w:pPr>
      <w:widowControl/>
      <w:spacing w:after="160" w:line="240" w:lineRule="exact"/>
      <w:jc w:val="left"/>
    </w:pPr>
  </w:style>
  <w:style w:type="paragraph" w:customStyle="1" w:styleId="228">
    <w:name w:val="xl148"/>
    <w:basedOn w:val="1"/>
    <w:qFormat/>
    <w:uiPriority w:val="0"/>
    <w:pPr>
      <w:widowControl/>
      <w:pBdr>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2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30">
    <w:name w:val="No Spacing"/>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1">
    <w:name w:val="xl131"/>
    <w:basedOn w:val="1"/>
    <w:qFormat/>
    <w:uiPriority w:val="0"/>
    <w:pPr>
      <w:widowControl/>
      <w:pBdr>
        <w:bottom w:val="single" w:color="auto" w:sz="12" w:space="0"/>
      </w:pBdr>
      <w:spacing w:before="100" w:beforeAutospacing="1" w:after="100" w:afterAutospacing="1"/>
      <w:jc w:val="left"/>
    </w:pPr>
    <w:rPr>
      <w:rFonts w:ascii="宋体" w:hAnsi="宋体" w:cs="宋体"/>
      <w:kern w:val="0"/>
      <w:sz w:val="24"/>
      <w:szCs w:val="24"/>
    </w:rPr>
  </w:style>
  <w:style w:type="paragraph" w:customStyle="1" w:styleId="232">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233">
    <w:name w:val="font12"/>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234">
    <w:name w:val="样式 标题 2 + (中文) 宋体 (西文)五号 非(西文)粗体 段前: 6 磅 段后: 3 磅 行距: 1.5 倍行距"/>
    <w:basedOn w:val="6"/>
    <w:qFormat/>
    <w:uiPriority w:val="0"/>
    <w:pPr>
      <w:adjustRightInd w:val="0"/>
      <w:spacing w:before="120" w:after="60" w:line="360" w:lineRule="auto"/>
      <w:jc w:val="center"/>
      <w:textAlignment w:val="baseline"/>
    </w:pPr>
    <w:rPr>
      <w:rFonts w:eastAsia="宋体"/>
      <w:kern w:val="0"/>
      <w:sz w:val="24"/>
      <w:szCs w:val="24"/>
    </w:rPr>
  </w:style>
  <w:style w:type="paragraph" w:customStyle="1" w:styleId="235">
    <w:name w:val="List Paragraph1"/>
    <w:basedOn w:val="1"/>
    <w:qFormat/>
    <w:uiPriority w:val="0"/>
    <w:pPr>
      <w:ind w:firstLine="420" w:firstLineChars="200"/>
    </w:pPr>
    <w:rPr>
      <w:rFonts w:ascii="Calibri" w:hAnsi="Calibri" w:cs="Calibri"/>
    </w:rPr>
  </w:style>
  <w:style w:type="paragraph" w:customStyle="1" w:styleId="236">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37">
    <w:name w:val="Char Char Char1 Char1"/>
    <w:basedOn w:val="1"/>
    <w:qFormat/>
    <w:uiPriority w:val="0"/>
  </w:style>
  <w:style w:type="paragraph" w:customStyle="1" w:styleId="238">
    <w:name w:val="样式1"/>
    <w:basedOn w:val="5"/>
    <w:next w:val="1"/>
    <w:qFormat/>
    <w:uiPriority w:val="0"/>
    <w:pPr>
      <w:spacing w:line="240" w:lineRule="auto"/>
      <w:jc w:val="center"/>
    </w:pPr>
    <w:rPr>
      <w:rFonts w:eastAsia="黑体"/>
      <w:sz w:val="36"/>
      <w:szCs w:val="36"/>
    </w:rPr>
  </w:style>
  <w:style w:type="paragraph" w:customStyle="1" w:styleId="239">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0">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41">
    <w:name w:val="font13"/>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42">
    <w:name w:val="五号正文（标准）"/>
    <w:basedOn w:val="1"/>
    <w:qFormat/>
    <w:uiPriority w:val="0"/>
    <w:pPr>
      <w:spacing w:line="360" w:lineRule="auto"/>
      <w:ind w:firstLine="600" w:firstLineChars="200"/>
    </w:pPr>
    <w:rPr>
      <w:rFonts w:ascii="仿宋_GB2312" w:hAnsi="宋体" w:eastAsia="仿宋_GB2312" w:cs="仿宋_GB2312"/>
      <w:b/>
      <w:bCs/>
      <w:sz w:val="30"/>
      <w:szCs w:val="30"/>
    </w:rPr>
  </w:style>
  <w:style w:type="paragraph" w:customStyle="1" w:styleId="243">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44">
    <w:name w:val="Char Char Char Char Char Char Char11"/>
    <w:basedOn w:val="1"/>
    <w:qFormat/>
    <w:uiPriority w:val="0"/>
    <w:pPr>
      <w:widowControl/>
      <w:spacing w:line="400" w:lineRule="exact"/>
      <w:jc w:val="center"/>
    </w:pPr>
    <w:rPr>
      <w:rFonts w:ascii="Verdana" w:hAnsi="Verdana" w:cs="Verdana"/>
      <w:kern w:val="0"/>
      <w:lang w:eastAsia="en-US"/>
    </w:rPr>
  </w:style>
  <w:style w:type="paragraph" w:customStyle="1" w:styleId="245">
    <w:name w:val="xl165"/>
    <w:basedOn w:val="1"/>
    <w:qFormat/>
    <w:uiPriority w:val="0"/>
    <w:pPr>
      <w:widowControl/>
      <w:pBdr>
        <w:bottom w:val="single" w:color="auto" w:sz="4" w:space="0"/>
      </w:pBdr>
      <w:spacing w:before="100" w:beforeAutospacing="1" w:after="100" w:afterAutospacing="1"/>
      <w:jc w:val="left"/>
    </w:pPr>
    <w:rPr>
      <w:rFonts w:ascii="宋体" w:hAnsi="宋体" w:cs="宋体"/>
      <w:kern w:val="0"/>
      <w:sz w:val="18"/>
      <w:szCs w:val="18"/>
    </w:rPr>
  </w:style>
  <w:style w:type="paragraph" w:customStyle="1" w:styleId="246">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47">
    <w:name w:val="重点说明"/>
    <w:basedOn w:val="1"/>
    <w:qFormat/>
    <w:uiPriority w:val="0"/>
    <w:pPr>
      <w:widowControl/>
      <w:spacing w:before="40" w:after="40" w:line="400" w:lineRule="exact"/>
      <w:ind w:left="360" w:hanging="360"/>
    </w:pPr>
    <w:rPr>
      <w:rFonts w:ascii="宋体" w:cs="宋体"/>
      <w:b/>
      <w:bCs/>
      <w:spacing w:val="6"/>
      <w:sz w:val="28"/>
      <w:szCs w:val="28"/>
    </w:rPr>
  </w:style>
  <w:style w:type="paragraph" w:customStyle="1" w:styleId="248">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249">
    <w:name w:val="31a（正文）章标题"/>
    <w:qFormat/>
    <w:uiPriority w:val="0"/>
    <w:pPr>
      <w:adjustRightInd w:val="0"/>
      <w:snapToGrid w:val="0"/>
      <w:spacing w:beforeLines="50" w:afterLines="50"/>
      <w:ind w:firstLine="315" w:firstLineChars="150"/>
      <w:jc w:val="both"/>
      <w:outlineLvl w:val="0"/>
    </w:pPr>
    <w:rPr>
      <w:rFonts w:ascii="楷体_GB2312" w:hAnsi="仿宋_GB2312" w:eastAsia="宋体" w:cs="楷体_GB2312"/>
      <w:sz w:val="21"/>
      <w:szCs w:val="21"/>
      <w:lang w:val="en-US" w:eastAsia="zh-CN" w:bidi="ar-SA"/>
    </w:rPr>
  </w:style>
  <w:style w:type="paragraph" w:customStyle="1" w:styleId="250">
    <w:name w:val="xl140"/>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51">
    <w:name w:val="默认段落字体 Para Char Char Char Char Char Char Char Char Char Char"/>
    <w:basedOn w:val="1"/>
    <w:qFormat/>
    <w:uiPriority w:val="0"/>
    <w:rPr>
      <w:rFonts w:ascii="Tahoma" w:hAnsi="Tahoma" w:cs="Tahoma"/>
      <w:sz w:val="24"/>
      <w:szCs w:val="24"/>
    </w:rPr>
  </w:style>
  <w:style w:type="paragraph" w:customStyle="1" w:styleId="252">
    <w:name w:val="Char Char Char1 Char2"/>
    <w:basedOn w:val="1"/>
    <w:qFormat/>
    <w:uiPriority w:val="0"/>
  </w:style>
  <w:style w:type="paragraph" w:customStyle="1" w:styleId="253">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54">
    <w:name w:val="xl160"/>
    <w:basedOn w:val="1"/>
    <w:qFormat/>
    <w:uiPriority w:val="0"/>
    <w:pPr>
      <w:widowControl/>
      <w:pBdr>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255">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0066CC"/>
      <w:spacing w:before="100" w:beforeAutospacing="1" w:after="100" w:afterAutospacing="1"/>
      <w:jc w:val="center"/>
    </w:pPr>
    <w:rPr>
      <w:rFonts w:ascii="宋体" w:hAnsi="宋体" w:cs="宋体"/>
      <w:kern w:val="0"/>
      <w:sz w:val="20"/>
      <w:szCs w:val="20"/>
    </w:rPr>
  </w:style>
  <w:style w:type="paragraph" w:customStyle="1" w:styleId="256">
    <w:name w:val="_Style 7"/>
    <w:basedOn w:val="1"/>
    <w:next w:val="1"/>
    <w:qFormat/>
    <w:uiPriority w:val="0"/>
    <w:pPr>
      <w:widowControl/>
      <w:spacing w:after="160" w:line="240" w:lineRule="exact"/>
      <w:jc w:val="left"/>
    </w:pPr>
  </w:style>
  <w:style w:type="paragraph" w:customStyle="1" w:styleId="257">
    <w:name w:val="默认段落字体 Para Char Char Char Char"/>
    <w:basedOn w:val="1"/>
    <w:qFormat/>
    <w:uiPriority w:val="0"/>
  </w:style>
  <w:style w:type="paragraph" w:customStyle="1" w:styleId="258">
    <w:name w:val="xl153"/>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kern w:val="0"/>
      <w:sz w:val="20"/>
      <w:szCs w:val="20"/>
    </w:rPr>
  </w:style>
  <w:style w:type="paragraph" w:customStyle="1" w:styleId="259">
    <w:name w:val="Blockquote"/>
    <w:basedOn w:val="1"/>
    <w:qFormat/>
    <w:uiPriority w:val="0"/>
    <w:pPr>
      <w:autoSpaceDE w:val="0"/>
      <w:autoSpaceDN w:val="0"/>
      <w:adjustRightInd w:val="0"/>
      <w:spacing w:before="100" w:after="100"/>
      <w:ind w:left="360" w:right="360"/>
      <w:jc w:val="left"/>
    </w:pPr>
    <w:rPr>
      <w:kern w:val="0"/>
      <w:sz w:val="24"/>
      <w:szCs w:val="24"/>
    </w:rPr>
  </w:style>
  <w:style w:type="paragraph" w:customStyle="1" w:styleId="260">
    <w:name w:val="修订1"/>
    <w:semiHidden/>
    <w:qFormat/>
    <w:uiPriority w:val="99"/>
    <w:rPr>
      <w:rFonts w:ascii="Times New Roman" w:hAnsi="Times New Roman" w:eastAsia="宋体" w:cs="Times New Roman"/>
      <w:kern w:val="2"/>
      <w:sz w:val="21"/>
      <w:szCs w:val="21"/>
      <w:lang w:val="en-US" w:eastAsia="zh-CN" w:bidi="ar-SA"/>
    </w:rPr>
  </w:style>
  <w:style w:type="paragraph" w:customStyle="1" w:styleId="261">
    <w:name w:val="文档正文"/>
    <w:basedOn w:val="1"/>
    <w:qFormat/>
    <w:uiPriority w:val="0"/>
    <w:pPr>
      <w:adjustRightInd w:val="0"/>
      <w:spacing w:line="480" w:lineRule="atLeast"/>
      <w:ind w:firstLine="567"/>
    </w:pPr>
    <w:rPr>
      <w:rFonts w:ascii="长城仿宋" w:cs="长城仿宋"/>
      <w:kern w:val="0"/>
      <w:sz w:val="24"/>
      <w:szCs w:val="24"/>
    </w:rPr>
  </w:style>
  <w:style w:type="paragraph" w:customStyle="1" w:styleId="2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63">
    <w:name w:val="样式 (中文) 黑体 小二 行距: 1.5 倍行距"/>
    <w:basedOn w:val="1"/>
    <w:qFormat/>
    <w:uiPriority w:val="0"/>
    <w:pPr>
      <w:spacing w:line="360" w:lineRule="auto"/>
    </w:pPr>
    <w:rPr>
      <w:rFonts w:eastAsia="黑体"/>
      <w:sz w:val="36"/>
      <w:szCs w:val="36"/>
    </w:rPr>
  </w:style>
  <w:style w:type="paragraph" w:customStyle="1" w:styleId="264">
    <w:name w:val="正文段"/>
    <w:basedOn w:val="1"/>
    <w:qFormat/>
    <w:uiPriority w:val="0"/>
    <w:pPr>
      <w:tabs>
        <w:tab w:val="left" w:pos="720"/>
      </w:tabs>
      <w:adjustRightInd w:val="0"/>
      <w:spacing w:after="240" w:line="312" w:lineRule="atLeast"/>
      <w:ind w:firstLine="425"/>
      <w:textAlignment w:val="baseline"/>
    </w:pPr>
    <w:rPr>
      <w:sz w:val="24"/>
      <w:szCs w:val="24"/>
    </w:rPr>
  </w:style>
  <w:style w:type="paragraph" w:customStyle="1" w:styleId="265">
    <w:name w:val="xl141"/>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66">
    <w:name w:val="xl14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267">
    <w:name w:val="样式4"/>
    <w:basedOn w:val="1"/>
    <w:next w:val="36"/>
    <w:qFormat/>
    <w:uiPriority w:val="0"/>
    <w:pPr>
      <w:tabs>
        <w:tab w:val="left" w:pos="8300"/>
      </w:tabs>
      <w:ind w:right="13"/>
      <w:jc w:val="right"/>
    </w:pPr>
    <w:rPr>
      <w:rFonts w:eastAsia="仿宋_GB2312"/>
      <w:sz w:val="28"/>
      <w:szCs w:val="28"/>
    </w:rPr>
  </w:style>
  <w:style w:type="paragraph" w:customStyle="1" w:styleId="268">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69">
    <w:name w:val="Char Char Char Char Char Char Char Char Char Char Char Char Char Char Char Char Char Char Char1"/>
    <w:basedOn w:val="1"/>
    <w:qFormat/>
    <w:uiPriority w:val="0"/>
    <w:pPr>
      <w:widowControl/>
      <w:spacing w:line="400" w:lineRule="exact"/>
      <w:jc w:val="center"/>
    </w:pPr>
    <w:rPr>
      <w:rFonts w:ascii="Verdana" w:hAnsi="Verdana" w:cs="Verdana"/>
      <w:kern w:val="0"/>
      <w:lang w:eastAsia="en-US"/>
    </w:rPr>
  </w:style>
  <w:style w:type="paragraph" w:customStyle="1" w:styleId="270">
    <w:name w:val="xl135"/>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71">
    <w:name w:val="样式 宋体 首行缩进:  2 字符 段前: 7.8 磅 段后: 7.8 磅"/>
    <w:basedOn w:val="1"/>
    <w:qFormat/>
    <w:uiPriority w:val="0"/>
    <w:pPr>
      <w:adjustRightInd w:val="0"/>
      <w:snapToGrid w:val="0"/>
      <w:spacing w:before="156" w:after="156" w:line="360" w:lineRule="auto"/>
      <w:ind w:firstLine="200" w:firstLineChars="200"/>
    </w:pPr>
    <w:rPr>
      <w:rFonts w:ascii="宋体" w:hAnsi="宋体" w:cs="宋体"/>
    </w:rPr>
  </w:style>
  <w:style w:type="paragraph" w:customStyle="1" w:styleId="272">
    <w:name w:val="样式5"/>
    <w:basedOn w:val="238"/>
    <w:qFormat/>
    <w:uiPriority w:val="0"/>
    <w:pPr>
      <w:spacing w:line="360" w:lineRule="auto"/>
    </w:pPr>
  </w:style>
  <w:style w:type="paragraph" w:customStyle="1" w:styleId="273">
    <w:name w:val="Char Char2 Char Char Char Char"/>
    <w:basedOn w:val="1"/>
    <w:qFormat/>
    <w:uiPriority w:val="0"/>
    <w:rPr>
      <w:rFonts w:ascii="Tahoma" w:hAnsi="Tahoma" w:cs="Tahoma"/>
      <w:sz w:val="24"/>
      <w:szCs w:val="24"/>
    </w:rPr>
  </w:style>
  <w:style w:type="paragraph" w:customStyle="1" w:styleId="274">
    <w:name w:val="xl169"/>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宋体" w:hAnsi="宋体" w:cs="宋体"/>
      <w:kern w:val="0"/>
      <w:sz w:val="20"/>
      <w:szCs w:val="20"/>
    </w:rPr>
  </w:style>
  <w:style w:type="paragraph" w:customStyle="1" w:styleId="275">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6">
    <w:name w:val="List Paragraph2"/>
    <w:basedOn w:val="1"/>
    <w:qFormat/>
    <w:uiPriority w:val="99"/>
    <w:pPr>
      <w:ind w:firstLine="420" w:firstLineChars="200"/>
    </w:pPr>
    <w:rPr>
      <w:rFonts w:ascii="Calibri" w:hAnsi="Calibri" w:cs="Calibri"/>
    </w:rPr>
  </w:style>
  <w:style w:type="paragraph" w:customStyle="1" w:styleId="277">
    <w:name w:val="Char Char Char Char Char Char Char Char Char Char1"/>
    <w:basedOn w:val="1"/>
    <w:qFormat/>
    <w:uiPriority w:val="0"/>
    <w:pPr>
      <w:widowControl/>
      <w:spacing w:line="400" w:lineRule="exact"/>
      <w:jc w:val="center"/>
    </w:pPr>
    <w:rPr>
      <w:rFonts w:ascii="Verdana" w:hAnsi="Verdana" w:cs="Verdana"/>
      <w:kern w:val="0"/>
      <w:lang w:eastAsia="en-US"/>
    </w:rPr>
  </w:style>
  <w:style w:type="paragraph" w:customStyle="1" w:styleId="278">
    <w:name w:val="华文细黑1"/>
    <w:basedOn w:val="1"/>
    <w:qFormat/>
    <w:uiPriority w:val="0"/>
    <w:pPr>
      <w:widowControl/>
      <w:spacing w:line="300" w:lineRule="auto"/>
      <w:ind w:firstLine="200" w:firstLineChars="200"/>
      <w:jc w:val="left"/>
    </w:pPr>
    <w:rPr>
      <w:rFonts w:eastAsia="华文细黑"/>
      <w:kern w:val="0"/>
      <w:sz w:val="24"/>
      <w:szCs w:val="24"/>
    </w:rPr>
  </w:style>
  <w:style w:type="paragraph" w:customStyle="1" w:styleId="279">
    <w:name w:val="xl15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80">
    <w:name w:val="Char Char2 Char Char Char Char1"/>
    <w:basedOn w:val="1"/>
    <w:qFormat/>
    <w:uiPriority w:val="0"/>
    <w:rPr>
      <w:rFonts w:ascii="Tahoma" w:hAnsi="Tahoma" w:cs="Tahoma"/>
      <w:sz w:val="24"/>
      <w:szCs w:val="24"/>
    </w:rPr>
  </w:style>
  <w:style w:type="paragraph" w:customStyle="1" w:styleId="281">
    <w:name w:val="Char Char"/>
    <w:basedOn w:val="1"/>
    <w:next w:val="1"/>
    <w:qFormat/>
    <w:uiPriority w:val="0"/>
    <w:pPr>
      <w:widowControl/>
      <w:spacing w:after="160" w:line="240" w:lineRule="exact"/>
      <w:jc w:val="left"/>
    </w:pPr>
  </w:style>
  <w:style w:type="paragraph" w:customStyle="1" w:styleId="282">
    <w:name w:val="Char Char Char1 Char Char Char Char Char Char Char1"/>
    <w:basedOn w:val="1"/>
    <w:qFormat/>
    <w:uiPriority w:val="0"/>
    <w:rPr>
      <w:rFonts w:ascii="Tahoma" w:hAnsi="Tahoma" w:cs="Tahoma"/>
      <w:sz w:val="24"/>
      <w:szCs w:val="24"/>
    </w:rPr>
  </w:style>
  <w:style w:type="paragraph" w:customStyle="1" w:styleId="283">
    <w:name w:val="Char Char1 Char Char Char1"/>
    <w:basedOn w:val="18"/>
    <w:qFormat/>
    <w:uiPriority w:val="0"/>
    <w:rPr>
      <w:sz w:val="21"/>
      <w:szCs w:val="21"/>
    </w:rPr>
  </w:style>
  <w:style w:type="paragraph" w:customStyle="1" w:styleId="284">
    <w:name w:val="flType"/>
    <w:basedOn w:val="1"/>
    <w:qFormat/>
    <w:uiPriority w:val="0"/>
    <w:pPr>
      <w:adjustRightInd w:val="0"/>
      <w:spacing w:after="284" w:line="113" w:lineRule="atLeast"/>
      <w:jc w:val="center"/>
    </w:pPr>
    <w:rPr>
      <w:kern w:val="0"/>
      <w:sz w:val="24"/>
      <w:szCs w:val="24"/>
    </w:rPr>
  </w:style>
  <w:style w:type="paragraph" w:customStyle="1" w:styleId="285">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character" w:customStyle="1" w:styleId="286">
    <w:name w:val="批注文字 Char2"/>
    <w:qFormat/>
    <w:uiPriority w:val="0"/>
    <w:rPr>
      <w:rFonts w:eastAsia="宋体"/>
      <w:kern w:val="2"/>
      <w:sz w:val="21"/>
      <w:szCs w:val="24"/>
      <w:lang w:val="en-US" w:eastAsia="zh-CN" w:bidi="ar-SA"/>
    </w:rPr>
  </w:style>
  <w:style w:type="paragraph" w:customStyle="1" w:styleId="287">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88">
    <w:name w:val="尾注文本 Char"/>
    <w:basedOn w:val="53"/>
    <w:link w:val="32"/>
    <w:qFormat/>
    <w:uiPriority w:val="0"/>
    <w:rPr>
      <w:kern w:val="2"/>
      <w:sz w:val="21"/>
      <w:szCs w:val="24"/>
      <w:lang w:val="zh-CN"/>
    </w:rPr>
  </w:style>
  <w:style w:type="character" w:customStyle="1" w:styleId="289">
    <w:name w:val="脚注文本 Char"/>
    <w:basedOn w:val="53"/>
    <w:link w:val="40"/>
    <w:qFormat/>
    <w:uiPriority w:val="0"/>
    <w:rPr>
      <w:sz w:val="18"/>
      <w:lang w:val="zh-CN"/>
    </w:rPr>
  </w:style>
  <w:style w:type="paragraph" w:customStyle="1" w:styleId="290">
    <w:name w:val="目录 61"/>
    <w:basedOn w:val="1"/>
    <w:next w:val="1"/>
    <w:qFormat/>
    <w:uiPriority w:val="0"/>
    <w:pPr>
      <w:ind w:left="2100"/>
    </w:pPr>
    <w:rPr>
      <w:rFonts w:ascii="Calibri" w:hAnsi="宋体" w:cs="宋体"/>
      <w:kern w:val="0"/>
      <w:sz w:val="24"/>
      <w:szCs w:val="20"/>
    </w:rPr>
  </w:style>
  <w:style w:type="character" w:customStyle="1" w:styleId="291">
    <w:name w:val="HTML 预设格式 Char1"/>
    <w:qFormat/>
    <w:uiPriority w:val="0"/>
    <w:rPr>
      <w:rFonts w:ascii="Arial" w:hAnsi="宋体" w:cs="宋体"/>
      <w:sz w:val="24"/>
    </w:rPr>
  </w:style>
  <w:style w:type="paragraph" w:customStyle="1" w:styleId="292">
    <w:name w:val="目录 91"/>
    <w:basedOn w:val="1"/>
    <w:next w:val="1"/>
    <w:qFormat/>
    <w:uiPriority w:val="0"/>
    <w:pPr>
      <w:ind w:left="3360"/>
    </w:pPr>
    <w:rPr>
      <w:rFonts w:ascii="Calibri" w:hAnsi="宋体" w:cs="宋体"/>
      <w:kern w:val="0"/>
      <w:sz w:val="24"/>
      <w:szCs w:val="20"/>
    </w:rPr>
  </w:style>
  <w:style w:type="character" w:customStyle="1" w:styleId="293">
    <w:name w:val="正文首行缩进 Char1"/>
    <w:qFormat/>
    <w:uiPriority w:val="0"/>
    <w:rPr>
      <w:rFonts w:hAnsi="宋体" w:cs="宋体"/>
      <w:sz w:val="21"/>
      <w:lang w:val="en-US" w:eastAsia="zh-CN" w:bidi="ar-SA"/>
    </w:rPr>
  </w:style>
  <w:style w:type="character" w:customStyle="1" w:styleId="294">
    <w:name w:val="Char Char Char Char Char Char1"/>
    <w:qFormat/>
    <w:uiPriority w:val="0"/>
    <w:rPr>
      <w:rFonts w:eastAsia="宋体"/>
      <w:kern w:val="2"/>
      <w:sz w:val="21"/>
      <w:szCs w:val="24"/>
      <w:lang w:val="en-US" w:eastAsia="zh-CN" w:bidi="ar-SA"/>
    </w:rPr>
  </w:style>
  <w:style w:type="character" w:customStyle="1" w:styleId="295">
    <w:name w:val="Plain Text Char"/>
    <w:qFormat/>
    <w:uiPriority w:val="0"/>
    <w:rPr>
      <w:rFonts w:ascii="宋体" w:hAnsi="Courier New" w:eastAsia="宋体"/>
      <w:sz w:val="24"/>
      <w:lang w:bidi="ar-SA"/>
    </w:rPr>
  </w:style>
  <w:style w:type="character" w:customStyle="1" w:styleId="296">
    <w:name w:val="Char Char6"/>
    <w:qFormat/>
    <w:uiPriority w:val="0"/>
    <w:rPr>
      <w:rFonts w:eastAsia="宋体"/>
      <w:b/>
      <w:bCs/>
      <w:kern w:val="44"/>
      <w:sz w:val="32"/>
      <w:szCs w:val="44"/>
      <w:lang w:val="en-US" w:eastAsia="zh-CN" w:bidi="ar-SA"/>
    </w:rPr>
  </w:style>
  <w:style w:type="character" w:customStyle="1" w:styleId="297">
    <w:name w:val="正文（首行缩进两字） Char Char Char Char Char Char Char Char Char Char Char Char Char Char Char Char Char Char Char Char Char Char Char Char Char Char Char Char Char Char Char Char Char Char Char Char Char Char Char Char Char Char Char Char Char Char"/>
    <w:qFormat/>
    <w:uiPriority w:val="0"/>
    <w:rPr>
      <w:sz w:val="20"/>
    </w:rPr>
  </w:style>
  <w:style w:type="character" w:customStyle="1" w:styleId="298">
    <w:name w:val="页眉 字符"/>
    <w:qFormat/>
    <w:uiPriority w:val="0"/>
    <w:rPr>
      <w:kern w:val="2"/>
      <w:sz w:val="18"/>
      <w:szCs w:val="18"/>
      <w:lang w:bidi="ar-SA"/>
    </w:rPr>
  </w:style>
  <w:style w:type="character" w:customStyle="1" w:styleId="299">
    <w:name w:val="明显引用 Char1"/>
    <w:qFormat/>
    <w:uiPriority w:val="0"/>
    <w:rPr>
      <w:rFonts w:ascii="Times New Roman" w:hAnsi="Times New Roman" w:eastAsia="宋体" w:cs="Times New Roman"/>
      <w:b/>
      <w:bCs/>
      <w:i/>
      <w:iCs/>
      <w:color w:val="4F81BD"/>
      <w:szCs w:val="24"/>
    </w:rPr>
  </w:style>
  <w:style w:type="character" w:customStyle="1" w:styleId="300">
    <w:name w:val="正文首行缩进 Char2"/>
    <w:qFormat/>
    <w:uiPriority w:val="0"/>
    <w:rPr>
      <w:rFonts w:eastAsia="宋体"/>
      <w:kern w:val="2"/>
      <w:sz w:val="21"/>
      <w:szCs w:val="24"/>
      <w:lang w:val="en-US" w:eastAsia="zh-CN" w:bidi="ar-SA"/>
    </w:rPr>
  </w:style>
  <w:style w:type="character" w:customStyle="1" w:styleId="301">
    <w:name w:val="不明显参考1"/>
    <w:qFormat/>
    <w:uiPriority w:val="0"/>
    <w:rPr>
      <w:smallCaps/>
      <w:color w:val="C0504D"/>
      <w:u w:val="single"/>
    </w:rPr>
  </w:style>
  <w:style w:type="character" w:customStyle="1" w:styleId="302">
    <w:name w:val="样式13 Char"/>
    <w:qFormat/>
    <w:uiPriority w:val="0"/>
    <w:rPr>
      <w:sz w:val="20"/>
    </w:rPr>
  </w:style>
  <w:style w:type="character" w:customStyle="1" w:styleId="303">
    <w:name w:val="明显引用 Char2"/>
    <w:link w:val="304"/>
    <w:qFormat/>
    <w:uiPriority w:val="0"/>
    <w:rPr>
      <w:b/>
      <w:i/>
      <w:color w:val="4F81BD"/>
      <w:kern w:val="2"/>
      <w:sz w:val="22"/>
    </w:rPr>
  </w:style>
  <w:style w:type="paragraph" w:customStyle="1" w:styleId="304">
    <w:name w:val="明显引用2"/>
    <w:basedOn w:val="1"/>
    <w:next w:val="1"/>
    <w:link w:val="303"/>
    <w:qFormat/>
    <w:uiPriority w:val="0"/>
    <w:pPr>
      <w:pBdr>
        <w:bottom w:val="single" w:color="4F81BD" w:sz="4" w:space="4"/>
      </w:pBdr>
      <w:spacing w:before="200" w:after="280"/>
      <w:ind w:left="936" w:right="936"/>
    </w:pPr>
    <w:rPr>
      <w:b/>
      <w:i/>
      <w:color w:val="4F81BD"/>
      <w:sz w:val="22"/>
      <w:szCs w:val="20"/>
    </w:rPr>
  </w:style>
  <w:style w:type="character" w:customStyle="1" w:styleId="305">
    <w:name w:val="Body Text Indent Char"/>
    <w:qFormat/>
    <w:uiPriority w:val="0"/>
    <w:rPr>
      <w:rFonts w:ascii="宋体" w:hAnsi="宋体" w:eastAsia="宋体"/>
      <w:kern w:val="2"/>
      <w:sz w:val="21"/>
      <w:lang w:val="en-US" w:eastAsia="zh-CN" w:bidi="ar-SA"/>
    </w:rPr>
  </w:style>
  <w:style w:type="character" w:customStyle="1" w:styleId="306">
    <w:name w:val="Heading 4 Char"/>
    <w:qFormat/>
    <w:uiPriority w:val="0"/>
    <w:rPr>
      <w:rFonts w:ascii="Arial" w:hAnsi="Arial" w:eastAsia="宋体"/>
      <w:b/>
      <w:bCs/>
      <w:kern w:val="2"/>
      <w:sz w:val="21"/>
      <w:szCs w:val="28"/>
      <w:lang w:val="en-US" w:eastAsia="zh-CN" w:bidi="ar-SA"/>
    </w:rPr>
  </w:style>
  <w:style w:type="character" w:customStyle="1" w:styleId="307">
    <w:name w:val="样式12 Char"/>
    <w:qFormat/>
    <w:uiPriority w:val="0"/>
    <w:rPr>
      <w:sz w:val="20"/>
    </w:rPr>
  </w:style>
  <w:style w:type="character" w:customStyle="1" w:styleId="308">
    <w:name w:val="正文文本缩进 3 Char2"/>
    <w:qFormat/>
    <w:uiPriority w:val="0"/>
    <w:rPr>
      <w:kern w:val="2"/>
      <w:sz w:val="16"/>
      <w:szCs w:val="16"/>
    </w:rPr>
  </w:style>
  <w:style w:type="character" w:customStyle="1" w:styleId="309">
    <w:name w:val="样式3 Char Char"/>
    <w:qFormat/>
    <w:uiPriority w:val="0"/>
    <w:rPr>
      <w:b/>
      <w:sz w:val="20"/>
    </w:rPr>
  </w:style>
  <w:style w:type="character" w:customStyle="1" w:styleId="310">
    <w:name w:val="Header Char"/>
    <w:qFormat/>
    <w:uiPriority w:val="0"/>
    <w:rPr>
      <w:rFonts w:eastAsia="宋体"/>
      <w:kern w:val="2"/>
      <w:sz w:val="18"/>
      <w:szCs w:val="18"/>
      <w:lang w:val="en-US" w:eastAsia="zh-CN" w:bidi="ar-SA"/>
    </w:rPr>
  </w:style>
  <w:style w:type="character" w:customStyle="1" w:styleId="311">
    <w:name w:val="Char Char13"/>
    <w:qFormat/>
    <w:uiPriority w:val="0"/>
    <w:rPr>
      <w:b/>
      <w:sz w:val="20"/>
    </w:rPr>
  </w:style>
  <w:style w:type="character" w:customStyle="1" w:styleId="312">
    <w:name w:val="称呼 Char1"/>
    <w:qFormat/>
    <w:uiPriority w:val="0"/>
    <w:rPr>
      <w:kern w:val="2"/>
      <w:sz w:val="21"/>
      <w:szCs w:val="24"/>
    </w:rPr>
  </w:style>
  <w:style w:type="character" w:customStyle="1" w:styleId="313">
    <w:name w:val="仿宋，小四"/>
    <w:qFormat/>
    <w:uiPriority w:val="0"/>
    <w:rPr>
      <w:sz w:val="20"/>
    </w:rPr>
  </w:style>
  <w:style w:type="character" w:customStyle="1" w:styleId="314">
    <w:name w:val="明显参考1"/>
    <w:qFormat/>
    <w:uiPriority w:val="32"/>
    <w:rPr>
      <w:b/>
      <w:bCs/>
      <w:smallCaps/>
      <w:color w:val="C0504D"/>
      <w:spacing w:val="5"/>
      <w:u w:val="single"/>
    </w:rPr>
  </w:style>
  <w:style w:type="character" w:customStyle="1" w:styleId="315">
    <w:name w:val="Char Char91"/>
    <w:qFormat/>
    <w:uiPriority w:val="0"/>
    <w:rPr>
      <w:rFonts w:eastAsia="宋体"/>
      <w:b/>
      <w:bCs/>
      <w:kern w:val="44"/>
      <w:sz w:val="32"/>
      <w:szCs w:val="44"/>
      <w:lang w:val="en-US" w:eastAsia="zh-CN" w:bidi="ar-SA"/>
    </w:rPr>
  </w:style>
  <w:style w:type="character" w:customStyle="1" w:styleId="316">
    <w:name w:val="level1"/>
    <w:qFormat/>
    <w:uiPriority w:val="0"/>
    <w:rPr>
      <w:sz w:val="20"/>
    </w:rPr>
  </w:style>
  <w:style w:type="character" w:customStyle="1" w:styleId="317">
    <w:name w:val="页脚 字符"/>
    <w:qFormat/>
    <w:uiPriority w:val="99"/>
    <w:rPr>
      <w:kern w:val="2"/>
      <w:sz w:val="18"/>
      <w:szCs w:val="18"/>
      <w:lang w:bidi="ar-SA"/>
    </w:rPr>
  </w:style>
  <w:style w:type="paragraph" w:customStyle="1" w:styleId="318">
    <w:name w:val="标题4"/>
    <w:basedOn w:val="6"/>
    <w:next w:val="25"/>
    <w:qFormat/>
    <w:uiPriority w:val="0"/>
    <w:pPr>
      <w:spacing w:before="60" w:after="60" w:line="413" w:lineRule="auto"/>
    </w:pPr>
    <w:rPr>
      <w:rFonts w:eastAsia="宋体" w:cs="Times New Roman"/>
      <w:kern w:val="0"/>
      <w:sz w:val="24"/>
      <w:lang w:val="zh-CN"/>
    </w:rPr>
  </w:style>
  <w:style w:type="character" w:customStyle="1" w:styleId="319">
    <w:name w:val="样式9 Char"/>
    <w:qFormat/>
    <w:uiPriority w:val="0"/>
    <w:rPr>
      <w:sz w:val="20"/>
    </w:rPr>
  </w:style>
  <w:style w:type="character" w:customStyle="1" w:styleId="320">
    <w:name w:val="Char Char1"/>
    <w:qFormat/>
    <w:uiPriority w:val="0"/>
    <w:rPr>
      <w:sz w:val="20"/>
    </w:rPr>
  </w:style>
  <w:style w:type="character" w:customStyle="1" w:styleId="321">
    <w:name w:val="未处理的提及"/>
    <w:unhideWhenUsed/>
    <w:qFormat/>
    <w:uiPriority w:val="99"/>
    <w:rPr>
      <w:color w:val="605E5C"/>
      <w:shd w:val="clear" w:color="auto" w:fill="E1DFDD"/>
    </w:rPr>
  </w:style>
  <w:style w:type="character" w:customStyle="1" w:styleId="322">
    <w:name w:val="正文首行缩进 Char3"/>
    <w:qFormat/>
    <w:uiPriority w:val="0"/>
    <w:rPr>
      <w:rFonts w:eastAsia="宋体"/>
      <w:kern w:val="2"/>
      <w:sz w:val="21"/>
      <w:szCs w:val="24"/>
      <w:lang w:val="en-US" w:eastAsia="zh-CN" w:bidi="ar-SA"/>
    </w:rPr>
  </w:style>
  <w:style w:type="character" w:customStyle="1" w:styleId="323">
    <w:name w:val="标题4 Char1"/>
    <w:qFormat/>
    <w:uiPriority w:val="0"/>
    <w:rPr>
      <w:rFonts w:eastAsia="宋体"/>
      <w:sz w:val="24"/>
      <w:szCs w:val="24"/>
      <w:lang w:val="en-US" w:eastAsia="zh-CN" w:bidi="ar-SA"/>
    </w:rPr>
  </w:style>
  <w:style w:type="character" w:customStyle="1" w:styleId="324">
    <w:name w:val="标题 Char1"/>
    <w:qFormat/>
    <w:uiPriority w:val="0"/>
    <w:rPr>
      <w:rFonts w:ascii="Cambria" w:hAnsi="Cambria" w:eastAsia="宋体" w:cs="Times New Roman"/>
      <w:b/>
      <w:bCs/>
      <w:sz w:val="32"/>
      <w:szCs w:val="32"/>
    </w:rPr>
  </w:style>
  <w:style w:type="character" w:customStyle="1" w:styleId="325">
    <w:name w:val="Balloon Text Char"/>
    <w:qFormat/>
    <w:uiPriority w:val="0"/>
    <w:rPr>
      <w:sz w:val="18"/>
      <w:lang w:bidi="ar-SA"/>
    </w:rPr>
  </w:style>
  <w:style w:type="character" w:customStyle="1" w:styleId="326">
    <w:name w:val="Char Char7"/>
    <w:qFormat/>
    <w:uiPriority w:val="0"/>
    <w:rPr>
      <w:sz w:val="20"/>
    </w:rPr>
  </w:style>
  <w:style w:type="character" w:customStyle="1" w:styleId="327">
    <w:name w:val="正文文本 Char2"/>
    <w:qFormat/>
    <w:uiPriority w:val="0"/>
    <w:rPr>
      <w:sz w:val="20"/>
    </w:rPr>
  </w:style>
  <w:style w:type="character" w:customStyle="1" w:styleId="328">
    <w:name w:val="批注框文本 Char1"/>
    <w:qFormat/>
    <w:uiPriority w:val="0"/>
    <w:rPr>
      <w:rFonts w:ascii="Times New Roman" w:hAnsi="Times New Roman" w:eastAsia="宋体" w:cs="Times New Roman"/>
      <w:sz w:val="18"/>
      <w:szCs w:val="18"/>
    </w:rPr>
  </w:style>
  <w:style w:type="character" w:customStyle="1" w:styleId="329">
    <w:name w:val="Body Text Indent 2 Char"/>
    <w:qFormat/>
    <w:uiPriority w:val="0"/>
    <w:rPr>
      <w:rFonts w:eastAsia="宋体"/>
      <w:kern w:val="2"/>
      <w:sz w:val="21"/>
      <w:szCs w:val="24"/>
      <w:lang w:val="en-US" w:eastAsia="zh-CN" w:bidi="ar-SA"/>
    </w:rPr>
  </w:style>
  <w:style w:type="character" w:customStyle="1" w:styleId="330">
    <w:name w:val="Char Char14"/>
    <w:qFormat/>
    <w:uiPriority w:val="0"/>
    <w:rPr>
      <w:sz w:val="20"/>
    </w:rPr>
  </w:style>
  <w:style w:type="character" w:customStyle="1" w:styleId="331">
    <w:name w:val="样式 标题 3h3section:3Level 3 HeadH3level_3PIM 33rd level3H... Char"/>
    <w:qFormat/>
    <w:uiPriority w:val="0"/>
    <w:rPr>
      <w:b/>
      <w:sz w:val="20"/>
    </w:rPr>
  </w:style>
  <w:style w:type="character" w:customStyle="1" w:styleId="332">
    <w:name w:val="正文缩进 Char1"/>
    <w:qFormat/>
    <w:uiPriority w:val="0"/>
    <w:rPr>
      <w:rFonts w:eastAsia="宋体"/>
      <w:sz w:val="24"/>
      <w:szCs w:val="24"/>
      <w:lang w:val="en-US" w:eastAsia="zh-CN" w:bidi="ar-SA"/>
    </w:rPr>
  </w:style>
  <w:style w:type="character" w:customStyle="1" w:styleId="333">
    <w:name w:val="Char Char181"/>
    <w:qFormat/>
    <w:uiPriority w:val="0"/>
    <w:rPr>
      <w:b/>
      <w:bCs/>
      <w:kern w:val="44"/>
      <w:sz w:val="44"/>
      <w:szCs w:val="44"/>
    </w:rPr>
  </w:style>
  <w:style w:type="character" w:customStyle="1" w:styleId="334">
    <w:name w:val="Char Char5"/>
    <w:qFormat/>
    <w:uiPriority w:val="0"/>
    <w:rPr>
      <w:sz w:val="20"/>
    </w:rPr>
  </w:style>
  <w:style w:type="character" w:customStyle="1" w:styleId="335">
    <w:name w:val="Char Char18"/>
    <w:qFormat/>
    <w:uiPriority w:val="0"/>
    <w:rPr>
      <w:rFonts w:ascii="Times New Roman" w:hAnsi="Times New Roman" w:eastAsia="宋体" w:cs="Times New Roman"/>
      <w:b/>
      <w:bCs/>
      <w:sz w:val="28"/>
      <w:szCs w:val="28"/>
    </w:rPr>
  </w:style>
  <w:style w:type="character" w:customStyle="1" w:styleId="336">
    <w:name w:val="引用 Char2"/>
    <w:link w:val="337"/>
    <w:qFormat/>
    <w:uiPriority w:val="0"/>
    <w:rPr>
      <w:i/>
      <w:color w:val="000000"/>
      <w:kern w:val="2"/>
      <w:sz w:val="22"/>
    </w:rPr>
  </w:style>
  <w:style w:type="paragraph" w:customStyle="1" w:styleId="337">
    <w:name w:val="引用2"/>
    <w:basedOn w:val="1"/>
    <w:next w:val="1"/>
    <w:link w:val="336"/>
    <w:qFormat/>
    <w:uiPriority w:val="0"/>
    <w:rPr>
      <w:i/>
      <w:color w:val="000000"/>
      <w:sz w:val="22"/>
      <w:szCs w:val="20"/>
    </w:rPr>
  </w:style>
  <w:style w:type="character" w:customStyle="1" w:styleId="338">
    <w:name w:val="Heading 1 Char"/>
    <w:qFormat/>
    <w:uiPriority w:val="0"/>
    <w:rPr>
      <w:rFonts w:eastAsia="宋体"/>
      <w:b/>
      <w:bCs/>
      <w:kern w:val="44"/>
      <w:sz w:val="32"/>
      <w:szCs w:val="44"/>
      <w:lang w:val="en-US" w:eastAsia="zh-CN" w:bidi="ar-SA"/>
    </w:rPr>
  </w:style>
  <w:style w:type="character" w:customStyle="1" w:styleId="339">
    <w:name w:val="Char Char22"/>
    <w:qFormat/>
    <w:uiPriority w:val="0"/>
    <w:rPr>
      <w:rFonts w:ascii="Times New Roman" w:hAnsi="Times New Roman" w:eastAsia="宋体" w:cs="Times New Roman"/>
      <w:b/>
      <w:bCs/>
      <w:kern w:val="44"/>
      <w:sz w:val="32"/>
      <w:szCs w:val="44"/>
    </w:rPr>
  </w:style>
  <w:style w:type="character" w:customStyle="1" w:styleId="340">
    <w:name w:val="样式14 Char"/>
    <w:qFormat/>
    <w:uiPriority w:val="0"/>
    <w:rPr>
      <w:sz w:val="20"/>
    </w:rPr>
  </w:style>
  <w:style w:type="character" w:customStyle="1" w:styleId="341">
    <w:name w:val="标题 3 Char1"/>
    <w:qFormat/>
    <w:uiPriority w:val="0"/>
    <w:rPr>
      <w:rFonts w:ascii="Calibri" w:hAnsi="Calibri" w:eastAsia="宋体" w:cs="Arial"/>
      <w:b/>
      <w:kern w:val="0"/>
      <w:sz w:val="32"/>
      <w:szCs w:val="20"/>
    </w:rPr>
  </w:style>
  <w:style w:type="character" w:customStyle="1" w:styleId="342">
    <w:name w:val="style41"/>
    <w:qFormat/>
    <w:uiPriority w:val="0"/>
    <w:rPr>
      <w:rFonts w:ascii="Verdana" w:hAnsi="Verdana"/>
      <w:color w:val="AA1515"/>
      <w:kern w:val="0"/>
      <w:sz w:val="20"/>
      <w:lang w:eastAsia="en-US"/>
    </w:rPr>
  </w:style>
  <w:style w:type="character" w:customStyle="1" w:styleId="343">
    <w:name w:val="样式11 Char"/>
    <w:qFormat/>
    <w:uiPriority w:val="0"/>
    <w:rPr>
      <w:sz w:val="20"/>
    </w:rPr>
  </w:style>
  <w:style w:type="character" w:customStyle="1" w:styleId="344">
    <w:name w:val="Char Char20"/>
    <w:qFormat/>
    <w:uiPriority w:val="0"/>
    <w:rPr>
      <w:rFonts w:ascii="Times New Roman" w:hAnsi="Times New Roman" w:eastAsia="宋体" w:cs="Times New Roman"/>
      <w:b/>
      <w:bCs/>
      <w:sz w:val="24"/>
      <w:szCs w:val="32"/>
    </w:rPr>
  </w:style>
  <w:style w:type="character" w:customStyle="1" w:styleId="345">
    <w:name w:val="Heading 5 Char"/>
    <w:qFormat/>
    <w:uiPriority w:val="0"/>
    <w:rPr>
      <w:rFonts w:eastAsia="宋体"/>
      <w:b/>
      <w:bCs/>
      <w:kern w:val="2"/>
      <w:sz w:val="28"/>
      <w:szCs w:val="28"/>
      <w:lang w:val="en-US" w:eastAsia="zh-CN" w:bidi="ar-SA"/>
    </w:rPr>
  </w:style>
  <w:style w:type="character" w:customStyle="1" w:styleId="346">
    <w:name w:val="Char Char4"/>
    <w:qFormat/>
    <w:uiPriority w:val="0"/>
    <w:rPr>
      <w:b/>
      <w:sz w:val="20"/>
    </w:rPr>
  </w:style>
  <w:style w:type="character" w:customStyle="1" w:styleId="347">
    <w:name w:val="正文文本 2 Char2"/>
    <w:qFormat/>
    <w:uiPriority w:val="0"/>
    <w:rPr>
      <w:kern w:val="2"/>
      <w:sz w:val="21"/>
      <w:szCs w:val="24"/>
    </w:rPr>
  </w:style>
  <w:style w:type="character" w:customStyle="1" w:styleId="348">
    <w:name w:val="Char Char19"/>
    <w:qFormat/>
    <w:uiPriority w:val="0"/>
    <w:rPr>
      <w:rFonts w:ascii="Arial" w:hAnsi="Arial" w:eastAsia="宋体" w:cs="Times New Roman"/>
      <w:b/>
      <w:bCs/>
      <w:szCs w:val="28"/>
    </w:rPr>
  </w:style>
  <w:style w:type="character" w:customStyle="1" w:styleId="349">
    <w:name w:val="标题 1 Char1"/>
    <w:qFormat/>
    <w:uiPriority w:val="0"/>
    <w:rPr>
      <w:rFonts w:ascii="Calibri" w:hAnsi="Calibri" w:eastAsia="宋体" w:cs="Arial"/>
      <w:b/>
      <w:kern w:val="44"/>
      <w:sz w:val="44"/>
      <w:szCs w:val="20"/>
    </w:rPr>
  </w:style>
  <w:style w:type="character" w:customStyle="1" w:styleId="350">
    <w:name w:val="标题 2 Char1"/>
    <w:qFormat/>
    <w:uiPriority w:val="0"/>
    <w:rPr>
      <w:rFonts w:ascii="Arial" w:hAnsi="Arial" w:eastAsia="黑体" w:cs="Calibri"/>
      <w:b/>
      <w:kern w:val="0"/>
      <w:sz w:val="32"/>
      <w:szCs w:val="20"/>
    </w:rPr>
  </w:style>
  <w:style w:type="character" w:customStyle="1" w:styleId="351">
    <w:name w:val="H2 Char"/>
    <w:qFormat/>
    <w:uiPriority w:val="0"/>
    <w:rPr>
      <w:b/>
      <w:sz w:val="20"/>
    </w:rPr>
  </w:style>
  <w:style w:type="character" w:customStyle="1" w:styleId="352">
    <w:name w:val="Char Char24"/>
    <w:qFormat/>
    <w:uiPriority w:val="0"/>
    <w:rPr>
      <w:rFonts w:eastAsia="宋体"/>
      <w:b/>
      <w:bCs/>
      <w:kern w:val="44"/>
      <w:sz w:val="32"/>
      <w:szCs w:val="44"/>
      <w:lang w:val="en-US" w:eastAsia="zh-CN" w:bidi="ar-SA"/>
    </w:rPr>
  </w:style>
  <w:style w:type="character" w:customStyle="1" w:styleId="353">
    <w:name w:val="Char Char3"/>
    <w:qFormat/>
    <w:uiPriority w:val="0"/>
    <w:rPr>
      <w:sz w:val="20"/>
    </w:rPr>
  </w:style>
  <w:style w:type="character" w:customStyle="1" w:styleId="354">
    <w:name w:val="日期 Char1"/>
    <w:qFormat/>
    <w:uiPriority w:val="0"/>
    <w:rPr>
      <w:rFonts w:ascii="Times New Roman" w:hAnsi="Times New Roman" w:eastAsia="宋体" w:cs="Times New Roman"/>
      <w:szCs w:val="24"/>
    </w:rPr>
  </w:style>
  <w:style w:type="character" w:customStyle="1" w:styleId="355">
    <w:name w:val="称呼 Char2"/>
    <w:qFormat/>
    <w:uiPriority w:val="0"/>
    <w:rPr>
      <w:kern w:val="2"/>
      <w:sz w:val="21"/>
      <w:szCs w:val="24"/>
    </w:rPr>
  </w:style>
  <w:style w:type="character" w:customStyle="1" w:styleId="356">
    <w:name w:val="批注文字 Char1"/>
    <w:qFormat/>
    <w:uiPriority w:val="0"/>
    <w:rPr>
      <w:rFonts w:ascii="Times New Roman" w:hAnsi="Times New Roman" w:eastAsia="宋体" w:cs="Times New Roman"/>
      <w:szCs w:val="24"/>
    </w:rPr>
  </w:style>
  <w:style w:type="character" w:customStyle="1" w:styleId="357">
    <w:name w:val="样式 Char"/>
    <w:link w:val="358"/>
    <w:qFormat/>
    <w:locked/>
    <w:uiPriority w:val="0"/>
    <w:rPr>
      <w:rFonts w:ascii="宋体" w:hAnsi="宋体" w:cs="宋体"/>
      <w:sz w:val="24"/>
      <w:szCs w:val="24"/>
    </w:rPr>
  </w:style>
  <w:style w:type="paragraph" w:customStyle="1" w:styleId="358">
    <w:name w:val="样式"/>
    <w:link w:val="357"/>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359">
    <w:name w:val="Comment Text Char"/>
    <w:qFormat/>
    <w:uiPriority w:val="0"/>
    <w:rPr>
      <w:rFonts w:cs="Times New Roman"/>
      <w:sz w:val="24"/>
      <w:szCs w:val="24"/>
    </w:rPr>
  </w:style>
  <w:style w:type="character" w:customStyle="1" w:styleId="360">
    <w:name w:val="引用 Char1"/>
    <w:qFormat/>
    <w:uiPriority w:val="0"/>
    <w:rPr>
      <w:rFonts w:ascii="Times New Roman" w:hAnsi="Times New Roman" w:eastAsia="宋体" w:cs="Times New Roman"/>
      <w:i/>
      <w:iCs/>
      <w:color w:val="000000"/>
      <w:szCs w:val="24"/>
    </w:rPr>
  </w:style>
  <w:style w:type="character" w:customStyle="1" w:styleId="361">
    <w:name w:val="Comment Subject Char"/>
    <w:qFormat/>
    <w:uiPriority w:val="0"/>
    <w:rPr>
      <w:b/>
      <w:sz w:val="24"/>
      <w:lang w:bidi="ar-SA"/>
    </w:rPr>
  </w:style>
  <w:style w:type="character" w:customStyle="1" w:styleId="362">
    <w:name w:val="明显强调1"/>
    <w:qFormat/>
    <w:uiPriority w:val="0"/>
    <w:rPr>
      <w:b/>
      <w:bCs/>
      <w:i/>
      <w:iCs/>
      <w:color w:val="4F81BD"/>
    </w:rPr>
  </w:style>
  <w:style w:type="character" w:customStyle="1" w:styleId="363">
    <w:name w:val="apple-converted-space"/>
    <w:qFormat/>
    <w:uiPriority w:val="0"/>
    <w:rPr>
      <w:sz w:val="20"/>
    </w:rPr>
  </w:style>
  <w:style w:type="character" w:customStyle="1" w:styleId="364">
    <w:name w:val="超链接_0"/>
    <w:qFormat/>
    <w:uiPriority w:val="99"/>
    <w:rPr>
      <w:rFonts w:ascii="Calibri" w:hAnsi="Calibri" w:cs="Times New Roman"/>
      <w:color w:val="0000FF"/>
      <w:u w:val="single"/>
    </w:rPr>
  </w:style>
  <w:style w:type="character" w:customStyle="1" w:styleId="365">
    <w:name w:val="Heading 3 Char"/>
    <w:qFormat/>
    <w:uiPriority w:val="0"/>
    <w:rPr>
      <w:rFonts w:cs="Times New Roman"/>
      <w:b/>
      <w:bCs/>
      <w:kern w:val="2"/>
      <w:sz w:val="32"/>
      <w:szCs w:val="32"/>
    </w:rPr>
  </w:style>
  <w:style w:type="character" w:customStyle="1" w:styleId="366">
    <w:name w:val="Heading 3 Char1"/>
    <w:qFormat/>
    <w:uiPriority w:val="0"/>
    <w:rPr>
      <w:rFonts w:eastAsia="宋体"/>
      <w:b/>
      <w:bCs/>
      <w:kern w:val="2"/>
      <w:sz w:val="24"/>
      <w:szCs w:val="32"/>
      <w:lang w:val="en-US" w:eastAsia="zh-CN" w:bidi="ar-SA"/>
    </w:rPr>
  </w:style>
  <w:style w:type="character" w:customStyle="1" w:styleId="367">
    <w:name w:val="Char Char2"/>
    <w:qFormat/>
    <w:uiPriority w:val="0"/>
    <w:rPr>
      <w:sz w:val="20"/>
    </w:rPr>
  </w:style>
  <w:style w:type="character" w:customStyle="1" w:styleId="368">
    <w:name w:val="正文文本 3 Char1"/>
    <w:qFormat/>
    <w:uiPriority w:val="0"/>
    <w:rPr>
      <w:kern w:val="2"/>
      <w:sz w:val="16"/>
      <w:szCs w:val="16"/>
    </w:rPr>
  </w:style>
  <w:style w:type="character" w:customStyle="1" w:styleId="369">
    <w:name w:val="批注文字 Char Char"/>
    <w:qFormat/>
    <w:uiPriority w:val="0"/>
    <w:rPr>
      <w:rFonts w:ascii="宋体" w:hAnsi="Times New Roman" w:eastAsia="宋体" w:cs="Times New Roman"/>
      <w:sz w:val="28"/>
      <w:szCs w:val="20"/>
    </w:rPr>
  </w:style>
  <w:style w:type="character" w:customStyle="1" w:styleId="370">
    <w:name w:val="Char Char9"/>
    <w:qFormat/>
    <w:uiPriority w:val="0"/>
    <w:rPr>
      <w:rFonts w:eastAsia="宋体"/>
      <w:b/>
      <w:bCs/>
      <w:kern w:val="44"/>
      <w:sz w:val="32"/>
      <w:szCs w:val="44"/>
      <w:lang w:val="en-US" w:eastAsia="zh-CN" w:bidi="ar-SA"/>
    </w:rPr>
  </w:style>
  <w:style w:type="character" w:customStyle="1" w:styleId="371">
    <w:name w:val="Char Char Char Char Char Char"/>
    <w:qFormat/>
    <w:uiPriority w:val="0"/>
    <w:rPr>
      <w:sz w:val="20"/>
    </w:rPr>
  </w:style>
  <w:style w:type="character" w:customStyle="1" w:styleId="372">
    <w:name w:val="批注主题 Char1"/>
    <w:qFormat/>
    <w:uiPriority w:val="0"/>
    <w:rPr>
      <w:rFonts w:ascii="Times New Roman" w:hAnsi="Times New Roman" w:eastAsia="宋体" w:cs="Times New Roman"/>
      <w:b/>
      <w:bCs/>
      <w:szCs w:val="24"/>
    </w:rPr>
  </w:style>
  <w:style w:type="character" w:customStyle="1" w:styleId="373">
    <w:name w:val="Char Char10"/>
    <w:qFormat/>
    <w:uiPriority w:val="0"/>
    <w:rPr>
      <w:sz w:val="20"/>
    </w:rPr>
  </w:style>
  <w:style w:type="character" w:customStyle="1" w:styleId="374">
    <w:name w:val="HTML 预设格式 Char2"/>
    <w:qFormat/>
    <w:uiPriority w:val="0"/>
    <w:rPr>
      <w:rFonts w:ascii="Courier New" w:hAnsi="Courier New" w:cs="Courier New"/>
      <w:kern w:val="2"/>
    </w:rPr>
  </w:style>
  <w:style w:type="character" w:customStyle="1" w:styleId="375">
    <w:name w:val="正文文本 2 Char1"/>
    <w:qFormat/>
    <w:uiPriority w:val="0"/>
    <w:rPr>
      <w:kern w:val="2"/>
      <w:sz w:val="21"/>
      <w:szCs w:val="24"/>
    </w:rPr>
  </w:style>
  <w:style w:type="character" w:customStyle="1" w:styleId="376">
    <w:name w:val="样式15 Char"/>
    <w:qFormat/>
    <w:uiPriority w:val="0"/>
    <w:rPr>
      <w:sz w:val="20"/>
    </w:rPr>
  </w:style>
  <w:style w:type="character" w:customStyle="1" w:styleId="377">
    <w:name w:val="纯文本 Char1"/>
    <w:qFormat/>
    <w:uiPriority w:val="0"/>
    <w:rPr>
      <w:rFonts w:ascii="宋体" w:hAnsi="Courier New" w:eastAsia="宋体" w:cs="Courier New"/>
      <w:szCs w:val="21"/>
    </w:rPr>
  </w:style>
  <w:style w:type="character" w:customStyle="1" w:styleId="378">
    <w:name w:val="Char Char8"/>
    <w:qFormat/>
    <w:uiPriority w:val="0"/>
    <w:rPr>
      <w:sz w:val="20"/>
    </w:rPr>
  </w:style>
  <w:style w:type="character" w:customStyle="1" w:styleId="379">
    <w:name w:val="标题 Char2"/>
    <w:qFormat/>
    <w:uiPriority w:val="0"/>
    <w:rPr>
      <w:rFonts w:ascii="Cambria" w:hAnsi="Cambria" w:eastAsia="宋体" w:cs="Times New Roman"/>
      <w:b/>
      <w:bCs/>
      <w:sz w:val="32"/>
      <w:szCs w:val="32"/>
    </w:rPr>
  </w:style>
  <w:style w:type="character" w:customStyle="1" w:styleId="380">
    <w:name w:val="Footnote Text Char"/>
    <w:qFormat/>
    <w:uiPriority w:val="0"/>
    <w:rPr>
      <w:rFonts w:eastAsia="宋体"/>
      <w:sz w:val="18"/>
      <w:lang w:val="en-US" w:eastAsia="zh-CN" w:bidi="ar-SA"/>
    </w:rPr>
  </w:style>
  <w:style w:type="character" w:customStyle="1" w:styleId="381">
    <w:name w:val="Heading 2 Char"/>
    <w:qFormat/>
    <w:uiPriority w:val="0"/>
    <w:rPr>
      <w:rFonts w:ascii="Arial" w:hAnsi="Arial" w:eastAsia="黑体"/>
      <w:b/>
      <w:bCs/>
      <w:kern w:val="2"/>
      <w:sz w:val="32"/>
      <w:szCs w:val="32"/>
      <w:lang w:val="en-US" w:eastAsia="zh-CN" w:bidi="ar-SA"/>
    </w:rPr>
  </w:style>
  <w:style w:type="character" w:customStyle="1" w:styleId="382">
    <w:name w:val="HTML 预设格式 Char3"/>
    <w:qFormat/>
    <w:uiPriority w:val="0"/>
    <w:rPr>
      <w:rFonts w:ascii="Courier New" w:hAnsi="Courier New" w:cs="Courier New"/>
      <w:kern w:val="2"/>
    </w:rPr>
  </w:style>
  <w:style w:type="character" w:customStyle="1" w:styleId="383">
    <w:name w:val="书籍标题1"/>
    <w:qFormat/>
    <w:uiPriority w:val="0"/>
    <w:rPr>
      <w:b/>
      <w:bCs/>
      <w:smallCaps/>
      <w:spacing w:val="5"/>
    </w:rPr>
  </w:style>
  <w:style w:type="character" w:customStyle="1" w:styleId="384">
    <w:name w:val="正文文本缩进 3 Char1"/>
    <w:qFormat/>
    <w:uiPriority w:val="0"/>
    <w:rPr>
      <w:kern w:val="2"/>
      <w:sz w:val="16"/>
      <w:szCs w:val="16"/>
    </w:rPr>
  </w:style>
  <w:style w:type="character" w:customStyle="1" w:styleId="385">
    <w:name w:val="正文文本 3 Char2"/>
    <w:qFormat/>
    <w:uiPriority w:val="0"/>
    <w:rPr>
      <w:kern w:val="2"/>
      <w:sz w:val="16"/>
      <w:szCs w:val="16"/>
    </w:rPr>
  </w:style>
  <w:style w:type="character" w:customStyle="1" w:styleId="386">
    <w:name w:val="Title Char"/>
    <w:qFormat/>
    <w:uiPriority w:val="0"/>
    <w:rPr>
      <w:rFonts w:ascii="Cambria" w:hAnsi="Cambria"/>
      <w:b/>
      <w:sz w:val="32"/>
      <w:lang w:bidi="ar-SA"/>
    </w:rPr>
  </w:style>
  <w:style w:type="character" w:customStyle="1" w:styleId="387">
    <w:name w:val="Date Char"/>
    <w:qFormat/>
    <w:uiPriority w:val="0"/>
    <w:rPr>
      <w:rFonts w:eastAsia="宋体"/>
      <w:kern w:val="2"/>
      <w:sz w:val="21"/>
      <w:szCs w:val="24"/>
      <w:lang w:val="en-US" w:eastAsia="zh-CN" w:bidi="ar-SA"/>
    </w:rPr>
  </w:style>
  <w:style w:type="character" w:customStyle="1" w:styleId="388">
    <w:name w:val="普通文字 Char2"/>
    <w:semiHidden/>
    <w:qFormat/>
    <w:uiPriority w:val="0"/>
    <w:rPr>
      <w:sz w:val="20"/>
    </w:rPr>
  </w:style>
  <w:style w:type="character" w:customStyle="1" w:styleId="389">
    <w:name w:val="Document Map Char"/>
    <w:qFormat/>
    <w:uiPriority w:val="0"/>
    <w:rPr>
      <w:rFonts w:eastAsia="宋体"/>
      <w:kern w:val="2"/>
      <w:sz w:val="21"/>
      <w:szCs w:val="24"/>
      <w:lang w:val="en-US" w:eastAsia="zh-CN" w:bidi="ar-SA"/>
    </w:rPr>
  </w:style>
  <w:style w:type="character" w:customStyle="1" w:styleId="390">
    <w:name w:val="样式 标题 1 + (中文) 黑体 小二 非加粗 Char"/>
    <w:link w:val="391"/>
    <w:qFormat/>
    <w:uiPriority w:val="0"/>
    <w:rPr>
      <w:rFonts w:eastAsia="黑体"/>
      <w:kern w:val="44"/>
      <w:sz w:val="36"/>
      <w:szCs w:val="44"/>
    </w:rPr>
  </w:style>
  <w:style w:type="paragraph" w:customStyle="1" w:styleId="391">
    <w:name w:val="样式 标题 1 + (中文) 黑体 小二 非加粗"/>
    <w:basedOn w:val="5"/>
    <w:link w:val="390"/>
    <w:qFormat/>
    <w:uiPriority w:val="0"/>
    <w:pPr>
      <w:spacing w:line="576" w:lineRule="auto"/>
      <w:jc w:val="center"/>
    </w:pPr>
    <w:rPr>
      <w:rFonts w:ascii="Times New Roman" w:hAnsi="Times New Roman" w:eastAsia="黑体" w:cs="Times New Roman"/>
      <w:b w:val="0"/>
      <w:bCs w:val="0"/>
      <w:sz w:val="36"/>
    </w:rPr>
  </w:style>
  <w:style w:type="character" w:customStyle="1" w:styleId="392">
    <w:name w:val="Footer Char"/>
    <w:qFormat/>
    <w:uiPriority w:val="0"/>
    <w:rPr>
      <w:rFonts w:eastAsia="宋体"/>
      <w:kern w:val="2"/>
      <w:sz w:val="18"/>
      <w:szCs w:val="18"/>
      <w:lang w:val="en-US" w:eastAsia="zh-CN" w:bidi="ar-SA"/>
    </w:rPr>
  </w:style>
  <w:style w:type="character" w:customStyle="1" w:styleId="393">
    <w:name w:val="普通文字 Char"/>
    <w:qFormat/>
    <w:uiPriority w:val="0"/>
    <w:rPr>
      <w:sz w:val="20"/>
    </w:rPr>
  </w:style>
  <w:style w:type="character" w:customStyle="1" w:styleId="394">
    <w:name w:val="不明显强调1"/>
    <w:qFormat/>
    <w:uiPriority w:val="0"/>
    <w:rPr>
      <w:i/>
      <w:iCs/>
      <w:color w:val="808080"/>
    </w:rPr>
  </w:style>
  <w:style w:type="character" w:customStyle="1" w:styleId="395">
    <w:name w:val="Char Char21"/>
    <w:qFormat/>
    <w:uiPriority w:val="0"/>
    <w:rPr>
      <w:rFonts w:ascii="Arial" w:hAnsi="Arial" w:eastAsia="黑体" w:cs="Times New Roman"/>
      <w:b/>
      <w:bCs/>
      <w:sz w:val="32"/>
      <w:szCs w:val="32"/>
    </w:rPr>
  </w:style>
  <w:style w:type="character" w:customStyle="1" w:styleId="396">
    <w:name w:val="H1 Char"/>
    <w:qFormat/>
    <w:uiPriority w:val="0"/>
    <w:rPr>
      <w:b/>
      <w:sz w:val="20"/>
    </w:rPr>
  </w:style>
  <w:style w:type="character" w:customStyle="1" w:styleId="397">
    <w:name w:val="文档结构图 Char1"/>
    <w:qFormat/>
    <w:uiPriority w:val="0"/>
    <w:rPr>
      <w:rFonts w:ascii="宋体" w:hAnsi="Times New Roman" w:eastAsia="宋体" w:cs="Times New Roman"/>
      <w:sz w:val="18"/>
      <w:szCs w:val="18"/>
    </w:rPr>
  </w:style>
  <w:style w:type="character" w:customStyle="1" w:styleId="398">
    <w:name w:val="样式10 Char"/>
    <w:qFormat/>
    <w:uiPriority w:val="0"/>
    <w:rPr>
      <w:sz w:val="20"/>
    </w:rPr>
  </w:style>
  <w:style w:type="paragraph" w:customStyle="1" w:styleId="399">
    <w:name w:val="样式 标题 2 + Times New Roman 四号 非加粗 段前: 5 磅 段后: 0 磅 行距: 固定值 20..."/>
    <w:basedOn w:val="6"/>
    <w:qFormat/>
    <w:uiPriority w:val="0"/>
    <w:pPr>
      <w:spacing w:before="100" w:after="0" w:line="400" w:lineRule="exact"/>
    </w:pPr>
    <w:rPr>
      <w:rFonts w:ascii="Times New Roman" w:hAnsi="Times New Roman" w:cs="宋体"/>
      <w:b w:val="0"/>
      <w:bCs w:val="0"/>
      <w:kern w:val="0"/>
      <w:sz w:val="28"/>
      <w:szCs w:val="20"/>
      <w:lang w:val="zh-CN"/>
    </w:rPr>
  </w:style>
  <w:style w:type="paragraph" w:customStyle="1" w:styleId="400">
    <w:name w:val="空半行"/>
    <w:basedOn w:val="1"/>
    <w:qFormat/>
    <w:uiPriority w:val="0"/>
    <w:pPr>
      <w:adjustRightInd w:val="0"/>
      <w:spacing w:line="120" w:lineRule="exact"/>
      <w:textAlignment w:val="baseline"/>
    </w:pPr>
    <w:rPr>
      <w:rFonts w:ascii="宋体" w:hAnsi="宋体" w:eastAsia="仿宋_GB2312" w:cs="宋体"/>
      <w:color w:val="FFFFFF"/>
      <w:kern w:val="0"/>
      <w:sz w:val="30"/>
      <w:szCs w:val="20"/>
    </w:rPr>
  </w:style>
  <w:style w:type="paragraph" w:customStyle="1" w:styleId="401">
    <w:name w:val="Char Char Char Char Char Char Char"/>
    <w:basedOn w:val="1"/>
    <w:qFormat/>
    <w:uiPriority w:val="0"/>
    <w:pPr>
      <w:widowControl/>
      <w:spacing w:after="160" w:line="240" w:lineRule="exact"/>
      <w:jc w:val="left"/>
    </w:pPr>
    <w:rPr>
      <w:rFonts w:ascii="宋体" w:hAnsi="宋体" w:cs="宋体"/>
      <w:kern w:val="0"/>
      <w:sz w:val="24"/>
      <w:szCs w:val="20"/>
    </w:rPr>
  </w:style>
  <w:style w:type="paragraph" w:customStyle="1" w:styleId="402">
    <w:name w:val="目录 21"/>
    <w:basedOn w:val="1"/>
    <w:next w:val="1"/>
    <w:qFormat/>
    <w:uiPriority w:val="0"/>
    <w:pPr>
      <w:ind w:left="420"/>
    </w:pPr>
    <w:rPr>
      <w:rFonts w:ascii="宋体" w:hAnsi="宋体" w:cs="宋体"/>
      <w:kern w:val="0"/>
      <w:sz w:val="24"/>
      <w:szCs w:val="20"/>
    </w:rPr>
  </w:style>
  <w:style w:type="paragraph" w:customStyle="1" w:styleId="403">
    <w:name w:val="标题_0"/>
    <w:basedOn w:val="404"/>
    <w:qFormat/>
    <w:uiPriority w:val="0"/>
    <w:pPr>
      <w:spacing w:before="120" w:after="120" w:line="360" w:lineRule="auto"/>
      <w:jc w:val="center"/>
      <w:outlineLvl w:val="0"/>
    </w:pPr>
    <w:rPr>
      <w:rFonts w:ascii="黑体" w:hAnsi="Arial" w:eastAsia="黑体"/>
      <w:b/>
      <w:bCs/>
      <w:kern w:val="2"/>
      <w:sz w:val="32"/>
      <w:szCs w:val="32"/>
    </w:rPr>
  </w:style>
  <w:style w:type="paragraph" w:customStyle="1" w:styleId="404">
    <w:name w:val="正文_1"/>
    <w:qFormat/>
    <w:uiPriority w:val="0"/>
    <w:rPr>
      <w:rFonts w:ascii="Times New Roman" w:hAnsi="Times New Roman" w:eastAsia="宋体" w:cs="Times New Roman"/>
      <w:sz w:val="21"/>
      <w:szCs w:val="22"/>
      <w:lang w:val="en-US" w:eastAsia="zh-CN" w:bidi="ar-SA"/>
    </w:rPr>
  </w:style>
  <w:style w:type="paragraph" w:customStyle="1" w:styleId="405">
    <w:name w:val="reader-word-layer reader-word-s1-9"/>
    <w:basedOn w:val="1"/>
    <w:next w:val="42"/>
    <w:qFormat/>
    <w:uiPriority w:val="0"/>
    <w:pPr>
      <w:widowControl/>
      <w:spacing w:before="280" w:after="280"/>
    </w:pPr>
    <w:rPr>
      <w:rFonts w:ascii="宋体" w:hAnsi="宋体" w:cs="宋体"/>
      <w:kern w:val="0"/>
      <w:sz w:val="24"/>
      <w:szCs w:val="20"/>
    </w:rPr>
  </w:style>
  <w:style w:type="paragraph" w:customStyle="1" w:styleId="406">
    <w:name w:val="列出段落11"/>
    <w:basedOn w:val="1"/>
    <w:next w:val="18"/>
    <w:qFormat/>
    <w:uiPriority w:val="0"/>
    <w:pPr>
      <w:ind w:firstLine="420"/>
    </w:pPr>
    <w:rPr>
      <w:rFonts w:ascii="Calibri" w:hAnsi="宋体" w:cs="宋体"/>
      <w:kern w:val="0"/>
      <w:sz w:val="24"/>
      <w:szCs w:val="20"/>
    </w:rPr>
  </w:style>
  <w:style w:type="paragraph" w:customStyle="1" w:styleId="407">
    <w:name w:val="Char Char2 Char Char Char Char2"/>
    <w:basedOn w:val="1"/>
    <w:qFormat/>
    <w:uiPriority w:val="0"/>
    <w:rPr>
      <w:rFonts w:ascii="Tahoma" w:hAnsi="Tahoma" w:cs="宋体"/>
      <w:kern w:val="0"/>
      <w:sz w:val="24"/>
      <w:szCs w:val="20"/>
    </w:rPr>
  </w:style>
  <w:style w:type="paragraph" w:customStyle="1" w:styleId="408">
    <w:name w:val="reader-word-layer reader-word-s1-5"/>
    <w:basedOn w:val="1"/>
    <w:next w:val="20"/>
    <w:qFormat/>
    <w:uiPriority w:val="0"/>
    <w:pPr>
      <w:widowControl/>
      <w:spacing w:before="280" w:after="280"/>
    </w:pPr>
    <w:rPr>
      <w:rFonts w:ascii="宋体" w:hAnsi="宋体" w:cs="宋体"/>
      <w:kern w:val="0"/>
      <w:sz w:val="24"/>
      <w:szCs w:val="20"/>
    </w:rPr>
  </w:style>
  <w:style w:type="paragraph" w:customStyle="1" w:styleId="409">
    <w:name w:val="reader-word-layer"/>
    <w:basedOn w:val="1"/>
    <w:qFormat/>
    <w:uiPriority w:val="0"/>
    <w:pPr>
      <w:widowControl/>
      <w:spacing w:before="100" w:beforeAutospacing="1" w:after="100" w:afterAutospacing="1"/>
      <w:jc w:val="left"/>
    </w:pPr>
    <w:rPr>
      <w:rFonts w:ascii="宋体" w:hAnsi="宋体" w:cs="宋体"/>
      <w:kern w:val="0"/>
      <w:sz w:val="24"/>
      <w:szCs w:val="20"/>
    </w:rPr>
  </w:style>
  <w:style w:type="paragraph" w:customStyle="1" w:styleId="410">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1">
    <w:name w:val="目录 31"/>
    <w:next w:val="1"/>
    <w:qFormat/>
    <w:uiPriority w:val="0"/>
    <w:pPr>
      <w:wordWrap w:val="0"/>
      <w:ind w:left="850"/>
      <w:jc w:val="both"/>
    </w:pPr>
    <w:rPr>
      <w:rFonts w:ascii="宋体" w:hAnsi="宋体" w:eastAsia="宋体" w:cs="宋体"/>
      <w:sz w:val="21"/>
      <w:lang w:val="en-US" w:eastAsia="zh-CN" w:bidi="ar-SA"/>
    </w:rPr>
  </w:style>
  <w:style w:type="paragraph" w:customStyle="1" w:styleId="412">
    <w:name w:val="目录 81"/>
    <w:next w:val="1"/>
    <w:qFormat/>
    <w:uiPriority w:val="0"/>
    <w:pPr>
      <w:wordWrap w:val="0"/>
      <w:ind w:left="2975"/>
      <w:jc w:val="both"/>
    </w:pPr>
    <w:rPr>
      <w:rFonts w:ascii="宋体" w:hAnsi="宋体" w:eastAsia="宋体" w:cs="宋体"/>
      <w:sz w:val="21"/>
      <w:lang w:val="en-US" w:eastAsia="zh-CN" w:bidi="ar-SA"/>
    </w:rPr>
  </w:style>
  <w:style w:type="paragraph" w:customStyle="1" w:styleId="413">
    <w:name w:val="列出段落4"/>
    <w:basedOn w:val="1"/>
    <w:qFormat/>
    <w:uiPriority w:val="99"/>
    <w:pPr>
      <w:ind w:firstLine="420" w:firstLineChars="200"/>
    </w:pPr>
    <w:rPr>
      <w:rFonts w:ascii="宋体" w:hAnsi="宋体" w:cs="宋体"/>
      <w:kern w:val="0"/>
      <w:sz w:val="28"/>
      <w:szCs w:val="20"/>
    </w:rPr>
  </w:style>
  <w:style w:type="paragraph" w:customStyle="1" w:styleId="414">
    <w:name w:val="样式9"/>
    <w:next w:val="228"/>
    <w:qFormat/>
    <w:uiPriority w:val="0"/>
    <w:pPr>
      <w:widowControl w:val="0"/>
      <w:jc w:val="center"/>
    </w:pPr>
    <w:rPr>
      <w:rFonts w:ascii="Times New Roman" w:hAnsi="宋体" w:eastAsia="宋体" w:cs="宋体"/>
      <w:sz w:val="18"/>
      <w:lang w:val="en-US" w:eastAsia="zh-CN" w:bidi="ar-SA"/>
    </w:rPr>
  </w:style>
  <w:style w:type="paragraph" w:customStyle="1" w:styleId="415">
    <w:name w:val="目录 41"/>
    <w:next w:val="1"/>
    <w:qFormat/>
    <w:uiPriority w:val="0"/>
    <w:pPr>
      <w:wordWrap w:val="0"/>
      <w:ind w:left="1275"/>
      <w:jc w:val="both"/>
    </w:pPr>
    <w:rPr>
      <w:rFonts w:ascii="宋体" w:hAnsi="宋体" w:eastAsia="宋体" w:cs="宋体"/>
      <w:sz w:val="21"/>
      <w:lang w:val="en-US" w:eastAsia="zh-CN" w:bidi="ar-SA"/>
    </w:rPr>
  </w:style>
  <w:style w:type="paragraph" w:customStyle="1" w:styleId="416">
    <w:name w:val="p15"/>
    <w:basedOn w:val="1"/>
    <w:next w:val="417"/>
    <w:qFormat/>
    <w:uiPriority w:val="0"/>
    <w:pPr>
      <w:widowControl/>
      <w:ind w:firstLine="420"/>
    </w:pPr>
    <w:rPr>
      <w:rFonts w:ascii="宋体" w:hAnsi="宋体" w:cs="宋体"/>
      <w:kern w:val="0"/>
      <w:sz w:val="24"/>
      <w:szCs w:val="20"/>
    </w:rPr>
  </w:style>
  <w:style w:type="paragraph" w:customStyle="1" w:styleId="417">
    <w:name w:val="TOC Heading1"/>
    <w:next w:val="1"/>
    <w:qFormat/>
    <w:uiPriority w:val="0"/>
    <w:pPr>
      <w:wordWrap w:val="0"/>
    </w:pPr>
    <w:rPr>
      <w:rFonts w:ascii="宋体" w:hAnsi="宋体" w:eastAsia="宋体" w:cs="宋体"/>
      <w:sz w:val="32"/>
      <w:lang w:val="en-US" w:eastAsia="zh-CN" w:bidi="ar-SA"/>
    </w:rPr>
  </w:style>
  <w:style w:type="paragraph" w:customStyle="1" w:styleId="418">
    <w:name w:val="Char Char Char Char Char Char Char Char Char Char Char Char Char11"/>
    <w:basedOn w:val="1"/>
    <w:next w:val="186"/>
    <w:qFormat/>
    <w:uiPriority w:val="0"/>
    <w:pPr>
      <w:ind w:left="420" w:hanging="420"/>
    </w:pPr>
    <w:rPr>
      <w:rFonts w:ascii="Tahoma" w:hAnsi="宋体" w:cs="宋体"/>
      <w:kern w:val="0"/>
      <w:sz w:val="24"/>
      <w:szCs w:val="20"/>
    </w:rPr>
  </w:style>
  <w:style w:type="paragraph" w:customStyle="1" w:styleId="419">
    <w:name w:val="目录 92"/>
    <w:next w:val="1"/>
    <w:qFormat/>
    <w:uiPriority w:val="0"/>
    <w:pPr>
      <w:wordWrap w:val="0"/>
      <w:ind w:left="3400"/>
      <w:jc w:val="both"/>
    </w:pPr>
    <w:rPr>
      <w:rFonts w:ascii="宋体" w:hAnsi="宋体" w:eastAsia="宋体" w:cs="宋体"/>
      <w:sz w:val="21"/>
      <w:lang w:val="en-US" w:eastAsia="zh-CN" w:bidi="ar-SA"/>
    </w:rPr>
  </w:style>
  <w:style w:type="paragraph" w:customStyle="1" w:styleId="420">
    <w:name w:val="TOC 标题_0"/>
    <w:basedOn w:val="421"/>
    <w:next w:val="287"/>
    <w:qFormat/>
    <w:uiPriority w:val="0"/>
    <w:pPr>
      <w:outlineLvl w:val="9"/>
    </w:pPr>
    <w:rPr>
      <w:rFonts w:ascii="Calibri" w:hAnsi="Calibri"/>
    </w:rPr>
  </w:style>
  <w:style w:type="paragraph" w:customStyle="1" w:styleId="421">
    <w:name w:val="标题 1_0"/>
    <w:basedOn w:val="287"/>
    <w:next w:val="287"/>
    <w:qFormat/>
    <w:uiPriority w:val="0"/>
    <w:pPr>
      <w:keepNext/>
      <w:keepLines/>
      <w:spacing w:before="340" w:after="330" w:line="576" w:lineRule="auto"/>
      <w:outlineLvl w:val="0"/>
    </w:pPr>
    <w:rPr>
      <w:rFonts w:ascii="Times New Roman" w:hAnsi="Times New Roman"/>
      <w:b/>
      <w:bCs/>
      <w:kern w:val="44"/>
      <w:sz w:val="44"/>
      <w:szCs w:val="44"/>
    </w:rPr>
  </w:style>
  <w:style w:type="paragraph" w:customStyle="1" w:styleId="422">
    <w:name w:val="reader-word-layer reader-word-s1-11"/>
    <w:basedOn w:val="1"/>
    <w:next w:val="423"/>
    <w:qFormat/>
    <w:uiPriority w:val="0"/>
    <w:pPr>
      <w:widowControl/>
      <w:spacing w:before="280" w:after="280"/>
    </w:pPr>
    <w:rPr>
      <w:rFonts w:ascii="宋体" w:hAnsi="宋体" w:cs="宋体"/>
      <w:kern w:val="0"/>
      <w:sz w:val="24"/>
      <w:szCs w:val="20"/>
    </w:rPr>
  </w:style>
  <w:style w:type="paragraph" w:customStyle="1" w:styleId="423">
    <w:name w:val="目录 22"/>
    <w:next w:val="1"/>
    <w:qFormat/>
    <w:uiPriority w:val="0"/>
    <w:pPr>
      <w:wordWrap w:val="0"/>
      <w:ind w:left="425"/>
      <w:jc w:val="both"/>
    </w:pPr>
    <w:rPr>
      <w:rFonts w:ascii="宋体" w:hAnsi="宋体" w:eastAsia="宋体" w:cs="宋体"/>
      <w:sz w:val="21"/>
      <w:lang w:val="en-US" w:eastAsia="zh-CN" w:bidi="ar-SA"/>
    </w:rPr>
  </w:style>
  <w:style w:type="paragraph" w:customStyle="1" w:styleId="424">
    <w:name w:val="Char Char Char Char Char Char Char Char Char Char21"/>
    <w:basedOn w:val="1"/>
    <w:next w:val="25"/>
    <w:qFormat/>
    <w:uiPriority w:val="0"/>
    <w:pPr>
      <w:widowControl/>
      <w:spacing w:line="400" w:lineRule="exact"/>
      <w:jc w:val="center"/>
    </w:pPr>
    <w:rPr>
      <w:rFonts w:ascii="Verdana" w:hAnsi="宋体" w:cs="宋体"/>
      <w:kern w:val="0"/>
      <w:sz w:val="24"/>
      <w:szCs w:val="20"/>
    </w:rPr>
  </w:style>
  <w:style w:type="paragraph" w:customStyle="1" w:styleId="425">
    <w:name w:val="样式13"/>
    <w:next w:val="191"/>
    <w:qFormat/>
    <w:uiPriority w:val="0"/>
    <w:pPr>
      <w:widowControl w:val="0"/>
      <w:jc w:val="center"/>
    </w:pPr>
    <w:rPr>
      <w:rFonts w:ascii="Times New Roman" w:hAnsi="宋体" w:eastAsia="宋体" w:cs="宋体"/>
      <w:sz w:val="18"/>
      <w:lang w:val="en-US" w:eastAsia="zh-CN" w:bidi="ar-SA"/>
    </w:rPr>
  </w:style>
  <w:style w:type="paragraph" w:customStyle="1" w:styleId="426">
    <w:name w:val="Char Char Char1 Char11"/>
    <w:basedOn w:val="1"/>
    <w:next w:val="215"/>
    <w:qFormat/>
    <w:uiPriority w:val="0"/>
    <w:rPr>
      <w:rFonts w:ascii="宋体" w:hAnsi="宋体" w:cs="宋体"/>
      <w:kern w:val="0"/>
      <w:sz w:val="24"/>
      <w:szCs w:val="20"/>
    </w:rPr>
  </w:style>
  <w:style w:type="paragraph" w:customStyle="1" w:styleId="427">
    <w:name w:val="样式15"/>
    <w:next w:val="418"/>
    <w:qFormat/>
    <w:uiPriority w:val="0"/>
    <w:pPr>
      <w:widowControl w:val="0"/>
      <w:jc w:val="center"/>
    </w:pPr>
    <w:rPr>
      <w:rFonts w:ascii="Times New Roman" w:hAnsi="宋体" w:eastAsia="宋体" w:cs="宋体"/>
      <w:sz w:val="18"/>
      <w:lang w:val="en-US" w:eastAsia="zh-CN" w:bidi="ar-SA"/>
    </w:rPr>
  </w:style>
  <w:style w:type="paragraph" w:customStyle="1" w:styleId="428">
    <w:name w:val="Char Char Char Char21"/>
    <w:basedOn w:val="1"/>
    <w:next w:val="1"/>
    <w:qFormat/>
    <w:uiPriority w:val="0"/>
    <w:pPr>
      <w:widowControl/>
      <w:spacing w:after="160" w:line="240" w:lineRule="exact"/>
    </w:pPr>
    <w:rPr>
      <w:rFonts w:ascii="宋体" w:hAnsi="宋体" w:cs="宋体"/>
      <w:kern w:val="0"/>
      <w:sz w:val="24"/>
      <w:szCs w:val="20"/>
    </w:rPr>
  </w:style>
  <w:style w:type="paragraph" w:customStyle="1" w:styleId="429">
    <w:name w:val="_Style 37"/>
    <w:basedOn w:val="1"/>
    <w:next w:val="1"/>
    <w:qFormat/>
    <w:uiPriority w:val="0"/>
    <w:rPr>
      <w:rFonts w:ascii="宋体" w:hAnsi="宋体" w:cs="宋体"/>
      <w:kern w:val="0"/>
      <w:sz w:val="24"/>
      <w:szCs w:val="20"/>
    </w:rPr>
  </w:style>
  <w:style w:type="paragraph" w:customStyle="1" w:styleId="430">
    <w:name w:val="目录 811"/>
    <w:basedOn w:val="1"/>
    <w:next w:val="1"/>
    <w:qFormat/>
    <w:uiPriority w:val="0"/>
    <w:pPr>
      <w:ind w:left="2940"/>
    </w:pPr>
    <w:rPr>
      <w:rFonts w:ascii="Calibri" w:hAnsi="宋体" w:cs="宋体"/>
      <w:kern w:val="0"/>
      <w:sz w:val="24"/>
      <w:szCs w:val="20"/>
    </w:rPr>
  </w:style>
  <w:style w:type="paragraph" w:customStyle="1" w:styleId="431">
    <w:name w:val="_Style 16"/>
    <w:basedOn w:val="1"/>
    <w:next w:val="240"/>
    <w:qFormat/>
    <w:uiPriority w:val="0"/>
    <w:pPr>
      <w:widowControl/>
      <w:spacing w:line="400" w:lineRule="exact"/>
      <w:jc w:val="center"/>
    </w:pPr>
    <w:rPr>
      <w:rFonts w:ascii="宋体" w:hAnsi="宋体" w:cs="宋体"/>
      <w:kern w:val="0"/>
      <w:sz w:val="24"/>
      <w:szCs w:val="20"/>
    </w:rPr>
  </w:style>
  <w:style w:type="paragraph" w:customStyle="1" w:styleId="432">
    <w:name w:val="目录 71"/>
    <w:basedOn w:val="1"/>
    <w:next w:val="1"/>
    <w:qFormat/>
    <w:uiPriority w:val="0"/>
    <w:pPr>
      <w:ind w:left="2520"/>
    </w:pPr>
    <w:rPr>
      <w:rFonts w:ascii="Calibri" w:hAnsi="宋体" w:cs="宋体"/>
      <w:kern w:val="0"/>
      <w:sz w:val="24"/>
      <w:szCs w:val="20"/>
    </w:rPr>
  </w:style>
  <w:style w:type="paragraph" w:customStyle="1" w:styleId="433">
    <w:name w:val="msointensequote"/>
    <w:basedOn w:val="1"/>
    <w:next w:val="1"/>
    <w:qFormat/>
    <w:uiPriority w:val="0"/>
    <w:pPr>
      <w:spacing w:before="200" w:after="280"/>
      <w:ind w:left="936" w:right="936"/>
    </w:pPr>
    <w:rPr>
      <w:rFonts w:ascii="宋体" w:hAnsi="宋体" w:cs="宋体"/>
      <w:b/>
      <w:i/>
      <w:color w:val="4F81BD"/>
      <w:kern w:val="0"/>
      <w:sz w:val="24"/>
      <w:szCs w:val="20"/>
    </w:rPr>
  </w:style>
  <w:style w:type="paragraph" w:customStyle="1" w:styleId="434">
    <w:name w:val="普通(网站)1"/>
    <w:basedOn w:val="1"/>
    <w:next w:val="1"/>
    <w:qFormat/>
    <w:uiPriority w:val="0"/>
    <w:pPr>
      <w:widowControl/>
      <w:wordWrap w:val="0"/>
    </w:pPr>
    <w:rPr>
      <w:rFonts w:ascii="宋体" w:hAnsi="宋体" w:eastAsia="Times New Roman" w:cs="宋体"/>
      <w:kern w:val="0"/>
      <w:sz w:val="24"/>
      <w:szCs w:val="20"/>
    </w:rPr>
  </w:style>
  <w:style w:type="paragraph" w:customStyle="1" w:styleId="435">
    <w:name w:val="Char3"/>
    <w:basedOn w:val="1"/>
    <w:next w:val="436"/>
    <w:qFormat/>
    <w:uiPriority w:val="0"/>
    <w:pPr>
      <w:widowControl/>
      <w:spacing w:line="400" w:lineRule="exact"/>
      <w:jc w:val="center"/>
    </w:pPr>
    <w:rPr>
      <w:rFonts w:ascii="宋体" w:hAnsi="宋体" w:cs="宋体"/>
      <w:kern w:val="0"/>
      <w:sz w:val="24"/>
      <w:szCs w:val="20"/>
    </w:rPr>
  </w:style>
  <w:style w:type="paragraph" w:customStyle="1" w:styleId="436">
    <w:name w:val="目录 51"/>
    <w:next w:val="1"/>
    <w:qFormat/>
    <w:uiPriority w:val="0"/>
    <w:pPr>
      <w:wordWrap w:val="0"/>
      <w:ind w:left="1700"/>
      <w:jc w:val="both"/>
    </w:pPr>
    <w:rPr>
      <w:rFonts w:ascii="宋体" w:hAnsi="宋体" w:eastAsia="宋体" w:cs="宋体"/>
      <w:sz w:val="21"/>
      <w:lang w:val="en-US" w:eastAsia="zh-CN" w:bidi="ar-SA"/>
    </w:rPr>
  </w:style>
  <w:style w:type="paragraph" w:customStyle="1" w:styleId="437">
    <w:name w:val="Char Char Char Char Char Char Char111"/>
    <w:basedOn w:val="1"/>
    <w:next w:val="273"/>
    <w:qFormat/>
    <w:uiPriority w:val="0"/>
    <w:pPr>
      <w:widowControl/>
      <w:spacing w:line="400" w:lineRule="exact"/>
      <w:jc w:val="center"/>
    </w:pPr>
    <w:rPr>
      <w:rFonts w:ascii="Verdana" w:hAnsi="宋体" w:cs="宋体"/>
      <w:kern w:val="0"/>
      <w:sz w:val="24"/>
      <w:szCs w:val="20"/>
    </w:rPr>
  </w:style>
  <w:style w:type="paragraph" w:customStyle="1" w:styleId="438">
    <w:name w:val="msoquote"/>
    <w:basedOn w:val="1"/>
    <w:next w:val="1"/>
    <w:qFormat/>
    <w:uiPriority w:val="0"/>
    <w:rPr>
      <w:rFonts w:ascii="宋体" w:hAnsi="宋体" w:cs="宋体"/>
      <w:i/>
      <w:color w:val="000000"/>
      <w:kern w:val="0"/>
      <w:sz w:val="24"/>
      <w:szCs w:val="20"/>
    </w:rPr>
  </w:style>
  <w:style w:type="paragraph" w:customStyle="1" w:styleId="439">
    <w:name w:val="正文缩进_0"/>
    <w:basedOn w:val="404"/>
    <w:qFormat/>
    <w:uiPriority w:val="0"/>
    <w:pPr>
      <w:widowControl w:val="0"/>
      <w:ind w:firstLine="420"/>
      <w:jc w:val="both"/>
    </w:pPr>
    <w:rPr>
      <w:kern w:val="2"/>
      <w:u w:val="single"/>
    </w:rPr>
  </w:style>
  <w:style w:type="paragraph" w:customStyle="1" w:styleId="440">
    <w:name w:val="Char Char Char Char Char Char Char Char Char Char2"/>
    <w:basedOn w:val="1"/>
    <w:qFormat/>
    <w:uiPriority w:val="0"/>
    <w:pPr>
      <w:widowControl/>
      <w:spacing w:line="400" w:lineRule="exact"/>
      <w:jc w:val="center"/>
    </w:pPr>
    <w:rPr>
      <w:rFonts w:ascii="Verdana" w:hAnsi="Verdana" w:cs="宋体"/>
      <w:kern w:val="0"/>
      <w:sz w:val="24"/>
      <w:szCs w:val="20"/>
      <w:lang w:eastAsia="en-US"/>
    </w:rPr>
  </w:style>
  <w:style w:type="paragraph" w:customStyle="1" w:styleId="441">
    <w:name w:val="样式14"/>
    <w:next w:val="442"/>
    <w:qFormat/>
    <w:uiPriority w:val="0"/>
    <w:pPr>
      <w:widowControl w:val="0"/>
      <w:jc w:val="center"/>
    </w:pPr>
    <w:rPr>
      <w:rFonts w:ascii="Times New Roman" w:hAnsi="宋体" w:eastAsia="宋体" w:cs="宋体"/>
      <w:sz w:val="18"/>
      <w:lang w:val="en-US" w:eastAsia="zh-CN" w:bidi="ar-SA"/>
    </w:rPr>
  </w:style>
  <w:style w:type="paragraph" w:customStyle="1" w:styleId="442">
    <w:name w:val="Char Char2 Char Char Char Char3"/>
    <w:basedOn w:val="1"/>
    <w:next w:val="245"/>
    <w:qFormat/>
    <w:uiPriority w:val="0"/>
    <w:rPr>
      <w:rFonts w:ascii="Tahoma" w:hAnsi="宋体" w:cs="宋体"/>
      <w:kern w:val="0"/>
      <w:sz w:val="24"/>
      <w:szCs w:val="20"/>
    </w:rPr>
  </w:style>
  <w:style w:type="paragraph" w:customStyle="1" w:styleId="443">
    <w:name w:val="样式12"/>
    <w:next w:val="218"/>
    <w:qFormat/>
    <w:uiPriority w:val="0"/>
    <w:pPr>
      <w:widowControl w:val="0"/>
      <w:jc w:val="center"/>
    </w:pPr>
    <w:rPr>
      <w:rFonts w:ascii="Times New Roman" w:hAnsi="宋体" w:eastAsia="宋体" w:cs="宋体"/>
      <w:sz w:val="18"/>
      <w:lang w:val="en-US" w:eastAsia="zh-CN" w:bidi="ar-SA"/>
    </w:rPr>
  </w:style>
  <w:style w:type="paragraph" w:customStyle="1" w:styleId="444">
    <w:name w:val="正文文本_0"/>
    <w:basedOn w:val="287"/>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445">
    <w:name w:val="明显引用1"/>
    <w:basedOn w:val="1"/>
    <w:next w:val="1"/>
    <w:qFormat/>
    <w:uiPriority w:val="0"/>
    <w:pPr>
      <w:pBdr>
        <w:bottom w:val="single" w:color="4F81BD" w:sz="4" w:space="4"/>
      </w:pBdr>
      <w:spacing w:before="200" w:after="280"/>
      <w:ind w:left="936" w:right="936"/>
    </w:pPr>
    <w:rPr>
      <w:rFonts w:ascii="宋体" w:hAnsi="宋体" w:cs="宋体"/>
      <w:b/>
      <w:i/>
      <w:color w:val="4F81BD"/>
      <w:kern w:val="0"/>
      <w:sz w:val="22"/>
      <w:szCs w:val="20"/>
    </w:rPr>
  </w:style>
  <w:style w:type="paragraph" w:customStyle="1" w:styleId="446">
    <w:name w:val="样式10"/>
    <w:next w:val="424"/>
    <w:qFormat/>
    <w:uiPriority w:val="0"/>
    <w:pPr>
      <w:widowControl w:val="0"/>
      <w:jc w:val="center"/>
    </w:pPr>
    <w:rPr>
      <w:rFonts w:ascii="Times New Roman" w:hAnsi="宋体" w:eastAsia="宋体" w:cs="宋体"/>
      <w:sz w:val="18"/>
      <w:lang w:val="en-US" w:eastAsia="zh-CN" w:bidi="ar-SA"/>
    </w:rPr>
  </w:style>
  <w:style w:type="paragraph" w:customStyle="1" w:styleId="447">
    <w:name w:val="列出段落3"/>
    <w:basedOn w:val="1"/>
    <w:qFormat/>
    <w:uiPriority w:val="0"/>
    <w:pPr>
      <w:ind w:firstLine="420" w:firstLineChars="200"/>
    </w:pPr>
    <w:rPr>
      <w:rFonts w:ascii="宋体" w:hAnsi="宋体" w:cs="宋体"/>
      <w:kern w:val="0"/>
      <w:sz w:val="24"/>
      <w:szCs w:val="20"/>
    </w:rPr>
  </w:style>
  <w:style w:type="paragraph" w:customStyle="1" w:styleId="448">
    <w:name w:val="标题 4_0"/>
    <w:basedOn w:val="287"/>
    <w:next w:val="287"/>
    <w:qFormat/>
    <w:uiPriority w:val="0"/>
    <w:pPr>
      <w:keepNext/>
      <w:keepLines/>
      <w:spacing w:before="280" w:after="290" w:line="372" w:lineRule="auto"/>
      <w:outlineLvl w:val="3"/>
    </w:pPr>
    <w:rPr>
      <w:rFonts w:ascii="Cambria" w:hAnsi="Cambria"/>
      <w:b/>
      <w:bCs/>
      <w:sz w:val="28"/>
      <w:szCs w:val="28"/>
    </w:rPr>
  </w:style>
  <w:style w:type="paragraph" w:customStyle="1" w:styleId="449">
    <w:name w:val="列出段落2"/>
    <w:basedOn w:val="1"/>
    <w:qFormat/>
    <w:uiPriority w:val="0"/>
    <w:pPr>
      <w:ind w:firstLine="420" w:firstLineChars="200"/>
    </w:pPr>
    <w:rPr>
      <w:rFonts w:ascii="Calibri" w:hAnsi="Calibri" w:cs="宋体"/>
      <w:kern w:val="0"/>
      <w:sz w:val="24"/>
      <w:szCs w:val="20"/>
    </w:rPr>
  </w:style>
  <w:style w:type="paragraph" w:customStyle="1" w:styleId="450">
    <w:name w:val="引用1"/>
    <w:basedOn w:val="1"/>
    <w:next w:val="1"/>
    <w:qFormat/>
    <w:uiPriority w:val="0"/>
    <w:rPr>
      <w:rFonts w:ascii="宋体" w:hAnsi="宋体" w:cs="宋体"/>
      <w:i/>
      <w:color w:val="000000"/>
      <w:kern w:val="0"/>
      <w:sz w:val="22"/>
      <w:szCs w:val="20"/>
    </w:rPr>
  </w:style>
  <w:style w:type="paragraph" w:customStyle="1" w:styleId="451">
    <w:name w:val="Char Char Char Char Char Char Char Char Char Char Char Char Char Char Char2"/>
    <w:basedOn w:val="1"/>
    <w:qFormat/>
    <w:uiPriority w:val="0"/>
    <w:pPr>
      <w:widowControl/>
      <w:spacing w:line="400" w:lineRule="exact"/>
      <w:jc w:val="center"/>
    </w:pPr>
    <w:rPr>
      <w:rFonts w:ascii="Verdana" w:hAnsi="Verdana" w:cs="宋体"/>
      <w:kern w:val="0"/>
      <w:sz w:val="24"/>
      <w:szCs w:val="20"/>
      <w:lang w:eastAsia="en-US"/>
    </w:rPr>
  </w:style>
  <w:style w:type="paragraph" w:customStyle="1" w:styleId="452">
    <w:name w:val="Char Char1 Char Char Char11"/>
    <w:next w:val="23"/>
    <w:qFormat/>
    <w:uiPriority w:val="0"/>
    <w:pPr>
      <w:widowControl w:val="0"/>
      <w:shd w:val="clear" w:color="000000" w:fill="000080"/>
      <w:jc w:val="both"/>
    </w:pPr>
    <w:rPr>
      <w:rFonts w:ascii="Times New Roman" w:hAnsi="宋体" w:eastAsia="Times New Roman" w:cs="宋体"/>
      <w:sz w:val="21"/>
      <w:lang w:val="en-US" w:eastAsia="zh-CN" w:bidi="ar-SA"/>
    </w:rPr>
  </w:style>
  <w:style w:type="paragraph" w:customStyle="1" w:styleId="453">
    <w:name w:val="标题 3_0"/>
    <w:basedOn w:val="287"/>
    <w:next w:val="287"/>
    <w:qFormat/>
    <w:uiPriority w:val="0"/>
    <w:pPr>
      <w:keepNext/>
      <w:keepLines/>
      <w:spacing w:before="260" w:after="260" w:line="413" w:lineRule="auto"/>
      <w:outlineLvl w:val="2"/>
    </w:pPr>
    <w:rPr>
      <w:rFonts w:ascii="Times New Roman" w:hAnsi="Times New Roman"/>
      <w:b/>
      <w:bCs/>
      <w:sz w:val="32"/>
      <w:szCs w:val="32"/>
    </w:rPr>
  </w:style>
  <w:style w:type="paragraph" w:customStyle="1" w:styleId="454">
    <w:name w:val="目录 311"/>
    <w:basedOn w:val="1"/>
    <w:next w:val="1"/>
    <w:qFormat/>
    <w:uiPriority w:val="0"/>
    <w:pPr>
      <w:ind w:left="840"/>
    </w:pPr>
    <w:rPr>
      <w:rFonts w:ascii="宋体" w:hAnsi="宋体" w:eastAsia="仿宋_GB2312" w:cs="宋体"/>
      <w:kern w:val="0"/>
      <w:sz w:val="28"/>
      <w:szCs w:val="20"/>
    </w:rPr>
  </w:style>
  <w:style w:type="paragraph" w:customStyle="1" w:styleId="455">
    <w:name w:val="正文2"/>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56">
    <w:name w:val="reader-word-layer reader-word-s1-10"/>
    <w:basedOn w:val="1"/>
    <w:next w:val="457"/>
    <w:qFormat/>
    <w:uiPriority w:val="0"/>
    <w:pPr>
      <w:widowControl/>
      <w:spacing w:before="280" w:after="280"/>
    </w:pPr>
    <w:rPr>
      <w:rFonts w:ascii="宋体" w:hAnsi="宋体" w:cs="宋体"/>
      <w:kern w:val="0"/>
      <w:sz w:val="24"/>
      <w:szCs w:val="20"/>
    </w:rPr>
  </w:style>
  <w:style w:type="paragraph" w:customStyle="1" w:styleId="457">
    <w:name w:val="目录 411"/>
    <w:basedOn w:val="1"/>
    <w:next w:val="1"/>
    <w:qFormat/>
    <w:uiPriority w:val="0"/>
    <w:pPr>
      <w:ind w:left="630"/>
    </w:pPr>
    <w:rPr>
      <w:rFonts w:ascii="Calibri" w:hAnsi="宋体" w:cs="宋体"/>
      <w:kern w:val="0"/>
      <w:sz w:val="24"/>
      <w:szCs w:val="20"/>
    </w:rPr>
  </w:style>
  <w:style w:type="paragraph" w:customStyle="1" w:styleId="458">
    <w:name w:val="Char Char Char Char Char Char Char Char Char Char Char Char Char Char Char3"/>
    <w:basedOn w:val="1"/>
    <w:next w:val="241"/>
    <w:qFormat/>
    <w:uiPriority w:val="0"/>
    <w:pPr>
      <w:widowControl/>
      <w:spacing w:line="400" w:lineRule="exact"/>
      <w:jc w:val="center"/>
    </w:pPr>
    <w:rPr>
      <w:rFonts w:ascii="Verdana" w:hAnsi="宋体" w:cs="宋体"/>
      <w:kern w:val="0"/>
      <w:sz w:val="24"/>
      <w:szCs w:val="20"/>
    </w:rPr>
  </w:style>
  <w:style w:type="paragraph" w:customStyle="1" w:styleId="459">
    <w:name w:val="副标题2"/>
    <w:basedOn w:val="1"/>
    <w:next w:val="1"/>
    <w:qFormat/>
    <w:uiPriority w:val="0"/>
    <w:pPr>
      <w:spacing w:before="120" w:after="120"/>
    </w:pPr>
    <w:rPr>
      <w:rFonts w:ascii="Arial" w:hAnsi="宋体" w:cs="宋体"/>
      <w:b/>
      <w:color w:val="000000"/>
      <w:kern w:val="0"/>
      <w:sz w:val="20"/>
      <w:szCs w:val="20"/>
    </w:rPr>
  </w:style>
  <w:style w:type="paragraph" w:customStyle="1" w:styleId="460">
    <w:name w:val="正文缩进11"/>
    <w:basedOn w:val="1"/>
    <w:next w:val="1"/>
    <w:qFormat/>
    <w:uiPriority w:val="0"/>
    <w:pPr>
      <w:spacing w:line="360" w:lineRule="atLeast"/>
      <w:ind w:firstLine="482"/>
    </w:pPr>
    <w:rPr>
      <w:rFonts w:ascii="宋体" w:hAnsi="宋体" w:cs="宋体"/>
      <w:kern w:val="0"/>
      <w:sz w:val="24"/>
      <w:szCs w:val="20"/>
    </w:rPr>
  </w:style>
  <w:style w:type="paragraph" w:customStyle="1" w:styleId="461">
    <w:name w:val="目录 72"/>
    <w:next w:val="1"/>
    <w:qFormat/>
    <w:uiPriority w:val="0"/>
    <w:pPr>
      <w:wordWrap w:val="0"/>
      <w:ind w:left="2550"/>
      <w:jc w:val="both"/>
    </w:pPr>
    <w:rPr>
      <w:rFonts w:ascii="宋体" w:hAnsi="宋体" w:eastAsia="宋体" w:cs="宋体"/>
      <w:sz w:val="21"/>
      <w:lang w:val="en-US" w:eastAsia="zh-CN" w:bidi="ar-SA"/>
    </w:rPr>
  </w:style>
  <w:style w:type="paragraph" w:customStyle="1" w:styleId="462">
    <w:name w:val="Char Char Char Char2"/>
    <w:basedOn w:val="1"/>
    <w:next w:val="1"/>
    <w:qFormat/>
    <w:uiPriority w:val="0"/>
    <w:pPr>
      <w:widowControl/>
      <w:spacing w:after="160" w:line="240" w:lineRule="exact"/>
      <w:jc w:val="left"/>
    </w:pPr>
    <w:rPr>
      <w:rFonts w:ascii="宋体" w:hAnsi="宋体" w:cs="宋体"/>
      <w:kern w:val="0"/>
      <w:sz w:val="24"/>
      <w:szCs w:val="20"/>
    </w:rPr>
  </w:style>
  <w:style w:type="paragraph" w:customStyle="1" w:styleId="463">
    <w:name w:val="修订2"/>
    <w:qFormat/>
    <w:uiPriority w:val="0"/>
    <w:rPr>
      <w:rFonts w:ascii="Times New Roman" w:hAnsi="Times New Roman" w:eastAsia="宋体" w:cs="Times New Roman"/>
      <w:kern w:val="2"/>
      <w:sz w:val="21"/>
      <w:szCs w:val="24"/>
      <w:lang w:val="en-US" w:eastAsia="zh-CN" w:bidi="ar-SA"/>
    </w:rPr>
  </w:style>
  <w:style w:type="paragraph" w:customStyle="1" w:styleId="464">
    <w:name w:val="pa-0"/>
    <w:basedOn w:val="1"/>
    <w:next w:val="224"/>
    <w:qFormat/>
    <w:uiPriority w:val="0"/>
    <w:pPr>
      <w:widowControl/>
      <w:spacing w:line="240" w:lineRule="atLeast"/>
    </w:pPr>
    <w:rPr>
      <w:rFonts w:ascii="宋体" w:hAnsi="宋体" w:cs="宋体"/>
      <w:kern w:val="0"/>
      <w:sz w:val="24"/>
      <w:szCs w:val="20"/>
    </w:rPr>
  </w:style>
  <w:style w:type="paragraph" w:customStyle="1" w:styleId="465">
    <w:name w:val="正文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66">
    <w:name w:val="目录 62"/>
    <w:next w:val="1"/>
    <w:qFormat/>
    <w:uiPriority w:val="0"/>
    <w:pPr>
      <w:wordWrap w:val="0"/>
      <w:ind w:left="2125"/>
      <w:jc w:val="both"/>
    </w:pPr>
    <w:rPr>
      <w:rFonts w:ascii="宋体" w:hAnsi="宋体" w:eastAsia="宋体" w:cs="宋体"/>
      <w:sz w:val="21"/>
      <w:lang w:val="en-US" w:eastAsia="zh-CN" w:bidi="ar-SA"/>
    </w:rPr>
  </w:style>
  <w:style w:type="paragraph" w:customStyle="1" w:styleId="467">
    <w:name w:val="TOC 标题2"/>
    <w:basedOn w:val="5"/>
    <w:next w:val="1"/>
    <w:qFormat/>
    <w:uiPriority w:val="0"/>
    <w:pPr>
      <w:widowControl/>
      <w:spacing w:before="480" w:after="0" w:line="276" w:lineRule="auto"/>
      <w:jc w:val="left"/>
      <w:outlineLvl w:val="9"/>
    </w:pPr>
    <w:rPr>
      <w:rFonts w:ascii="Cambria" w:hAnsi="Cambria" w:cs="Times New Roman"/>
      <w:color w:val="365F91"/>
      <w:kern w:val="0"/>
      <w:sz w:val="28"/>
      <w:szCs w:val="28"/>
    </w:rPr>
  </w:style>
  <w:style w:type="paragraph" w:customStyle="1" w:styleId="468">
    <w:name w:val="reader-word-layer reader-word-s1-2"/>
    <w:basedOn w:val="1"/>
    <w:next w:val="45"/>
    <w:qFormat/>
    <w:uiPriority w:val="0"/>
    <w:pPr>
      <w:widowControl/>
      <w:spacing w:before="280" w:after="280"/>
    </w:pPr>
    <w:rPr>
      <w:rFonts w:ascii="宋体" w:hAnsi="宋体" w:cs="宋体"/>
      <w:kern w:val="0"/>
      <w:sz w:val="24"/>
      <w:szCs w:val="20"/>
    </w:rPr>
  </w:style>
  <w:style w:type="paragraph" w:customStyle="1" w:styleId="469">
    <w:name w:val="样式11"/>
    <w:basedOn w:val="35"/>
    <w:qFormat/>
    <w:uiPriority w:val="0"/>
    <w:pPr>
      <w:widowControl/>
      <w:pBdr>
        <w:bottom w:val="none" w:color="auto" w:sz="0" w:space="0"/>
      </w:pBdr>
    </w:pPr>
    <w:rPr>
      <w:rFonts w:ascii="Times New Roman" w:hAnsi="Times New Roman" w:cs="Times New Roman"/>
    </w:rPr>
  </w:style>
  <w:style w:type="paragraph" w:customStyle="1" w:styleId="470">
    <w:name w:val="正文缩进1"/>
    <w:basedOn w:val="1"/>
    <w:next w:val="235"/>
    <w:qFormat/>
    <w:uiPriority w:val="0"/>
    <w:pPr>
      <w:spacing w:line="312" w:lineRule="atLeast"/>
      <w:ind w:firstLine="420"/>
    </w:pPr>
    <w:rPr>
      <w:rFonts w:ascii="Plotter" w:hAnsi="宋体" w:cs="宋体"/>
      <w:kern w:val="0"/>
      <w:sz w:val="24"/>
      <w:szCs w:val="20"/>
    </w:rPr>
  </w:style>
  <w:style w:type="paragraph" w:customStyle="1" w:styleId="471">
    <w:name w:val="TOC 标题3"/>
    <w:basedOn w:val="5"/>
    <w:next w:val="1"/>
    <w:qFormat/>
    <w:uiPriority w:val="0"/>
    <w:pPr>
      <w:spacing w:line="576" w:lineRule="auto"/>
      <w:outlineLvl w:val="9"/>
    </w:pPr>
    <w:rPr>
      <w:rFonts w:ascii="Calibri" w:hAnsi="Calibri" w:eastAsia="黑体" w:cs="Times New Roman"/>
      <w:lang w:val="zh-CN"/>
    </w:rPr>
  </w:style>
  <w:style w:type="paragraph" w:customStyle="1" w:styleId="472">
    <w:name w:val="1"/>
    <w:basedOn w:val="1"/>
    <w:next w:val="1"/>
    <w:qFormat/>
    <w:uiPriority w:val="0"/>
    <w:rPr>
      <w:rFonts w:ascii="宋体" w:hAnsi="宋体" w:cs="宋体"/>
      <w:kern w:val="0"/>
      <w:sz w:val="24"/>
      <w:szCs w:val="20"/>
    </w:rPr>
  </w:style>
  <w:style w:type="paragraph" w:customStyle="1" w:styleId="473">
    <w:name w:val="2-2ji"/>
    <w:basedOn w:val="6"/>
    <w:qFormat/>
    <w:uiPriority w:val="0"/>
    <w:pPr>
      <w:spacing w:before="0" w:after="0" w:line="360" w:lineRule="auto"/>
      <w:jc w:val="center"/>
    </w:pPr>
    <w:rPr>
      <w:rFonts w:ascii="宋体" w:hAnsi="宋体" w:eastAsia="宋体" w:cs="Times New Roman"/>
      <w:sz w:val="36"/>
      <w:szCs w:val="24"/>
      <w:lang w:val="zh-CN"/>
    </w:rPr>
  </w:style>
  <w:style w:type="paragraph" w:customStyle="1" w:styleId="474">
    <w:name w:val="flNote"/>
    <w:basedOn w:val="1"/>
    <w:qFormat/>
    <w:uiPriority w:val="0"/>
    <w:pPr>
      <w:adjustRightInd w:val="0"/>
      <w:spacing w:before="320" w:after="160" w:line="360" w:lineRule="atLeast"/>
      <w:jc w:val="center"/>
      <w:textAlignment w:val="baseline"/>
    </w:pPr>
    <w:rPr>
      <w:rFonts w:ascii="Arial" w:hAnsi="宋体" w:eastAsia="黑体" w:cs="宋体"/>
      <w:kern w:val="0"/>
      <w:sz w:val="30"/>
      <w:szCs w:val="20"/>
    </w:rPr>
  </w:style>
  <w:style w:type="paragraph" w:customStyle="1" w:styleId="475">
    <w:name w:val="正文11"/>
    <w:next w:val="164"/>
    <w:qFormat/>
    <w:uiPriority w:val="0"/>
    <w:pPr>
      <w:widowControl w:val="0"/>
      <w:spacing w:line="315" w:lineRule="atLeast"/>
      <w:jc w:val="both"/>
    </w:pPr>
    <w:rPr>
      <w:rFonts w:ascii="宋体" w:hAnsi="宋体" w:eastAsia="宋体" w:cs="宋体"/>
      <w:sz w:val="24"/>
      <w:lang w:val="en-US" w:eastAsia="zh-CN" w:bidi="ar-SA"/>
    </w:rPr>
  </w:style>
  <w:style w:type="paragraph" w:customStyle="1" w:styleId="476">
    <w:name w:val="Char Char Char Char Char Char Char Char Char Char Char Char Char2"/>
    <w:basedOn w:val="1"/>
    <w:qFormat/>
    <w:uiPriority w:val="0"/>
    <w:pPr>
      <w:tabs>
        <w:tab w:val="left" w:pos="420"/>
      </w:tabs>
      <w:ind w:left="420" w:hanging="420"/>
    </w:pPr>
    <w:rPr>
      <w:rFonts w:ascii="Tahoma" w:hAnsi="Tahoma" w:cs="宋体"/>
      <w:kern w:val="0"/>
      <w:sz w:val="24"/>
      <w:szCs w:val="20"/>
    </w:rPr>
  </w:style>
  <w:style w:type="paragraph" w:customStyle="1" w:styleId="477">
    <w:name w:val="样式 标题 2 + (西文) 宋体 居中"/>
    <w:basedOn w:val="6"/>
    <w:next w:val="270"/>
    <w:qFormat/>
    <w:uiPriority w:val="0"/>
    <w:pPr>
      <w:keepNext w:val="0"/>
      <w:keepLines w:val="0"/>
      <w:spacing w:line="416" w:lineRule="auto"/>
      <w:jc w:val="center"/>
    </w:pPr>
    <w:rPr>
      <w:rFonts w:ascii="宋体" w:hAnsi="宋体" w:cs="宋体"/>
      <w:bCs w:val="0"/>
      <w:kern w:val="0"/>
      <w:szCs w:val="20"/>
    </w:rPr>
  </w:style>
  <w:style w:type="paragraph" w:customStyle="1" w:styleId="478">
    <w:name w:val="Char Char1 Char Char Char2"/>
    <w:basedOn w:val="18"/>
    <w:qFormat/>
    <w:uiPriority w:val="0"/>
    <w:rPr>
      <w:rFonts w:ascii="Times New Roman" w:hAnsi="Times New Roman" w:eastAsia="Times New Roman" w:cs="Times New Roman"/>
      <w:sz w:val="21"/>
      <w:shd w:val="clear" w:color="auto" w:fill="000080"/>
    </w:rPr>
  </w:style>
  <w:style w:type="paragraph" w:customStyle="1" w:styleId="479">
    <w:name w:val="目录 11"/>
    <w:next w:val="1"/>
    <w:qFormat/>
    <w:uiPriority w:val="0"/>
    <w:pPr>
      <w:wordWrap w:val="0"/>
      <w:jc w:val="both"/>
    </w:pPr>
    <w:rPr>
      <w:rFonts w:ascii="宋体" w:hAnsi="宋体" w:eastAsia="宋体" w:cs="宋体"/>
      <w:sz w:val="21"/>
      <w:lang w:val="en-US" w:eastAsia="zh-CN" w:bidi="ar-SA"/>
    </w:rPr>
  </w:style>
  <w:style w:type="paragraph" w:customStyle="1" w:styleId="480">
    <w:name w:val="Char Char Char Char Char Char Char12"/>
    <w:basedOn w:val="1"/>
    <w:qFormat/>
    <w:uiPriority w:val="0"/>
    <w:pPr>
      <w:widowControl/>
      <w:spacing w:line="400" w:lineRule="exact"/>
      <w:jc w:val="center"/>
    </w:pPr>
    <w:rPr>
      <w:rFonts w:ascii="Verdana" w:hAnsi="Verdana" w:cs="宋体"/>
      <w:kern w:val="0"/>
      <w:sz w:val="24"/>
      <w:szCs w:val="20"/>
      <w:lang w:eastAsia="en-US"/>
    </w:rPr>
  </w:style>
  <w:style w:type="paragraph" w:customStyle="1" w:styleId="481">
    <w:name w:val="目录 511"/>
    <w:basedOn w:val="1"/>
    <w:next w:val="1"/>
    <w:qFormat/>
    <w:uiPriority w:val="0"/>
    <w:pPr>
      <w:ind w:left="1050"/>
    </w:pPr>
    <w:rPr>
      <w:rFonts w:ascii="Calibri" w:hAnsi="宋体" w:cs="宋体"/>
      <w:kern w:val="0"/>
      <w:sz w:val="24"/>
      <w:szCs w:val="20"/>
    </w:rPr>
  </w:style>
  <w:style w:type="character" w:customStyle="1" w:styleId="482">
    <w:name w:val="first-child"/>
    <w:qFormat/>
    <w:uiPriority w:val="0"/>
  </w:style>
  <w:style w:type="character" w:customStyle="1" w:styleId="483">
    <w:name w:val="hover2"/>
    <w:qFormat/>
    <w:uiPriority w:val="0"/>
    <w:rPr>
      <w:color w:val="FFFFFF"/>
    </w:rPr>
  </w:style>
  <w:style w:type="character" w:customStyle="1" w:styleId="484">
    <w:name w:val="hover3"/>
    <w:qFormat/>
    <w:uiPriority w:val="0"/>
    <w:rPr>
      <w:color w:val="5FB878"/>
    </w:rPr>
  </w:style>
  <w:style w:type="character" w:customStyle="1" w:styleId="485">
    <w:name w:val="hover4"/>
    <w:qFormat/>
    <w:uiPriority w:val="0"/>
    <w:rPr>
      <w:color w:val="5FB878"/>
    </w:rPr>
  </w:style>
  <w:style w:type="character" w:customStyle="1" w:styleId="486">
    <w:name w:val="layui-this"/>
    <w:qFormat/>
    <w:uiPriority w:val="0"/>
    <w:rPr>
      <w:bdr w:val="single" w:color="EEEEEE" w:sz="6" w:space="0"/>
      <w:shd w:val="clear" w:color="auto" w:fill="FFFFFF"/>
    </w:rPr>
  </w:style>
  <w:style w:type="character" w:customStyle="1" w:styleId="487">
    <w:name w:val="hover"/>
    <w:basedOn w:val="53"/>
    <w:qFormat/>
    <w:uiPriority w:val="0"/>
    <w:rPr>
      <w:color w:val="5FB878"/>
    </w:rPr>
  </w:style>
  <w:style w:type="character" w:customStyle="1" w:styleId="488">
    <w:name w:val="hover1"/>
    <w:basedOn w:val="53"/>
    <w:qFormat/>
    <w:uiPriority w:val="0"/>
    <w:rPr>
      <w:color w:val="5FB878"/>
    </w:rPr>
  </w:style>
  <w:style w:type="character" w:customStyle="1" w:styleId="489">
    <w:name w:val="fouce"/>
    <w:basedOn w:val="53"/>
    <w:qFormat/>
    <w:uiPriority w:val="0"/>
    <w:rPr>
      <w:rFonts w:ascii="微软雅黑" w:hAnsi="微软雅黑" w:eastAsia="微软雅黑" w:cs="微软雅黑"/>
      <w:color w:val="FFFFFF"/>
      <w:sz w:val="27"/>
      <w:szCs w:val="27"/>
      <w:shd w:val="clear" w:color="auto" w:fill="1067B7"/>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2CB25B-93BB-442A-9605-AF27D05820FE}">
  <ds:schemaRefs/>
</ds:datastoreItem>
</file>

<file path=docProps/app.xml><?xml version="1.0" encoding="utf-8"?>
<Properties xmlns="http://schemas.openxmlformats.org/officeDocument/2006/extended-properties" xmlns:vt="http://schemas.openxmlformats.org/officeDocument/2006/docPropsVTypes">
  <Template>Normal.dotm</Template>
  <Company>dll</Company>
  <Pages>60</Pages>
  <Words>28277</Words>
  <Characters>29462</Characters>
  <Lines>200</Lines>
  <Paragraphs>56</Paragraphs>
  <TotalTime>30</TotalTime>
  <ScaleCrop>false</ScaleCrop>
  <LinksUpToDate>false</LinksUpToDate>
  <CharactersWithSpaces>31754</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2020-05-07T11:28:00Z</dcterms:created>
  <dc:creator>Administrator</dc:creator>
  <cp:lastModifiedBy>蛋壳里De小妖怪。</cp:lastModifiedBy>
  <cp:lastPrinted>2023-07-12T08:59:00Z</cp:lastPrinted>
  <dcterms:modified xsi:type="dcterms:W3CDTF">2025-09-17T06:32:21Z</dcterms:modified>
  <dc:title>工程</dc:title>
  <cp:revision>652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27D78FCA7D0042C49F7221485E64185F</vt:lpwstr>
  </property>
</Properties>
</file>