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360" w:lineRule="auto"/>
        <w:rPr>
          <w:rStyle w:val="8"/>
          <w:rFonts w:hint="default"/>
          <w:color w:val="auto"/>
          <w:sz w:val="28"/>
          <w:szCs w:val="28"/>
          <w:highlight w:val="none"/>
        </w:rPr>
      </w:pPr>
      <w:bookmarkStart w:id="0" w:name="OLE_LINK2"/>
      <w:bookmarkStart w:id="1" w:name="OLE_LINK3"/>
      <w:bookmarkStart w:id="2" w:name="OLE_LINK1"/>
      <w:bookmarkStart w:id="3" w:name="OLE_LINK4"/>
      <w:r>
        <w:rPr>
          <w:rStyle w:val="8"/>
          <w:rFonts w:hint="default"/>
          <w:color w:val="auto"/>
          <w:sz w:val="28"/>
          <w:szCs w:val="28"/>
          <w:highlight w:val="none"/>
        </w:rPr>
        <w:t>2025年度通吕运河水利枢纽安全监测项目</w:t>
      </w:r>
      <w:bookmarkStart w:id="7" w:name="_GoBack"/>
      <w:bookmarkEnd w:id="7"/>
      <w:r>
        <w:rPr>
          <w:rStyle w:val="8"/>
          <w:rFonts w:hint="default"/>
          <w:color w:val="auto"/>
          <w:sz w:val="28"/>
          <w:szCs w:val="28"/>
          <w:highlight w:val="none"/>
        </w:rPr>
        <w:t>招标公告</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4" w:type="dxa"/>
          </w:tcPr>
          <w:p>
            <w:pPr>
              <w:widowControl/>
              <w:snapToGrid w:val="0"/>
              <w:spacing w:line="360" w:lineRule="auto"/>
              <w:jc w:val="left"/>
              <w:rPr>
                <w:rFonts w:ascii="宋体" w:hAnsi="宋体"/>
                <w:color w:val="auto"/>
                <w:sz w:val="24"/>
                <w:highlight w:val="none"/>
              </w:rPr>
            </w:pPr>
            <w:r>
              <w:rPr>
                <w:rFonts w:ascii="宋体" w:hAnsi="宋体"/>
                <w:color w:val="auto"/>
                <w:sz w:val="24"/>
                <w:highlight w:val="none"/>
              </w:rPr>
              <w:t>项目概况</w:t>
            </w:r>
          </w:p>
          <w:p>
            <w:pPr>
              <w:kinsoku w:val="0"/>
              <w:overflowPunct w:val="0"/>
              <w:autoSpaceDE w:val="0"/>
              <w:autoSpaceDN w:val="0"/>
              <w:snapToGrid w:val="0"/>
              <w:spacing w:line="360" w:lineRule="auto"/>
              <w:ind w:firstLine="480" w:firstLineChars="200"/>
              <w:outlineLvl w:val="1"/>
              <w:rPr>
                <w:rFonts w:ascii="宋体" w:hAnsi="宋体"/>
                <w:b/>
                <w:color w:val="auto"/>
                <w:sz w:val="24"/>
                <w:highlight w:val="none"/>
              </w:rPr>
            </w:pPr>
            <w:r>
              <w:rPr>
                <w:rFonts w:hint="eastAsia" w:ascii="宋体" w:hAnsi="宋体"/>
                <w:color w:val="auto"/>
                <w:sz w:val="24"/>
                <w:highlight w:val="none"/>
                <w:u w:val="single"/>
                <w:lang w:eastAsia="zh-CN"/>
              </w:rPr>
              <w:t>2025年度通吕运河水利枢纽安全监测项目</w:t>
            </w:r>
            <w:r>
              <w:rPr>
                <w:rFonts w:ascii="宋体" w:hAnsi="宋体"/>
                <w:color w:val="auto"/>
                <w:sz w:val="24"/>
                <w:highlight w:val="none"/>
              </w:rPr>
              <w:t>的潜在供应商应在</w:t>
            </w:r>
            <w:r>
              <w:rPr>
                <w:rFonts w:hint="eastAsia" w:ascii="宋体" w:hAnsi="宋体"/>
                <w:color w:val="auto"/>
                <w:sz w:val="24"/>
                <w:szCs w:val="21"/>
                <w:highlight w:val="none"/>
                <w:u w:val="single"/>
                <w:lang w:val="zh-CN"/>
              </w:rPr>
              <w:t>南通市水利局网站（</w:t>
            </w:r>
            <w:r>
              <w:rPr>
                <w:rFonts w:ascii="宋体" w:hAnsi="宋体"/>
                <w:color w:val="auto"/>
                <w:szCs w:val="21"/>
                <w:highlight w:val="none"/>
                <w:u w:val="single"/>
                <w:lang w:val="zh-CN"/>
              </w:rPr>
              <w:t>http://slj.nantong.gov.cn/</w:t>
            </w:r>
            <w:r>
              <w:rPr>
                <w:rFonts w:hint="eastAsia" w:ascii="宋体" w:hAnsi="宋体"/>
                <w:color w:val="auto"/>
                <w:sz w:val="24"/>
                <w:szCs w:val="21"/>
                <w:highlight w:val="none"/>
                <w:u w:val="single"/>
                <w:lang w:val="zh-CN"/>
              </w:rPr>
              <w:t>）</w:t>
            </w:r>
            <w:r>
              <w:rPr>
                <w:rFonts w:ascii="宋体" w:hAnsi="宋体"/>
                <w:color w:val="auto"/>
                <w:szCs w:val="21"/>
                <w:highlight w:val="none"/>
                <w:u w:val="single"/>
                <w:lang w:val="zh-CN"/>
              </w:rPr>
              <w:t>-</w:t>
            </w:r>
            <w:r>
              <w:rPr>
                <w:rFonts w:hint="eastAsia" w:ascii="宋体" w:hAnsi="宋体"/>
                <w:color w:val="auto"/>
                <w:sz w:val="24"/>
                <w:szCs w:val="21"/>
                <w:highlight w:val="none"/>
                <w:u w:val="single"/>
                <w:lang w:val="zh-CN"/>
              </w:rPr>
              <w:t>公告公示栏目</w:t>
            </w:r>
            <w:r>
              <w:rPr>
                <w:rFonts w:ascii="宋体" w:hAnsi="宋体"/>
                <w:color w:val="auto"/>
                <w:sz w:val="24"/>
                <w:highlight w:val="none"/>
                <w:u w:val="single"/>
              </w:rPr>
              <w:t>本公告附件中</w:t>
            </w:r>
            <w:r>
              <w:rPr>
                <w:rFonts w:ascii="宋体" w:hAnsi="宋体"/>
                <w:color w:val="auto"/>
                <w:sz w:val="24"/>
                <w:highlight w:val="none"/>
              </w:rPr>
              <w:t>获取采购文件，并于</w:t>
            </w:r>
            <w:r>
              <w:rPr>
                <w:rFonts w:ascii="宋体" w:hAnsi="宋体"/>
                <w:color w:val="auto"/>
                <w:sz w:val="24"/>
                <w:highlight w:val="none"/>
                <w:u w:val="single"/>
              </w:rPr>
              <w:t>202</w:t>
            </w:r>
            <w:r>
              <w:rPr>
                <w:rFonts w:hint="eastAsia" w:ascii="宋体" w:hAnsi="宋体"/>
                <w:color w:val="auto"/>
                <w:sz w:val="24"/>
                <w:highlight w:val="none"/>
                <w:u w:val="single"/>
                <w:lang w:val="en-US" w:eastAsia="zh-CN"/>
              </w:rPr>
              <w:t>5</w:t>
            </w:r>
            <w:r>
              <w:rPr>
                <w:rFonts w:ascii="宋体" w:hAnsi="宋体"/>
                <w:color w:val="auto"/>
                <w:sz w:val="24"/>
                <w:highlight w:val="none"/>
              </w:rPr>
              <w:t>年</w:t>
            </w:r>
            <w:r>
              <w:rPr>
                <w:rFonts w:hint="eastAsia" w:ascii="宋体" w:hAnsi="宋体"/>
                <w:color w:val="auto"/>
                <w:sz w:val="24"/>
                <w:highlight w:val="none"/>
                <w:u w:val="single"/>
                <w:lang w:val="en-US" w:eastAsia="zh-CN"/>
              </w:rPr>
              <w:t>2</w:t>
            </w:r>
            <w:r>
              <w:rPr>
                <w:rFonts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26</w:t>
            </w:r>
            <w:r>
              <w:rPr>
                <w:rFonts w:ascii="宋体" w:hAnsi="宋体"/>
                <w:color w:val="auto"/>
                <w:sz w:val="24"/>
                <w:highlight w:val="none"/>
              </w:rPr>
              <w:t>日</w:t>
            </w:r>
            <w:r>
              <w:rPr>
                <w:rFonts w:hint="eastAsia" w:ascii="宋体" w:hAnsi="宋体"/>
                <w:color w:val="auto"/>
                <w:sz w:val="24"/>
                <w:highlight w:val="none"/>
                <w:u w:val="single"/>
                <w:lang w:val="en-US" w:eastAsia="zh-CN"/>
              </w:rPr>
              <w:t>09</w:t>
            </w:r>
            <w:r>
              <w:rPr>
                <w:rFonts w:ascii="宋体" w:hAnsi="宋体"/>
                <w:color w:val="auto"/>
                <w:sz w:val="24"/>
                <w:highlight w:val="none"/>
              </w:rPr>
              <w:t>时</w:t>
            </w:r>
            <w:r>
              <w:rPr>
                <w:rFonts w:hint="eastAsia" w:ascii="宋体" w:hAnsi="宋体"/>
                <w:color w:val="auto"/>
                <w:sz w:val="24"/>
                <w:highlight w:val="none"/>
                <w:u w:val="single"/>
                <w:lang w:val="en-US" w:eastAsia="zh-CN"/>
              </w:rPr>
              <w:t>30</w:t>
            </w:r>
            <w:r>
              <w:rPr>
                <w:rFonts w:ascii="宋体" w:hAnsi="宋体"/>
                <w:color w:val="auto"/>
                <w:sz w:val="24"/>
                <w:highlight w:val="none"/>
              </w:rPr>
              <w:t>分（北京时间）前提交响应文件。</w:t>
            </w:r>
          </w:p>
        </w:tc>
      </w:tr>
    </w:tbl>
    <w:p>
      <w:pPr>
        <w:kinsoku w:val="0"/>
        <w:overflowPunct w:val="0"/>
        <w:autoSpaceDE w:val="0"/>
        <w:autoSpaceDN w:val="0"/>
        <w:snapToGrid w:val="0"/>
        <w:spacing w:line="360" w:lineRule="auto"/>
        <w:ind w:firstLine="482" w:firstLineChars="200"/>
        <w:outlineLvl w:val="1"/>
        <w:rPr>
          <w:rFonts w:ascii="宋体" w:hAnsi="宋体"/>
          <w:b/>
          <w:color w:val="auto"/>
          <w:sz w:val="24"/>
          <w:highlight w:val="none"/>
        </w:rPr>
      </w:pPr>
      <w:r>
        <w:rPr>
          <w:rFonts w:ascii="宋体" w:hAnsi="宋体"/>
          <w:b/>
          <w:color w:val="auto"/>
          <w:sz w:val="24"/>
          <w:highlight w:val="none"/>
        </w:rPr>
        <w:t>一、项目基本情况</w:t>
      </w:r>
    </w:p>
    <w:p>
      <w:pPr>
        <w:widowControl/>
        <w:snapToGrid w:val="0"/>
        <w:spacing w:line="360" w:lineRule="auto"/>
        <w:ind w:firstLine="480" w:firstLineChars="200"/>
        <w:jc w:val="left"/>
        <w:rPr>
          <w:rFonts w:hint="eastAsia" w:ascii="宋体" w:hAnsi="宋体" w:eastAsia="宋体"/>
          <w:color w:val="auto"/>
          <w:sz w:val="24"/>
          <w:highlight w:val="none"/>
          <w:lang w:eastAsia="zh-CN"/>
        </w:rPr>
      </w:pPr>
      <w:r>
        <w:rPr>
          <w:rFonts w:ascii="宋体" w:hAnsi="宋体"/>
          <w:color w:val="auto"/>
          <w:sz w:val="24"/>
          <w:highlight w:val="none"/>
        </w:rPr>
        <w:t>1、项目名称：</w:t>
      </w:r>
      <w:r>
        <w:rPr>
          <w:rFonts w:hint="eastAsia" w:ascii="宋体" w:hAnsi="宋体"/>
          <w:color w:val="auto"/>
          <w:sz w:val="24"/>
          <w:highlight w:val="none"/>
          <w:lang w:eastAsia="zh-CN"/>
        </w:rPr>
        <w:t>2025年度通吕运河水利枢纽安全监测项目</w:t>
      </w:r>
    </w:p>
    <w:p>
      <w:pPr>
        <w:widowControl/>
        <w:snapToGrid w:val="0"/>
        <w:spacing w:line="360" w:lineRule="auto"/>
        <w:ind w:firstLine="480" w:firstLineChars="200"/>
        <w:jc w:val="left"/>
        <w:rPr>
          <w:rFonts w:ascii="宋体" w:hAnsi="宋体"/>
          <w:color w:val="auto"/>
          <w:sz w:val="24"/>
          <w:highlight w:val="none"/>
        </w:rPr>
      </w:pPr>
      <w:r>
        <w:rPr>
          <w:rFonts w:ascii="宋体" w:hAnsi="宋体"/>
          <w:color w:val="auto"/>
          <w:sz w:val="24"/>
          <w:highlight w:val="none"/>
        </w:rPr>
        <w:t>2、预算金额：</w:t>
      </w:r>
      <w:r>
        <w:rPr>
          <w:rFonts w:hint="eastAsia" w:ascii="宋体" w:hAnsi="宋体"/>
          <w:color w:val="auto"/>
          <w:sz w:val="24"/>
          <w:highlight w:val="none"/>
          <w:lang w:val="en-US" w:eastAsia="zh-CN"/>
        </w:rPr>
        <w:t>15</w:t>
      </w:r>
      <w:r>
        <w:rPr>
          <w:rFonts w:hint="eastAsia" w:ascii="宋体" w:hAnsi="宋体"/>
          <w:color w:val="auto"/>
          <w:sz w:val="24"/>
          <w:highlight w:val="none"/>
        </w:rPr>
        <w:t>万</w:t>
      </w:r>
      <w:r>
        <w:rPr>
          <w:rFonts w:ascii="宋体" w:hAnsi="宋体"/>
          <w:color w:val="auto"/>
          <w:sz w:val="24"/>
          <w:highlight w:val="none"/>
        </w:rPr>
        <w:t>元</w:t>
      </w:r>
    </w:p>
    <w:p>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3、最高限价：</w:t>
      </w:r>
      <w:r>
        <w:rPr>
          <w:rFonts w:hint="eastAsia" w:ascii="宋体" w:hAnsi="宋体"/>
          <w:color w:val="auto"/>
          <w:sz w:val="24"/>
          <w:highlight w:val="none"/>
          <w:lang w:val="en-US" w:eastAsia="zh-CN"/>
        </w:rPr>
        <w:t>15</w:t>
      </w:r>
      <w:r>
        <w:rPr>
          <w:rFonts w:hint="eastAsia" w:ascii="宋体" w:hAnsi="宋体"/>
          <w:color w:val="auto"/>
          <w:sz w:val="24"/>
          <w:highlight w:val="none"/>
        </w:rPr>
        <w:t>万</w:t>
      </w:r>
      <w:r>
        <w:rPr>
          <w:rFonts w:ascii="宋体" w:hAnsi="宋体"/>
          <w:color w:val="auto"/>
          <w:sz w:val="24"/>
          <w:highlight w:val="none"/>
        </w:rPr>
        <w:t>元，报价超过</w:t>
      </w:r>
      <w:r>
        <w:rPr>
          <w:rFonts w:hint="eastAsia" w:ascii="宋体" w:hAnsi="宋体"/>
          <w:color w:val="auto"/>
          <w:sz w:val="24"/>
          <w:highlight w:val="none"/>
        </w:rPr>
        <w:t>最高限价</w:t>
      </w:r>
      <w:r>
        <w:rPr>
          <w:rFonts w:ascii="宋体" w:hAnsi="宋体"/>
          <w:color w:val="auto"/>
          <w:sz w:val="24"/>
          <w:highlight w:val="none"/>
        </w:rPr>
        <w:t>的为无效响应文件。</w:t>
      </w:r>
    </w:p>
    <w:p>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4</w:t>
      </w:r>
      <w:r>
        <w:rPr>
          <w:rFonts w:ascii="宋体" w:hAnsi="宋体"/>
          <w:color w:val="auto"/>
          <w:sz w:val="24"/>
          <w:highlight w:val="none"/>
        </w:rPr>
        <w:t>、采购需求：详见第三章</w:t>
      </w:r>
    </w:p>
    <w:p>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5、合同履行期限：</w:t>
      </w:r>
      <w:r>
        <w:rPr>
          <w:rFonts w:hint="eastAsia" w:ascii="宋体" w:hAnsi="宋体" w:cs="宋体"/>
          <w:color w:val="auto"/>
          <w:sz w:val="24"/>
          <w:highlight w:val="none"/>
        </w:rPr>
        <w:t>自合同签订之日起至202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年12月31日止。</w:t>
      </w:r>
    </w:p>
    <w:p>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6、本项目不接受联合体投标。</w:t>
      </w:r>
    </w:p>
    <w:p>
      <w:pPr>
        <w:kinsoku w:val="0"/>
        <w:overflowPunct w:val="0"/>
        <w:autoSpaceDE w:val="0"/>
        <w:autoSpaceDN w:val="0"/>
        <w:snapToGrid w:val="0"/>
        <w:spacing w:line="360" w:lineRule="auto"/>
        <w:ind w:firstLine="482" w:firstLineChars="200"/>
        <w:outlineLvl w:val="1"/>
        <w:rPr>
          <w:rFonts w:ascii="宋体" w:hAnsi="宋体"/>
          <w:b/>
          <w:color w:val="auto"/>
          <w:sz w:val="24"/>
          <w:highlight w:val="none"/>
        </w:rPr>
      </w:pPr>
      <w:r>
        <w:rPr>
          <w:rFonts w:ascii="宋体" w:hAnsi="宋体"/>
          <w:b/>
          <w:color w:val="auto"/>
          <w:sz w:val="24"/>
          <w:highlight w:val="none"/>
        </w:rPr>
        <w:t>二、</w:t>
      </w:r>
      <w:r>
        <w:rPr>
          <w:rFonts w:hint="eastAsia" w:ascii="宋体" w:hAnsi="宋体"/>
          <w:b/>
          <w:color w:val="auto"/>
          <w:sz w:val="24"/>
          <w:highlight w:val="none"/>
        </w:rPr>
        <w:t>投标人</w:t>
      </w:r>
      <w:r>
        <w:rPr>
          <w:rFonts w:ascii="宋体" w:hAnsi="宋体"/>
          <w:b/>
          <w:color w:val="auto"/>
          <w:sz w:val="24"/>
          <w:highlight w:val="none"/>
        </w:rPr>
        <w:t>的资格要求：</w:t>
      </w:r>
    </w:p>
    <w:p>
      <w:pPr>
        <w:widowControl/>
        <w:shd w:val="clear" w:color="auto" w:fill="FFFFFF"/>
        <w:spacing w:line="360" w:lineRule="auto"/>
        <w:ind w:firstLine="480" w:firstLineChars="200"/>
        <w:jc w:val="left"/>
        <w:rPr>
          <w:rFonts w:hint="eastAsia" w:ascii="宋体" w:hAnsi="宋体" w:cs="宋体"/>
          <w:bCs/>
          <w:color w:val="auto"/>
          <w:sz w:val="24"/>
          <w:highlight w:val="none"/>
        </w:rPr>
      </w:pPr>
      <w:r>
        <w:rPr>
          <w:rFonts w:hint="eastAsia" w:ascii="宋体" w:hAnsi="宋体" w:cs="宋体"/>
          <w:bCs/>
          <w:color w:val="auto"/>
          <w:sz w:val="24"/>
          <w:highlight w:val="none"/>
        </w:rPr>
        <w:t>1、满足《中华人民共和国政府采购法》第二十二条规定。</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eastAsia="zh-CN"/>
        </w:rPr>
        <w:t>、</w:t>
      </w:r>
      <w:r>
        <w:rPr>
          <w:rFonts w:hint="eastAsia" w:ascii="宋体" w:hAnsi="宋体" w:cs="宋体"/>
          <w:color w:val="auto"/>
          <w:sz w:val="24"/>
          <w:highlight w:val="none"/>
        </w:rPr>
        <w:t>落实政府采购政策需满足的资格要求：</w:t>
      </w:r>
      <w:r>
        <w:rPr>
          <w:rFonts w:hint="eastAsia" w:ascii="宋体" w:hAnsi="宋体" w:cs="宋体"/>
          <w:color w:val="auto"/>
          <w:sz w:val="24"/>
          <w:highlight w:val="none"/>
          <w:u w:val="single"/>
        </w:rPr>
        <w:t>本项目属于专门面向中小企业（含残疾人福利性单位、监狱企业）采购的项目,供应商应为中小微企业、监狱企业或残疾人福利性单位，并按照采购文件要求提供《中小企业声明函》、《残疾人福利性单位声明函》或监狱和戒毒企业证明材料</w:t>
      </w:r>
      <w:r>
        <w:rPr>
          <w:rFonts w:hint="eastAsia" w:ascii="宋体" w:hAnsi="宋体" w:cs="宋体"/>
          <w:color w:val="auto"/>
          <w:sz w:val="24"/>
          <w:highlight w:val="none"/>
        </w:rPr>
        <w:t>。</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本项目采购标的对应的中小企业划分标准所属行业为其他未列明行业。</w:t>
      </w:r>
      <w:r>
        <w:rPr>
          <w:rFonts w:hint="eastAsia" w:ascii="宋体" w:hAnsi="宋体" w:cs="宋体"/>
          <w:color w:val="auto"/>
          <w:sz w:val="24"/>
          <w:highlight w:val="none"/>
          <w:shd w:val="clear" w:color="auto" w:fill="FFFFFF"/>
        </w:rPr>
        <w:t>从业人员300人以下的为中小微型企业。其中，从业人员100人及以上的为中型企业；从业人员10人及以上的为小型企业；从业人员10人以下的为微型企业</w:t>
      </w:r>
      <w:r>
        <w:rPr>
          <w:rFonts w:hint="eastAsia" w:ascii="宋体" w:hAnsi="宋体" w:cs="宋体"/>
          <w:color w:val="auto"/>
          <w:sz w:val="24"/>
          <w:highlight w:val="none"/>
        </w:rPr>
        <w:t>。</w:t>
      </w:r>
    </w:p>
    <w:p>
      <w:pPr>
        <w:widowControl/>
        <w:shd w:val="clear" w:color="auto" w:fill="FFFFFF"/>
        <w:spacing w:line="360" w:lineRule="auto"/>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lang w:val="en-US" w:eastAsia="zh-CN"/>
        </w:rPr>
        <w:t>3</w:t>
      </w:r>
      <w:r>
        <w:rPr>
          <w:rFonts w:hint="eastAsia" w:ascii="宋体" w:hAnsi="宋体" w:cs="宋体"/>
          <w:bCs/>
          <w:color w:val="auto"/>
          <w:sz w:val="24"/>
          <w:highlight w:val="none"/>
        </w:rPr>
        <w:t>、投标单位具有独立法人资格和工程测量乙级及以上测绘资质；</w:t>
      </w:r>
    </w:p>
    <w:p>
      <w:pPr>
        <w:widowControl/>
        <w:shd w:val="clear" w:color="auto" w:fill="FFFFFF"/>
        <w:spacing w:line="360" w:lineRule="auto"/>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lang w:val="en-US" w:eastAsia="zh-CN"/>
        </w:rPr>
        <w:t>4</w:t>
      </w:r>
      <w:r>
        <w:rPr>
          <w:rFonts w:hint="eastAsia" w:ascii="宋体" w:hAnsi="宋体" w:cs="宋体"/>
          <w:bCs/>
          <w:color w:val="auto"/>
          <w:sz w:val="24"/>
          <w:highlight w:val="none"/>
        </w:rPr>
        <w:t>、拟派本项目负责人具备水利工程专业中级及以上职称（需提供人员证书复印件及投标企业所在地社保机构出具的企业为其缴纳的最近6个月中任意一个月的社保缴费证明并加盖公章，可提供原件扫描件或官网打印具有二维码或验证码的官网打印件或截图）。</w:t>
      </w:r>
    </w:p>
    <w:p>
      <w:pPr>
        <w:widowControl/>
        <w:shd w:val="clear" w:color="auto" w:fill="FFFFFF"/>
        <w:spacing w:line="360" w:lineRule="auto"/>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lang w:val="en-US" w:eastAsia="zh-CN"/>
        </w:rPr>
        <w:t>5</w:t>
      </w:r>
      <w:r>
        <w:rPr>
          <w:rFonts w:hint="eastAsia" w:ascii="宋体" w:hAnsi="宋体" w:cs="宋体"/>
          <w:bCs/>
          <w:color w:val="auto"/>
          <w:sz w:val="24"/>
          <w:highlight w:val="none"/>
        </w:rPr>
        <w:t>、投标单位未被“信用中国”网站列入失信被执行人、重大税收违法</w:t>
      </w:r>
      <w:r>
        <w:rPr>
          <w:rFonts w:hint="eastAsia" w:ascii="宋体" w:hAnsi="宋体" w:cs="宋体"/>
          <w:bCs/>
          <w:color w:val="auto"/>
          <w:sz w:val="24"/>
          <w:highlight w:val="none"/>
          <w:lang w:val="en-US" w:eastAsia="zh-CN"/>
        </w:rPr>
        <w:t>失信主体</w:t>
      </w:r>
      <w:r>
        <w:rPr>
          <w:rFonts w:hint="eastAsia" w:ascii="宋体" w:hAnsi="宋体" w:cs="宋体"/>
          <w:bCs/>
          <w:color w:val="auto"/>
          <w:sz w:val="24"/>
          <w:highlight w:val="none"/>
        </w:rPr>
        <w:t>、政府采购严重违法失信行为记录名单、</w:t>
      </w:r>
      <w:r>
        <w:rPr>
          <w:rFonts w:hint="eastAsia" w:ascii="宋体" w:hAnsi="宋体" w:cs="宋体"/>
          <w:bCs/>
          <w:color w:val="auto"/>
          <w:sz w:val="24"/>
          <w:highlight w:val="none"/>
          <w:lang w:val="en-US" w:eastAsia="zh-CN"/>
        </w:rPr>
        <w:t>经营（活动）</w:t>
      </w:r>
      <w:r>
        <w:rPr>
          <w:rFonts w:hint="eastAsia" w:ascii="宋体" w:hAnsi="宋体" w:cs="宋体"/>
          <w:bCs/>
          <w:color w:val="auto"/>
          <w:sz w:val="24"/>
          <w:highlight w:val="none"/>
        </w:rPr>
        <w:t>异常名录、严重失信</w:t>
      </w:r>
      <w:r>
        <w:rPr>
          <w:rFonts w:hint="eastAsia" w:ascii="宋体" w:hAnsi="宋体" w:cs="宋体"/>
          <w:bCs/>
          <w:color w:val="auto"/>
          <w:sz w:val="24"/>
          <w:highlight w:val="none"/>
          <w:lang w:val="en-US" w:eastAsia="zh-CN"/>
        </w:rPr>
        <w:t>主体</w:t>
      </w:r>
      <w:r>
        <w:rPr>
          <w:rFonts w:hint="eastAsia" w:ascii="宋体" w:hAnsi="宋体" w:cs="宋体"/>
          <w:bCs/>
          <w:color w:val="auto"/>
          <w:sz w:val="24"/>
          <w:highlight w:val="none"/>
        </w:rPr>
        <w:t>名单；为确保政府采购守法供应商公平参加政府采购活动，采购代理机构将在开标开始后一个小时内，通过“信用中国”网站对供应商信用信息进行查询查证，并将查询记录截屏打印保存在采购档案内。如核实未通过，经评标小组确认后资格审查不予通过；</w:t>
      </w:r>
    </w:p>
    <w:p>
      <w:pPr>
        <w:widowControl/>
        <w:shd w:val="clear" w:color="auto" w:fill="FFFFFF"/>
        <w:spacing w:line="360" w:lineRule="auto"/>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lang w:val="en-US" w:eastAsia="zh-CN"/>
        </w:rPr>
        <w:t>6</w:t>
      </w: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关于</w:t>
      </w:r>
      <w:r>
        <w:rPr>
          <w:rFonts w:hint="eastAsia" w:ascii="宋体" w:hAnsi="宋体" w:cs="宋体"/>
          <w:bCs/>
          <w:color w:val="auto"/>
          <w:sz w:val="24"/>
          <w:highlight w:val="none"/>
        </w:rPr>
        <w:t>资格</w:t>
      </w:r>
      <w:r>
        <w:rPr>
          <w:rFonts w:hint="eastAsia" w:ascii="宋体" w:hAnsi="宋体" w:cs="宋体"/>
          <w:bCs/>
          <w:color w:val="auto"/>
          <w:sz w:val="24"/>
          <w:highlight w:val="none"/>
          <w:lang w:val="en-US" w:eastAsia="zh-CN"/>
        </w:rPr>
        <w:t>文件的</w:t>
      </w:r>
      <w:r>
        <w:rPr>
          <w:rFonts w:hint="eastAsia" w:ascii="宋体" w:hAnsi="宋体" w:cs="宋体"/>
          <w:bCs/>
          <w:color w:val="auto"/>
          <w:sz w:val="24"/>
          <w:highlight w:val="none"/>
        </w:rPr>
        <w:t>声明函；</w:t>
      </w:r>
    </w:p>
    <w:p>
      <w:pPr>
        <w:widowControl/>
        <w:shd w:val="clear" w:color="auto" w:fill="FFFFFF"/>
        <w:spacing w:line="360" w:lineRule="auto"/>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lang w:val="en-US" w:eastAsia="zh-CN"/>
        </w:rPr>
        <w:t>7</w:t>
      </w:r>
      <w:r>
        <w:rPr>
          <w:rFonts w:hint="eastAsia" w:ascii="宋体" w:hAnsi="宋体" w:cs="宋体"/>
          <w:bCs/>
          <w:color w:val="auto"/>
          <w:sz w:val="24"/>
          <w:highlight w:val="none"/>
        </w:rPr>
        <w:t>、法定代表人为同一个人或者存在投资、控股以及其他关联关系的不同单位，不得参加同一项目的招标活动；</w:t>
      </w:r>
    </w:p>
    <w:p>
      <w:pPr>
        <w:widowControl/>
        <w:shd w:val="clear" w:color="auto" w:fill="FFFFFF"/>
        <w:spacing w:line="360" w:lineRule="auto"/>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lang w:val="en-US" w:eastAsia="zh-CN"/>
        </w:rPr>
        <w:t>8</w:t>
      </w:r>
      <w:r>
        <w:rPr>
          <w:rFonts w:hint="eastAsia" w:ascii="宋体" w:hAnsi="宋体" w:cs="宋体"/>
          <w:bCs/>
          <w:color w:val="auto"/>
          <w:sz w:val="24"/>
          <w:highlight w:val="none"/>
        </w:rPr>
        <w:t>、本项目不接受联合体投标。</w:t>
      </w:r>
    </w:p>
    <w:p>
      <w:pPr>
        <w:widowControl/>
        <w:shd w:val="clear" w:color="auto" w:fill="FFFFFF"/>
        <w:spacing w:line="360" w:lineRule="auto"/>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lang w:val="en-US" w:eastAsia="zh-CN"/>
        </w:rPr>
        <w:t>9</w:t>
      </w:r>
      <w:r>
        <w:rPr>
          <w:rFonts w:hint="eastAsia" w:ascii="宋体" w:hAnsi="宋体" w:cs="宋体"/>
          <w:bCs/>
          <w:color w:val="auto"/>
          <w:sz w:val="24"/>
          <w:highlight w:val="none"/>
        </w:rPr>
        <w:t>、符合相关法律、法规规定的其他要求。</w:t>
      </w:r>
    </w:p>
    <w:p>
      <w:pPr>
        <w:kinsoku w:val="0"/>
        <w:overflowPunct w:val="0"/>
        <w:autoSpaceDE w:val="0"/>
        <w:autoSpaceDN w:val="0"/>
        <w:snapToGrid w:val="0"/>
        <w:spacing w:line="360" w:lineRule="auto"/>
        <w:ind w:firstLine="482" w:firstLineChars="200"/>
        <w:outlineLvl w:val="1"/>
        <w:rPr>
          <w:rFonts w:ascii="宋体" w:hAnsi="宋体"/>
          <w:b/>
          <w:color w:val="auto"/>
          <w:sz w:val="24"/>
          <w:highlight w:val="none"/>
        </w:rPr>
      </w:pPr>
      <w:r>
        <w:rPr>
          <w:rFonts w:ascii="宋体" w:hAnsi="宋体"/>
          <w:b/>
          <w:color w:val="auto"/>
          <w:sz w:val="24"/>
          <w:highlight w:val="none"/>
        </w:rPr>
        <w:t>三、获取招标文件</w:t>
      </w:r>
    </w:p>
    <w:p>
      <w:pPr>
        <w:snapToGrid w:val="0"/>
        <w:spacing w:line="360" w:lineRule="auto"/>
        <w:ind w:firstLine="480" w:firstLineChars="200"/>
        <w:rPr>
          <w:rFonts w:ascii="宋体" w:hAnsi="宋体"/>
          <w:color w:val="auto"/>
          <w:sz w:val="24"/>
          <w:szCs w:val="21"/>
          <w:highlight w:val="none"/>
          <w:lang w:val="zh-CN"/>
        </w:rPr>
      </w:pPr>
      <w:r>
        <w:rPr>
          <w:rFonts w:ascii="宋体" w:hAnsi="宋体"/>
          <w:color w:val="auto"/>
          <w:sz w:val="24"/>
          <w:szCs w:val="21"/>
          <w:highlight w:val="none"/>
          <w:lang w:val="zh-CN"/>
        </w:rPr>
        <w:t>1、时间：</w:t>
      </w:r>
      <w:r>
        <w:rPr>
          <w:rFonts w:ascii="宋体" w:hAnsi="宋体"/>
          <w:color w:val="auto"/>
          <w:sz w:val="24"/>
          <w:szCs w:val="21"/>
          <w:highlight w:val="none"/>
          <w:u w:val="single"/>
          <w:lang w:val="zh-CN"/>
        </w:rPr>
        <w:t>自本招标公告发布之日起</w:t>
      </w:r>
      <w:r>
        <w:rPr>
          <w:rFonts w:hint="eastAsia" w:ascii="宋体" w:hAnsi="宋体"/>
          <w:color w:val="auto"/>
          <w:sz w:val="24"/>
          <w:szCs w:val="21"/>
          <w:highlight w:val="none"/>
          <w:u w:val="single"/>
        </w:rPr>
        <w:t>至202</w:t>
      </w:r>
      <w:r>
        <w:rPr>
          <w:rFonts w:hint="eastAsia" w:ascii="宋体" w:hAnsi="宋体"/>
          <w:color w:val="auto"/>
          <w:sz w:val="24"/>
          <w:szCs w:val="21"/>
          <w:highlight w:val="none"/>
          <w:u w:val="single"/>
          <w:lang w:val="en-US" w:eastAsia="zh-CN"/>
        </w:rPr>
        <w:t>5</w:t>
      </w:r>
      <w:r>
        <w:rPr>
          <w:rFonts w:hint="eastAsia" w:ascii="宋体" w:hAnsi="宋体"/>
          <w:color w:val="auto"/>
          <w:sz w:val="24"/>
          <w:szCs w:val="21"/>
          <w:highlight w:val="none"/>
          <w:u w:val="single"/>
        </w:rPr>
        <w:t>年</w:t>
      </w:r>
      <w:r>
        <w:rPr>
          <w:rFonts w:hint="eastAsia" w:ascii="宋体" w:hAnsi="宋体"/>
          <w:color w:val="auto"/>
          <w:sz w:val="24"/>
          <w:szCs w:val="21"/>
          <w:highlight w:val="none"/>
          <w:u w:val="single"/>
          <w:lang w:val="en-US" w:eastAsia="zh-CN"/>
        </w:rPr>
        <w:t>2</w:t>
      </w:r>
      <w:r>
        <w:rPr>
          <w:rFonts w:hint="eastAsia" w:ascii="宋体" w:hAnsi="宋体"/>
          <w:color w:val="auto"/>
          <w:sz w:val="24"/>
          <w:szCs w:val="21"/>
          <w:highlight w:val="none"/>
          <w:u w:val="single"/>
        </w:rPr>
        <w:t>月</w:t>
      </w:r>
      <w:r>
        <w:rPr>
          <w:rFonts w:hint="eastAsia" w:ascii="宋体" w:hAnsi="宋体"/>
          <w:color w:val="auto"/>
          <w:sz w:val="24"/>
          <w:szCs w:val="21"/>
          <w:highlight w:val="none"/>
          <w:u w:val="single"/>
          <w:lang w:val="en-US" w:eastAsia="zh-CN"/>
        </w:rPr>
        <w:t>26</w:t>
      </w:r>
      <w:r>
        <w:rPr>
          <w:rFonts w:hint="eastAsia" w:ascii="宋体" w:hAnsi="宋体"/>
          <w:color w:val="auto"/>
          <w:sz w:val="24"/>
          <w:szCs w:val="21"/>
          <w:highlight w:val="none"/>
          <w:u w:val="single"/>
        </w:rPr>
        <w:t>日</w:t>
      </w:r>
      <w:r>
        <w:rPr>
          <w:rFonts w:ascii="宋体" w:hAnsi="宋体"/>
          <w:color w:val="auto"/>
          <w:sz w:val="24"/>
          <w:szCs w:val="21"/>
          <w:highlight w:val="none"/>
          <w:lang w:val="zh-CN"/>
        </w:rPr>
        <w:t>。</w:t>
      </w:r>
    </w:p>
    <w:p>
      <w:pPr>
        <w:adjustRightInd w:val="0"/>
        <w:snapToGrid w:val="0"/>
        <w:spacing w:line="360" w:lineRule="auto"/>
        <w:ind w:right="-601" w:rightChars="-286" w:firstLine="480" w:firstLineChars="200"/>
        <w:rPr>
          <w:rFonts w:ascii="宋体" w:hAnsi="宋体"/>
          <w:color w:val="auto"/>
          <w:sz w:val="24"/>
          <w:szCs w:val="21"/>
          <w:highlight w:val="none"/>
          <w:u w:val="single"/>
          <w:lang w:val="zh-CN"/>
        </w:rPr>
      </w:pPr>
      <w:bookmarkStart w:id="4" w:name="_Toc387526369"/>
      <w:bookmarkStart w:id="5" w:name="_Toc387526277"/>
      <w:bookmarkStart w:id="6" w:name="_Toc387526173"/>
      <w:r>
        <w:rPr>
          <w:rFonts w:ascii="宋体" w:hAnsi="宋体"/>
          <w:color w:val="auto"/>
          <w:sz w:val="24"/>
          <w:szCs w:val="21"/>
          <w:highlight w:val="none"/>
          <w:lang w:val="zh-CN"/>
        </w:rPr>
        <w:t>2、方式：</w:t>
      </w:r>
      <w:r>
        <w:rPr>
          <w:rFonts w:ascii="宋体" w:hAnsi="宋体"/>
          <w:color w:val="auto"/>
          <w:sz w:val="24"/>
          <w:szCs w:val="21"/>
          <w:highlight w:val="none"/>
          <w:u w:val="single"/>
          <w:lang w:val="zh-CN"/>
        </w:rPr>
        <w:t>本项目资格审查采用资格后审方式，无报名环节，投标人直接从</w:t>
      </w:r>
      <w:r>
        <w:rPr>
          <w:rFonts w:hint="eastAsia" w:ascii="宋体" w:hAnsi="宋体"/>
          <w:color w:val="auto"/>
          <w:sz w:val="24"/>
          <w:szCs w:val="21"/>
          <w:highlight w:val="none"/>
          <w:u w:val="single"/>
          <w:lang w:val="zh-CN"/>
        </w:rPr>
        <w:t>南通市水利局网站（</w:t>
      </w:r>
      <w:r>
        <w:rPr>
          <w:rFonts w:ascii="宋体" w:hAnsi="宋体"/>
          <w:color w:val="auto"/>
          <w:szCs w:val="21"/>
          <w:highlight w:val="none"/>
          <w:u w:val="single"/>
          <w:lang w:val="zh-CN"/>
        </w:rPr>
        <w:t>http://slj.nantong.gov.cn/-</w:t>
      </w:r>
      <w:r>
        <w:rPr>
          <w:rFonts w:hint="eastAsia" w:ascii="宋体" w:hAnsi="宋体"/>
          <w:color w:val="auto"/>
          <w:sz w:val="24"/>
          <w:szCs w:val="21"/>
          <w:highlight w:val="none"/>
          <w:u w:val="single"/>
          <w:lang w:val="zh-CN"/>
        </w:rPr>
        <w:t>公告公示栏目）下载</w:t>
      </w:r>
      <w:r>
        <w:rPr>
          <w:rFonts w:ascii="宋体" w:hAnsi="宋体"/>
          <w:color w:val="auto"/>
          <w:sz w:val="24"/>
          <w:szCs w:val="21"/>
          <w:highlight w:val="none"/>
          <w:u w:val="single"/>
          <w:lang w:val="zh-CN"/>
        </w:rPr>
        <w:t>招标文件、澄清答疑等相关招标资料</w:t>
      </w:r>
      <w:r>
        <w:rPr>
          <w:rFonts w:hint="eastAsia" w:ascii="宋体" w:hAnsi="宋体"/>
          <w:color w:val="auto"/>
          <w:sz w:val="24"/>
          <w:szCs w:val="21"/>
          <w:highlight w:val="none"/>
          <w:u w:val="single"/>
          <w:lang w:val="zh-CN"/>
        </w:rPr>
        <w:t>。</w:t>
      </w:r>
    </w:p>
    <w:bookmarkEnd w:id="4"/>
    <w:bookmarkEnd w:id="5"/>
    <w:bookmarkEnd w:id="6"/>
    <w:p>
      <w:pPr>
        <w:kinsoku w:val="0"/>
        <w:overflowPunct w:val="0"/>
        <w:autoSpaceDE w:val="0"/>
        <w:autoSpaceDN w:val="0"/>
        <w:snapToGrid w:val="0"/>
        <w:spacing w:line="360" w:lineRule="auto"/>
        <w:ind w:firstLine="482" w:firstLineChars="200"/>
        <w:outlineLvl w:val="1"/>
        <w:rPr>
          <w:rFonts w:ascii="宋体" w:hAnsi="宋体"/>
          <w:b/>
          <w:color w:val="auto"/>
          <w:sz w:val="24"/>
          <w:highlight w:val="none"/>
        </w:rPr>
      </w:pPr>
      <w:r>
        <w:rPr>
          <w:rFonts w:ascii="宋体" w:hAnsi="宋体"/>
          <w:b/>
          <w:color w:val="auto"/>
          <w:sz w:val="24"/>
          <w:highlight w:val="none"/>
        </w:rPr>
        <w:t>四、提交投标文件截止时间、开标时间和地点</w:t>
      </w:r>
    </w:p>
    <w:p>
      <w:pPr>
        <w:widowControl/>
        <w:snapToGrid w:val="0"/>
        <w:spacing w:line="360" w:lineRule="auto"/>
        <w:ind w:firstLine="470" w:firstLineChars="196"/>
        <w:jc w:val="left"/>
        <w:rPr>
          <w:rFonts w:ascii="宋体" w:hAnsi="宋体"/>
          <w:color w:val="auto"/>
          <w:sz w:val="24"/>
          <w:highlight w:val="none"/>
        </w:rPr>
      </w:pPr>
      <w:r>
        <w:rPr>
          <w:rFonts w:ascii="宋体" w:hAnsi="宋体"/>
          <w:color w:val="auto"/>
          <w:sz w:val="24"/>
          <w:highlight w:val="none"/>
        </w:rPr>
        <w:t>截止时间及开标时间：</w:t>
      </w:r>
      <w:r>
        <w:rPr>
          <w:rFonts w:ascii="宋体" w:hAnsi="宋体"/>
          <w:color w:val="auto"/>
          <w:sz w:val="24"/>
          <w:highlight w:val="none"/>
          <w:u w:val="single"/>
        </w:rPr>
        <w:t>20</w:t>
      </w:r>
      <w:r>
        <w:rPr>
          <w:rFonts w:hint="eastAsia" w:ascii="宋体" w:hAnsi="宋体"/>
          <w:color w:val="auto"/>
          <w:sz w:val="24"/>
          <w:highlight w:val="none"/>
          <w:u w:val="single"/>
          <w:lang w:val="en-US" w:eastAsia="zh-CN"/>
        </w:rPr>
        <w:t>25</w:t>
      </w:r>
      <w:r>
        <w:rPr>
          <w:rFonts w:ascii="宋体" w:hAnsi="宋体"/>
          <w:color w:val="auto"/>
          <w:sz w:val="24"/>
          <w:highlight w:val="none"/>
          <w:u w:val="single"/>
        </w:rPr>
        <w:t>年</w:t>
      </w:r>
      <w:r>
        <w:rPr>
          <w:rFonts w:hint="eastAsia" w:ascii="宋体" w:hAnsi="宋体"/>
          <w:color w:val="auto"/>
          <w:sz w:val="24"/>
          <w:highlight w:val="none"/>
          <w:u w:val="single"/>
          <w:lang w:val="en-US" w:eastAsia="zh-CN"/>
        </w:rPr>
        <w:t>2</w:t>
      </w:r>
      <w:r>
        <w:rPr>
          <w:rFonts w:ascii="宋体" w:hAnsi="宋体"/>
          <w:color w:val="auto"/>
          <w:sz w:val="24"/>
          <w:highlight w:val="none"/>
          <w:u w:val="single"/>
        </w:rPr>
        <w:t>月</w:t>
      </w:r>
      <w:r>
        <w:rPr>
          <w:rFonts w:hint="eastAsia" w:ascii="宋体" w:hAnsi="宋体"/>
          <w:color w:val="auto"/>
          <w:sz w:val="24"/>
          <w:highlight w:val="none"/>
          <w:u w:val="single"/>
          <w:lang w:val="en-US" w:eastAsia="zh-CN"/>
        </w:rPr>
        <w:t>26</w:t>
      </w:r>
      <w:r>
        <w:rPr>
          <w:rFonts w:ascii="宋体" w:hAnsi="宋体"/>
          <w:color w:val="auto"/>
          <w:sz w:val="24"/>
          <w:highlight w:val="none"/>
          <w:u w:val="single"/>
        </w:rPr>
        <w:t>日</w:t>
      </w:r>
      <w:r>
        <w:rPr>
          <w:rFonts w:hint="eastAsia" w:ascii="宋体" w:hAnsi="宋体"/>
          <w:color w:val="auto"/>
          <w:sz w:val="24"/>
          <w:highlight w:val="none"/>
          <w:u w:val="single"/>
          <w:lang w:val="en-US" w:eastAsia="zh-CN"/>
        </w:rPr>
        <w:t>09</w:t>
      </w:r>
      <w:r>
        <w:rPr>
          <w:rFonts w:ascii="宋体" w:hAnsi="宋体"/>
          <w:color w:val="auto"/>
          <w:sz w:val="24"/>
          <w:highlight w:val="none"/>
          <w:u w:val="single"/>
        </w:rPr>
        <w:t>时</w:t>
      </w:r>
      <w:r>
        <w:rPr>
          <w:rFonts w:hint="eastAsia" w:ascii="宋体" w:hAnsi="宋体"/>
          <w:color w:val="auto"/>
          <w:sz w:val="24"/>
          <w:highlight w:val="none"/>
          <w:u w:val="single"/>
          <w:lang w:val="en-US" w:eastAsia="zh-CN"/>
        </w:rPr>
        <w:t>30</w:t>
      </w:r>
      <w:r>
        <w:rPr>
          <w:rFonts w:ascii="宋体" w:hAnsi="宋体"/>
          <w:color w:val="auto"/>
          <w:sz w:val="24"/>
          <w:highlight w:val="none"/>
          <w:u w:val="single"/>
        </w:rPr>
        <w:t>分</w:t>
      </w:r>
      <w:r>
        <w:rPr>
          <w:rFonts w:ascii="宋体" w:hAnsi="宋体"/>
          <w:color w:val="auto"/>
          <w:sz w:val="24"/>
          <w:highlight w:val="none"/>
        </w:rPr>
        <w:t>；</w:t>
      </w:r>
    </w:p>
    <w:p>
      <w:pPr>
        <w:widowControl/>
        <w:snapToGrid w:val="0"/>
        <w:spacing w:line="360" w:lineRule="auto"/>
        <w:ind w:firstLine="480" w:firstLineChars="200"/>
        <w:jc w:val="left"/>
        <w:rPr>
          <w:rFonts w:ascii="宋体" w:hAnsi="宋体"/>
          <w:color w:val="auto"/>
          <w:sz w:val="24"/>
          <w:highlight w:val="none"/>
        </w:rPr>
      </w:pPr>
      <w:r>
        <w:rPr>
          <w:rFonts w:ascii="宋体" w:hAnsi="宋体"/>
          <w:color w:val="auto"/>
          <w:sz w:val="24"/>
          <w:highlight w:val="none"/>
        </w:rPr>
        <w:t>地点：</w:t>
      </w:r>
      <w:r>
        <w:rPr>
          <w:rFonts w:hint="eastAsia" w:ascii="宋体" w:hAnsi="宋体"/>
          <w:color w:val="auto"/>
          <w:sz w:val="24"/>
          <w:highlight w:val="none"/>
          <w:u w:val="single"/>
        </w:rPr>
        <w:t xml:space="preserve"> </w:t>
      </w:r>
      <w:r>
        <w:rPr>
          <w:rFonts w:hint="eastAsia" w:ascii="宋体" w:hAnsi="宋体"/>
          <w:b/>
          <w:bCs/>
          <w:color w:val="auto"/>
          <w:sz w:val="24"/>
          <w:highlight w:val="none"/>
          <w:u w:val="single"/>
        </w:rPr>
        <w:t xml:space="preserve">南通市通吕运河水利工程管理所（外环西路397号）三楼会议室 </w:t>
      </w:r>
      <w:r>
        <w:rPr>
          <w:rFonts w:ascii="宋体" w:hAnsi="宋体"/>
          <w:color w:val="auto"/>
          <w:kern w:val="0"/>
          <w:sz w:val="24"/>
          <w:highlight w:val="none"/>
        </w:rPr>
        <w:t>。</w:t>
      </w:r>
    </w:p>
    <w:p>
      <w:pPr>
        <w:widowControl/>
        <w:snapToGrid w:val="0"/>
        <w:spacing w:line="360" w:lineRule="auto"/>
        <w:ind w:firstLine="482" w:firstLineChars="200"/>
        <w:jc w:val="left"/>
        <w:rPr>
          <w:rFonts w:ascii="宋体" w:hAnsi="宋体"/>
          <w:b/>
          <w:bCs/>
          <w:color w:val="auto"/>
          <w:sz w:val="24"/>
          <w:highlight w:val="none"/>
        </w:rPr>
      </w:pPr>
      <w:r>
        <w:rPr>
          <w:rFonts w:hint="eastAsia" w:ascii="宋体" w:hAnsi="宋体"/>
          <w:b/>
          <w:bCs/>
          <w:color w:val="auto"/>
          <w:sz w:val="24"/>
          <w:highlight w:val="none"/>
        </w:rPr>
        <w:t>投标人递交投标文件时，投标人的法定代表人（或其授权代理人）必须携带本人身份证件原件、法定代表人身份证明（或授权委托书）原件准时参加开标会议。否则，其投标文件不予受理。</w:t>
      </w:r>
    </w:p>
    <w:p>
      <w:pPr>
        <w:widowControl/>
        <w:snapToGrid w:val="0"/>
        <w:spacing w:line="360" w:lineRule="auto"/>
        <w:ind w:firstLine="482" w:firstLineChars="200"/>
        <w:jc w:val="left"/>
        <w:rPr>
          <w:rFonts w:ascii="宋体" w:hAnsi="宋体"/>
          <w:b/>
          <w:bCs/>
          <w:color w:val="auto"/>
          <w:sz w:val="24"/>
          <w:highlight w:val="none"/>
        </w:rPr>
      </w:pPr>
      <w:r>
        <w:rPr>
          <w:rFonts w:hint="eastAsia" w:ascii="宋体" w:hAnsi="宋体"/>
          <w:b/>
          <w:bCs/>
          <w:color w:val="auto"/>
          <w:sz w:val="24"/>
          <w:highlight w:val="none"/>
        </w:rPr>
        <w:t>注：法定代表人身份证明（或授权委托书）不仅需要装订在投标文件中，还需要一份原件由法定代表人（或其授权代理人）在投标时随身携带，供递交投标文件时核验。</w:t>
      </w:r>
    </w:p>
    <w:p>
      <w:pPr>
        <w:kinsoku w:val="0"/>
        <w:overflowPunct w:val="0"/>
        <w:autoSpaceDE w:val="0"/>
        <w:autoSpaceDN w:val="0"/>
        <w:snapToGrid w:val="0"/>
        <w:spacing w:line="360" w:lineRule="auto"/>
        <w:ind w:firstLine="482" w:firstLineChars="200"/>
        <w:outlineLvl w:val="1"/>
        <w:rPr>
          <w:rFonts w:ascii="宋体" w:hAnsi="宋体"/>
          <w:b/>
          <w:color w:val="auto"/>
          <w:sz w:val="24"/>
          <w:highlight w:val="none"/>
        </w:rPr>
      </w:pPr>
      <w:r>
        <w:rPr>
          <w:rFonts w:ascii="宋体" w:hAnsi="宋体"/>
          <w:b/>
          <w:color w:val="auto"/>
          <w:sz w:val="24"/>
          <w:highlight w:val="none"/>
        </w:rPr>
        <w:t>五、公告期限</w:t>
      </w:r>
    </w:p>
    <w:p>
      <w:pPr>
        <w:widowControl/>
        <w:snapToGrid w:val="0"/>
        <w:spacing w:line="360" w:lineRule="auto"/>
        <w:ind w:firstLine="470" w:firstLineChars="196"/>
        <w:jc w:val="left"/>
        <w:rPr>
          <w:rFonts w:ascii="宋体" w:hAnsi="宋体"/>
          <w:color w:val="auto"/>
          <w:sz w:val="24"/>
          <w:highlight w:val="none"/>
        </w:rPr>
      </w:pPr>
      <w:r>
        <w:rPr>
          <w:rFonts w:ascii="宋体" w:hAnsi="宋体"/>
          <w:color w:val="auto"/>
          <w:sz w:val="24"/>
          <w:highlight w:val="none"/>
        </w:rPr>
        <w:t>自本公告发布之日起5个工作日。</w:t>
      </w:r>
    </w:p>
    <w:p>
      <w:pPr>
        <w:kinsoku w:val="0"/>
        <w:overflowPunct w:val="0"/>
        <w:autoSpaceDE w:val="0"/>
        <w:autoSpaceDN w:val="0"/>
        <w:snapToGrid w:val="0"/>
        <w:spacing w:line="360" w:lineRule="auto"/>
        <w:ind w:firstLine="482" w:firstLineChars="200"/>
        <w:outlineLvl w:val="1"/>
        <w:rPr>
          <w:rFonts w:ascii="宋体" w:hAnsi="宋体"/>
          <w:b/>
          <w:color w:val="auto"/>
          <w:sz w:val="24"/>
          <w:highlight w:val="none"/>
        </w:rPr>
      </w:pPr>
      <w:r>
        <w:rPr>
          <w:rFonts w:hint="eastAsia" w:ascii="宋体" w:hAnsi="宋体"/>
          <w:b/>
          <w:color w:val="auto"/>
          <w:sz w:val="24"/>
          <w:highlight w:val="none"/>
        </w:rPr>
        <w:t>六、其他补充事宜</w:t>
      </w:r>
    </w:p>
    <w:p>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本项目采用现场开标模式，投标人须在提交投标文件的截止时间前到达开标现场提交纸质投标文件。</w:t>
      </w:r>
    </w:p>
    <w:p>
      <w:pPr>
        <w:kinsoku w:val="0"/>
        <w:overflowPunct w:val="0"/>
        <w:autoSpaceDE w:val="0"/>
        <w:autoSpaceDN w:val="0"/>
        <w:snapToGrid w:val="0"/>
        <w:spacing w:line="360" w:lineRule="auto"/>
        <w:ind w:firstLine="482" w:firstLineChars="200"/>
        <w:outlineLvl w:val="1"/>
        <w:rPr>
          <w:rFonts w:ascii="宋体" w:hAnsi="宋体"/>
          <w:b/>
          <w:color w:val="auto"/>
          <w:sz w:val="24"/>
          <w:highlight w:val="none"/>
        </w:rPr>
      </w:pPr>
      <w:r>
        <w:rPr>
          <w:rFonts w:hint="eastAsia" w:ascii="宋体" w:hAnsi="宋体"/>
          <w:b/>
          <w:color w:val="auto"/>
          <w:sz w:val="24"/>
          <w:highlight w:val="none"/>
        </w:rPr>
        <w:t>七</w:t>
      </w:r>
      <w:r>
        <w:rPr>
          <w:rFonts w:ascii="宋体" w:hAnsi="宋体"/>
          <w:b/>
          <w:color w:val="auto"/>
          <w:sz w:val="24"/>
          <w:highlight w:val="none"/>
        </w:rPr>
        <w:t>、凡对本次采购提出询问，请按以下方式联系。</w:t>
      </w:r>
    </w:p>
    <w:bookmarkEnd w:id="0"/>
    <w:bookmarkEnd w:id="1"/>
    <w:bookmarkEnd w:id="2"/>
    <w:bookmarkEnd w:id="3"/>
    <w:p>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1.采购人：南通市通吕运河水利工程管理所</w:t>
      </w:r>
    </w:p>
    <w:p>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联系电话：</w:t>
      </w:r>
      <w:r>
        <w:rPr>
          <w:rFonts w:ascii="宋体" w:hAnsi="宋体"/>
          <w:color w:val="auto"/>
          <w:sz w:val="24"/>
          <w:highlight w:val="none"/>
        </w:rPr>
        <w:t>0513-83530190</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2、采购代理机构：江苏建博工程管理咨询有限公司</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址：南通市崇川区新胜路北同济科技园B7栋四楼</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联系人：刘丽敏</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联系电话：18251304156</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3、项目联系方式</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项目联系人：刘丽敏</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话：18251304156</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彩云">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DRlOTQyZDU0NDY3YTQ2YzBhMmU3ZWUwZjk3YmMifQ=="/>
  </w:docVars>
  <w:rsids>
    <w:rsidRoot w:val="00000000"/>
    <w:rsid w:val="1C187A57"/>
    <w:rsid w:val="35642DEF"/>
    <w:rsid w:val="393408EF"/>
    <w:rsid w:val="446A3BBB"/>
    <w:rsid w:val="5CE36509"/>
    <w:rsid w:val="651F05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tabs>
        <w:tab w:val="left" w:pos="2020"/>
        <w:tab w:val="center" w:pos="4535"/>
      </w:tabs>
      <w:spacing w:line="500" w:lineRule="exact"/>
      <w:outlineLvl w:val="0"/>
    </w:pPr>
    <w:rPr>
      <w:rFonts w:ascii="华文彩云" w:hAnsi="宋体" w:eastAsia="华文彩云"/>
      <w:bCs/>
      <w:color w:val="000000"/>
      <w:sz w:val="28"/>
    </w:rPr>
  </w:style>
  <w:style w:type="paragraph" w:customStyle="1" w:styleId="3">
    <w:name w:val="style4"/>
    <w:basedOn w:val="1"/>
    <w:next w:val="4"/>
    <w:qFormat/>
    <w:uiPriority w:val="0"/>
    <w:pPr>
      <w:widowControl/>
      <w:spacing w:before="280" w:after="280"/>
    </w:pPr>
    <w:rPr>
      <w:rFonts w:ascii="宋体"/>
      <w:sz w:val="18"/>
    </w:rPr>
  </w:style>
  <w:style w:type="paragraph" w:customStyle="1" w:styleId="4">
    <w:name w:val="2"/>
    <w:basedOn w:val="1"/>
    <w:next w:val="1"/>
    <w:qFormat/>
    <w:uiPriority w:val="0"/>
    <w:rPr>
      <w:rFonts w:ascii="宋体"/>
      <w:b/>
      <w:bCs/>
      <w:sz w:val="24"/>
    </w:rPr>
  </w:style>
  <w:style w:type="paragraph" w:styleId="5">
    <w:name w:val="Body Text First Indent"/>
    <w:basedOn w:val="2"/>
    <w:qFormat/>
    <w:uiPriority w:val="0"/>
    <w:pPr>
      <w:spacing w:after="291" w:afterLines="100"/>
      <w:jc w:val="center"/>
    </w:pPr>
  </w:style>
  <w:style w:type="character" w:customStyle="1" w:styleId="8">
    <w:name w:val="标题 1 Char Char"/>
    <w:qFormat/>
    <w:uiPriority w:val="0"/>
    <w:rPr>
      <w:rFonts w:hint="eastAsia" w:ascii="宋体" w:hAnsi="宋体" w:eastAsia="宋体"/>
      <w:b/>
      <w:spacing w:val="-2"/>
      <w:sz w:val="24"/>
      <w:lang w:val="en-US"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2023-06-13T02:37:00Z</dcterms:created>
  <dc:creator>15529</dc:creator>
  <cp:lastModifiedBy>蛋壳里De小妖怪。</cp:lastModifiedBy>
  <dcterms:modified xsi:type="dcterms:W3CDTF">2025-02-05T03:05:56Z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EDBBD9C8F8A74CB493413AFC855891DB</vt:lpwstr>
  </property>
</Properties>
</file>